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9674" w14:textId="77777777" w:rsidR="00A970E4" w:rsidRPr="00A970E4" w:rsidRDefault="00A970E4" w:rsidP="00A970E4">
      <w:pPr>
        <w:spacing w:after="0" w:line="240" w:lineRule="auto"/>
        <w:jc w:val="center"/>
        <w:rPr>
          <w:rFonts w:ascii="Calibri" w:hAnsi="Calibri" w:cs="Calibri"/>
          <w:b/>
          <w:sz w:val="40"/>
          <w:szCs w:val="40"/>
        </w:rPr>
      </w:pPr>
      <w:r w:rsidRPr="00A970E4">
        <w:rPr>
          <w:rFonts w:ascii="Calibri" w:hAnsi="Calibri" w:cs="Calibri"/>
          <w:b/>
          <w:bCs/>
          <w:sz w:val="40"/>
          <w:szCs w:val="40"/>
        </w:rPr>
        <w:t>Agricultural and Resource Economics and Agribusiness (AREA) Working Papers</w:t>
      </w:r>
      <w:r w:rsidRPr="00A970E4">
        <w:rPr>
          <w:rFonts w:ascii="Calibri" w:hAnsi="Calibri" w:cs="Calibri"/>
          <w:b/>
          <w:sz w:val="40"/>
          <w:szCs w:val="40"/>
        </w:rPr>
        <w:t xml:space="preserve"> </w:t>
      </w:r>
    </w:p>
    <w:p w14:paraId="0978058A" w14:textId="577C13F6" w:rsidR="00287F31" w:rsidRDefault="00A970E4" w:rsidP="00A970E4">
      <w:pPr>
        <w:spacing w:after="0" w:line="240" w:lineRule="auto"/>
        <w:jc w:val="center"/>
        <w:rPr>
          <w:rFonts w:ascii="Calibri" w:hAnsi="Calibri" w:cs="Calibri"/>
          <w:b/>
          <w:sz w:val="40"/>
          <w:szCs w:val="40"/>
        </w:rPr>
      </w:pPr>
      <w:r w:rsidRPr="00A970E4">
        <w:rPr>
          <w:rFonts w:ascii="Calibri" w:hAnsi="Calibri" w:cs="Calibri"/>
          <w:b/>
          <w:sz w:val="40"/>
          <w:szCs w:val="40"/>
        </w:rPr>
        <w:t>202</w:t>
      </w:r>
      <w:r>
        <w:rPr>
          <w:rFonts w:ascii="Calibri" w:hAnsi="Calibri" w:cs="Calibri"/>
          <w:b/>
          <w:sz w:val="40"/>
          <w:szCs w:val="40"/>
        </w:rPr>
        <w:t>6</w:t>
      </w:r>
      <w:r w:rsidRPr="00A970E4">
        <w:rPr>
          <w:rFonts w:ascii="Calibri" w:hAnsi="Calibri" w:cs="Calibri"/>
          <w:b/>
          <w:sz w:val="40"/>
          <w:szCs w:val="40"/>
        </w:rPr>
        <w:t xml:space="preserve">, Paper </w:t>
      </w:r>
      <w:r w:rsidR="00A20CBF">
        <w:rPr>
          <w:rFonts w:ascii="Calibri" w:hAnsi="Calibri" w:cs="Calibri"/>
          <w:b/>
          <w:sz w:val="40"/>
          <w:szCs w:val="40"/>
        </w:rPr>
        <w:t>10</w:t>
      </w:r>
      <w:r w:rsidR="00373F15">
        <w:rPr>
          <w:rStyle w:val="FootnoteReference"/>
          <w:rFonts w:ascii="Calibri" w:hAnsi="Calibri" w:cs="Calibri"/>
          <w:b/>
          <w:sz w:val="40"/>
          <w:szCs w:val="40"/>
        </w:rPr>
        <w:footnoteReference w:id="1"/>
      </w:r>
    </w:p>
    <w:p w14:paraId="2CE84F4C" w14:textId="11128E0D" w:rsidR="00CD359A" w:rsidRPr="00CD1C13" w:rsidRDefault="00CD1C13" w:rsidP="00CD1C13">
      <w:pPr>
        <w:spacing w:after="0" w:line="240" w:lineRule="auto"/>
        <w:jc w:val="center"/>
        <w:rPr>
          <w:rFonts w:ascii="Calibri" w:hAnsi="Calibri" w:cs="Calibri"/>
          <w:b/>
          <w:bCs/>
          <w:szCs w:val="24"/>
          <w:lang w:val="en-GB"/>
        </w:rPr>
      </w:pPr>
      <w:r w:rsidRPr="00CD1C13">
        <w:rPr>
          <w:rFonts w:ascii="Calibri" w:hAnsi="Calibri" w:cs="Calibri"/>
          <w:b/>
          <w:szCs w:val="24"/>
        </w:rPr>
        <w:t>---------------------------------</w:t>
      </w:r>
      <w:r>
        <w:rPr>
          <w:rFonts w:ascii="Calibri" w:hAnsi="Calibri" w:cs="Calibri"/>
          <w:b/>
          <w:szCs w:val="24"/>
        </w:rPr>
        <w:t>-------------------------------------------------</w:t>
      </w:r>
      <w:r w:rsidRPr="00CD1C13">
        <w:rPr>
          <w:rFonts w:ascii="Calibri" w:hAnsi="Calibri" w:cs="Calibri"/>
          <w:b/>
          <w:szCs w:val="24"/>
        </w:rPr>
        <w:t>----------------------------------------</w:t>
      </w:r>
    </w:p>
    <w:p w14:paraId="604831B5" w14:textId="15C9B96E" w:rsidR="0077698D" w:rsidRPr="00062D56" w:rsidRDefault="00287F31" w:rsidP="00062D56">
      <w:pPr>
        <w:pStyle w:val="Title"/>
        <w:spacing w:after="0"/>
        <w:jc w:val="center"/>
        <w:rPr>
          <w:rFonts w:ascii="Calibri" w:hAnsi="Calibri" w:cs="Calibri"/>
          <w:b/>
          <w:bCs/>
          <w:sz w:val="36"/>
          <w:szCs w:val="36"/>
          <w:lang w:val="en-US"/>
        </w:rPr>
      </w:pPr>
      <w:r w:rsidRPr="00062D56">
        <w:rPr>
          <w:rFonts w:ascii="Calibri" w:hAnsi="Calibri" w:cs="Calibri"/>
          <w:b/>
          <w:bCs/>
          <w:sz w:val="36"/>
          <w:szCs w:val="36"/>
          <w:lang w:val="en-GB"/>
        </w:rPr>
        <w:t>The</w:t>
      </w:r>
      <w:r w:rsidR="0077698D" w:rsidRPr="00062D56">
        <w:rPr>
          <w:rFonts w:ascii="Calibri" w:hAnsi="Calibri" w:cs="Calibri"/>
          <w:b/>
          <w:bCs/>
          <w:sz w:val="36"/>
          <w:szCs w:val="36"/>
          <w:lang w:val="en-US"/>
        </w:rPr>
        <w:t xml:space="preserve"> </w:t>
      </w:r>
      <w:r w:rsidR="00CC479D">
        <w:rPr>
          <w:rFonts w:ascii="Calibri" w:hAnsi="Calibri" w:cs="Calibri"/>
          <w:b/>
          <w:bCs/>
          <w:sz w:val="36"/>
          <w:szCs w:val="36"/>
          <w:lang w:val="en-US"/>
        </w:rPr>
        <w:t xml:space="preserve">Legislative Council </w:t>
      </w:r>
      <w:r w:rsidR="0077698D" w:rsidRPr="00062D56">
        <w:rPr>
          <w:rFonts w:ascii="Calibri" w:hAnsi="Calibri" w:cs="Calibri"/>
          <w:b/>
          <w:bCs/>
          <w:sz w:val="36"/>
          <w:szCs w:val="36"/>
          <w:lang w:val="en-US"/>
        </w:rPr>
        <w:t xml:space="preserve">Inquiry into Food </w:t>
      </w:r>
      <w:r w:rsidR="00A21FD6" w:rsidRPr="00062D56">
        <w:rPr>
          <w:rFonts w:ascii="Calibri" w:hAnsi="Calibri" w:cs="Calibri"/>
          <w:b/>
          <w:bCs/>
          <w:sz w:val="36"/>
          <w:szCs w:val="36"/>
          <w:lang w:val="en-US"/>
        </w:rPr>
        <w:t>I</w:t>
      </w:r>
      <w:r w:rsidR="0077698D" w:rsidRPr="00062D56">
        <w:rPr>
          <w:rFonts w:ascii="Calibri" w:hAnsi="Calibri" w:cs="Calibri"/>
          <w:b/>
          <w:bCs/>
          <w:sz w:val="36"/>
          <w:szCs w:val="36"/>
          <w:lang w:val="en-US"/>
        </w:rPr>
        <w:t>nsecurity in Victoria</w:t>
      </w:r>
      <w:r w:rsidR="00B6233B" w:rsidRPr="00062D56">
        <w:rPr>
          <w:rFonts w:ascii="Calibri" w:hAnsi="Calibri" w:cs="Calibri"/>
          <w:b/>
          <w:bCs/>
          <w:sz w:val="36"/>
          <w:szCs w:val="36"/>
          <w:lang w:val="en-US"/>
        </w:rPr>
        <w:t>:</w:t>
      </w:r>
      <w:r w:rsidR="00062D56" w:rsidRPr="00062D56">
        <w:rPr>
          <w:rFonts w:ascii="Calibri" w:hAnsi="Calibri" w:cs="Calibri"/>
          <w:b/>
          <w:bCs/>
          <w:sz w:val="36"/>
          <w:szCs w:val="36"/>
          <w:lang w:val="en-US"/>
        </w:rPr>
        <w:t xml:space="preserve"> </w:t>
      </w:r>
      <w:r w:rsidR="0077698D" w:rsidRPr="00062D56">
        <w:rPr>
          <w:rFonts w:ascii="Calibri" w:hAnsi="Calibri" w:cs="Calibri"/>
          <w:b/>
          <w:bCs/>
          <w:sz w:val="36"/>
          <w:szCs w:val="36"/>
          <w:lang w:val="en-US"/>
        </w:rPr>
        <w:t>A</w:t>
      </w:r>
      <w:r w:rsidR="000168DD" w:rsidRPr="00062D56">
        <w:rPr>
          <w:rFonts w:ascii="Calibri" w:hAnsi="Calibri" w:cs="Calibri"/>
          <w:b/>
          <w:bCs/>
          <w:sz w:val="36"/>
          <w:szCs w:val="36"/>
          <w:lang w:val="en-US"/>
        </w:rPr>
        <w:t>n</w:t>
      </w:r>
      <w:r w:rsidR="0077698D" w:rsidRPr="00062D56">
        <w:rPr>
          <w:rFonts w:ascii="Calibri" w:hAnsi="Calibri" w:cs="Calibri"/>
          <w:b/>
          <w:bCs/>
          <w:sz w:val="36"/>
          <w:szCs w:val="36"/>
          <w:lang w:val="en-US"/>
        </w:rPr>
        <w:t xml:space="preserve"> </w:t>
      </w:r>
      <w:r w:rsidR="00CC479D">
        <w:rPr>
          <w:rFonts w:ascii="Calibri" w:hAnsi="Calibri" w:cs="Calibri"/>
          <w:b/>
          <w:bCs/>
          <w:sz w:val="36"/>
          <w:szCs w:val="36"/>
          <w:lang w:val="en-US"/>
        </w:rPr>
        <w:t>A</w:t>
      </w:r>
      <w:r w:rsidR="0077698D" w:rsidRPr="00062D56">
        <w:rPr>
          <w:rFonts w:ascii="Calibri" w:hAnsi="Calibri" w:cs="Calibri"/>
          <w:b/>
          <w:bCs/>
          <w:sz w:val="36"/>
          <w:szCs w:val="36"/>
          <w:lang w:val="en-US"/>
        </w:rPr>
        <w:t xml:space="preserve">nalysis of </w:t>
      </w:r>
      <w:r w:rsidR="00CC479D">
        <w:rPr>
          <w:rFonts w:ascii="Calibri" w:hAnsi="Calibri" w:cs="Calibri"/>
          <w:b/>
          <w:bCs/>
          <w:sz w:val="36"/>
          <w:szCs w:val="36"/>
          <w:lang w:val="en-US"/>
        </w:rPr>
        <w:t>S</w:t>
      </w:r>
      <w:r w:rsidR="000168DD" w:rsidRPr="00062D56">
        <w:rPr>
          <w:rFonts w:ascii="Calibri" w:hAnsi="Calibri" w:cs="Calibri"/>
          <w:b/>
          <w:bCs/>
          <w:sz w:val="36"/>
          <w:szCs w:val="36"/>
          <w:lang w:val="en-US"/>
        </w:rPr>
        <w:t xml:space="preserve">ome </w:t>
      </w:r>
      <w:r w:rsidR="00062D56" w:rsidRPr="00062D56">
        <w:rPr>
          <w:rFonts w:ascii="Calibri" w:hAnsi="Calibri" w:cs="Calibri"/>
          <w:b/>
          <w:bCs/>
          <w:sz w:val="36"/>
          <w:szCs w:val="36"/>
          <w:lang w:val="en-US"/>
        </w:rPr>
        <w:t xml:space="preserve">of the </w:t>
      </w:r>
      <w:r w:rsidR="00CC479D">
        <w:rPr>
          <w:rFonts w:ascii="Calibri" w:hAnsi="Calibri" w:cs="Calibri"/>
          <w:b/>
          <w:bCs/>
          <w:sz w:val="36"/>
          <w:szCs w:val="36"/>
          <w:lang w:val="en-US"/>
        </w:rPr>
        <w:t>S</w:t>
      </w:r>
      <w:r w:rsidR="0077698D" w:rsidRPr="00062D56">
        <w:rPr>
          <w:rFonts w:ascii="Calibri" w:hAnsi="Calibri" w:cs="Calibri"/>
          <w:b/>
          <w:bCs/>
          <w:sz w:val="36"/>
          <w:szCs w:val="36"/>
          <w:lang w:val="en-US"/>
        </w:rPr>
        <w:t xml:space="preserve">hort-term </w:t>
      </w:r>
      <w:r w:rsidR="00CC479D">
        <w:rPr>
          <w:rFonts w:ascii="Calibri" w:hAnsi="Calibri" w:cs="Calibri"/>
          <w:b/>
          <w:bCs/>
          <w:sz w:val="36"/>
          <w:szCs w:val="36"/>
          <w:lang w:val="en-US"/>
        </w:rPr>
        <w:t>R</w:t>
      </w:r>
      <w:r w:rsidR="0077698D" w:rsidRPr="00062D56">
        <w:rPr>
          <w:rFonts w:ascii="Calibri" w:hAnsi="Calibri" w:cs="Calibri"/>
          <w:b/>
          <w:bCs/>
          <w:sz w:val="36"/>
          <w:szCs w:val="36"/>
          <w:lang w:val="en-US"/>
        </w:rPr>
        <w:t>ecommendations</w:t>
      </w:r>
    </w:p>
    <w:p w14:paraId="6FAD5CD2" w14:textId="77777777" w:rsidR="00B6233B" w:rsidRPr="00F2205B" w:rsidRDefault="00B6233B" w:rsidP="00F2205B">
      <w:pPr>
        <w:spacing w:after="0" w:line="240" w:lineRule="auto"/>
        <w:jc w:val="both"/>
        <w:rPr>
          <w:rFonts w:ascii="Calibri" w:hAnsi="Calibri" w:cs="Calibri"/>
          <w:sz w:val="22"/>
          <w:lang w:val="en-US"/>
        </w:rPr>
      </w:pPr>
    </w:p>
    <w:p w14:paraId="1110EC53" w14:textId="41E7BB29" w:rsidR="0077698D" w:rsidRPr="00C23D79" w:rsidRDefault="0077698D" w:rsidP="00EA6486">
      <w:pPr>
        <w:spacing w:after="0" w:line="240" w:lineRule="auto"/>
        <w:jc w:val="center"/>
        <w:rPr>
          <w:rFonts w:ascii="Calibri" w:hAnsi="Calibri" w:cs="Calibri"/>
          <w:szCs w:val="24"/>
          <w:vertAlign w:val="superscript"/>
          <w:lang w:val="en-US"/>
        </w:rPr>
      </w:pPr>
      <w:r w:rsidRPr="00E11AA1">
        <w:rPr>
          <w:rFonts w:ascii="Calibri" w:hAnsi="Calibri" w:cs="Calibri"/>
          <w:szCs w:val="24"/>
          <w:lang w:val="en-US"/>
        </w:rPr>
        <w:t>Benjamin Boyd</w:t>
      </w:r>
      <w:r w:rsidR="00EA6486" w:rsidRPr="00EA6486">
        <w:rPr>
          <w:rFonts w:ascii="Calibri" w:hAnsi="Calibri" w:cs="Calibri"/>
          <w:szCs w:val="24"/>
          <w:vertAlign w:val="superscript"/>
          <w:lang w:val="en-US"/>
        </w:rPr>
        <w:t>a</w:t>
      </w:r>
      <w:r w:rsidR="00CB7902">
        <w:rPr>
          <w:rFonts w:ascii="Calibri" w:hAnsi="Calibri" w:cs="Calibri"/>
          <w:szCs w:val="24"/>
          <w:lang w:val="en-US"/>
        </w:rPr>
        <w:t xml:space="preserve">, </w:t>
      </w:r>
      <w:r w:rsidRPr="00E11AA1">
        <w:rPr>
          <w:rFonts w:ascii="Calibri" w:hAnsi="Calibri" w:cs="Calibri"/>
          <w:szCs w:val="24"/>
          <w:lang w:val="en-US"/>
        </w:rPr>
        <w:t>Garry Griffith</w:t>
      </w:r>
      <w:r w:rsidR="00EA6486">
        <w:rPr>
          <w:rFonts w:ascii="Calibri" w:hAnsi="Calibri" w:cs="Calibri"/>
          <w:szCs w:val="24"/>
          <w:vertAlign w:val="superscript"/>
          <w:lang w:val="en-US"/>
        </w:rPr>
        <w:t>b</w:t>
      </w:r>
      <w:r w:rsidR="00CB7902">
        <w:rPr>
          <w:rFonts w:ascii="Calibri" w:hAnsi="Calibri" w:cs="Calibri"/>
          <w:szCs w:val="24"/>
          <w:lang w:val="en-US"/>
        </w:rPr>
        <w:t xml:space="preserve"> and Alex Sinnett</w:t>
      </w:r>
      <w:r w:rsidR="00C23D79">
        <w:rPr>
          <w:rFonts w:ascii="Calibri" w:hAnsi="Calibri" w:cs="Calibri"/>
          <w:szCs w:val="24"/>
          <w:vertAlign w:val="superscript"/>
          <w:lang w:val="en-US"/>
        </w:rPr>
        <w:t>b</w:t>
      </w:r>
    </w:p>
    <w:p w14:paraId="55550AD5" w14:textId="77777777" w:rsidR="00EA6486" w:rsidRDefault="00EA6486" w:rsidP="00EA6486">
      <w:pPr>
        <w:spacing w:after="0" w:line="240" w:lineRule="auto"/>
        <w:rPr>
          <w:rFonts w:ascii="Calibri" w:hAnsi="Calibri" w:cs="Calibri"/>
          <w:szCs w:val="24"/>
          <w:vertAlign w:val="superscript"/>
          <w:lang w:val="en-US"/>
        </w:rPr>
      </w:pPr>
    </w:p>
    <w:p w14:paraId="5E4A7AAD" w14:textId="42B3FD06" w:rsidR="00EA6486" w:rsidRPr="00CD359A" w:rsidRDefault="00EA6486" w:rsidP="00EA6486">
      <w:pPr>
        <w:spacing w:after="0" w:line="240" w:lineRule="auto"/>
        <w:rPr>
          <w:rFonts w:ascii="Calibri" w:hAnsi="Calibri" w:cs="Calibri"/>
          <w:sz w:val="20"/>
          <w:szCs w:val="20"/>
          <w:lang w:val="en-US"/>
        </w:rPr>
      </w:pPr>
      <w:r w:rsidRPr="00CD359A">
        <w:rPr>
          <w:rFonts w:ascii="Calibri" w:hAnsi="Calibri" w:cs="Calibri"/>
          <w:sz w:val="20"/>
          <w:szCs w:val="20"/>
          <w:vertAlign w:val="superscript"/>
          <w:lang w:val="en-US"/>
        </w:rPr>
        <w:t>a</w:t>
      </w:r>
      <w:r w:rsidRPr="00CD359A">
        <w:rPr>
          <w:rFonts w:ascii="Calibri" w:hAnsi="Calibri" w:cs="Calibri"/>
          <w:sz w:val="20"/>
          <w:szCs w:val="20"/>
          <w:lang w:val="en-US"/>
        </w:rPr>
        <w:t xml:space="preserve"> Postgraduate student, UNE Business School</w:t>
      </w:r>
      <w:r w:rsidR="00445C92" w:rsidRPr="00CD359A">
        <w:rPr>
          <w:rFonts w:ascii="Calibri" w:hAnsi="Calibri" w:cs="Calibri"/>
          <w:sz w:val="20"/>
          <w:szCs w:val="20"/>
          <w:lang w:val="en-US"/>
        </w:rPr>
        <w:t xml:space="preserve">, University of </w:t>
      </w:r>
      <w:r w:rsidR="00CC479D">
        <w:rPr>
          <w:rFonts w:ascii="Calibri" w:hAnsi="Calibri" w:cs="Calibri"/>
          <w:sz w:val="20"/>
          <w:szCs w:val="20"/>
          <w:lang w:val="en-US"/>
        </w:rPr>
        <w:t>N</w:t>
      </w:r>
      <w:r w:rsidR="00445C92" w:rsidRPr="00CD359A">
        <w:rPr>
          <w:rFonts w:ascii="Calibri" w:hAnsi="Calibri" w:cs="Calibri"/>
          <w:sz w:val="20"/>
          <w:szCs w:val="20"/>
          <w:lang w:val="en-US"/>
        </w:rPr>
        <w:t>ew England, Armidale</w:t>
      </w:r>
      <w:r w:rsidR="00CC479D">
        <w:rPr>
          <w:rFonts w:ascii="Calibri" w:hAnsi="Calibri" w:cs="Calibri"/>
          <w:sz w:val="20"/>
          <w:szCs w:val="20"/>
          <w:lang w:val="en-US"/>
        </w:rPr>
        <w:t>.</w:t>
      </w:r>
    </w:p>
    <w:p w14:paraId="2CB89CE1" w14:textId="77886E50" w:rsidR="00445C92" w:rsidRPr="00CD359A" w:rsidRDefault="00445C92" w:rsidP="00EA6486">
      <w:pPr>
        <w:spacing w:after="0" w:line="240" w:lineRule="auto"/>
        <w:rPr>
          <w:rFonts w:ascii="Calibri" w:hAnsi="Calibri" w:cs="Calibri"/>
          <w:sz w:val="20"/>
          <w:szCs w:val="20"/>
          <w:lang w:val="en-US"/>
        </w:rPr>
      </w:pPr>
      <w:r w:rsidRPr="00CD359A">
        <w:rPr>
          <w:rFonts w:ascii="Calibri" w:hAnsi="Calibri" w:cs="Calibri"/>
          <w:sz w:val="20"/>
          <w:szCs w:val="20"/>
          <w:vertAlign w:val="superscript"/>
          <w:lang w:val="en-US"/>
        </w:rPr>
        <w:t xml:space="preserve">b </w:t>
      </w:r>
      <w:r w:rsidRPr="00CD359A">
        <w:rPr>
          <w:rFonts w:ascii="Calibri" w:hAnsi="Calibri" w:cs="Calibri"/>
          <w:sz w:val="20"/>
          <w:szCs w:val="20"/>
          <w:lang w:val="en-US"/>
        </w:rPr>
        <w:t>School of</w:t>
      </w:r>
      <w:r w:rsidR="00400A80" w:rsidRPr="00CD359A">
        <w:rPr>
          <w:rFonts w:ascii="Calibri" w:hAnsi="Calibri" w:cs="Calibri"/>
          <w:sz w:val="20"/>
          <w:szCs w:val="20"/>
          <w:lang w:val="en-US"/>
        </w:rPr>
        <w:t xml:space="preserve"> Agriculture, Food and Ecosystem Sciences, University of Melbourne, Parkville.</w:t>
      </w:r>
    </w:p>
    <w:p w14:paraId="4C2A5F2D" w14:textId="006E69B1" w:rsidR="00400A80" w:rsidRPr="00445C92" w:rsidRDefault="00CD359A" w:rsidP="00EA6486">
      <w:pPr>
        <w:spacing w:after="0" w:line="240" w:lineRule="auto"/>
        <w:rPr>
          <w:rFonts w:ascii="Calibri" w:hAnsi="Calibri" w:cs="Calibri"/>
          <w:szCs w:val="24"/>
          <w:lang w:val="en-US"/>
        </w:rPr>
      </w:pPr>
      <w:r>
        <w:rPr>
          <w:rFonts w:ascii="Calibri" w:hAnsi="Calibri" w:cs="Calibri"/>
          <w:szCs w:val="24"/>
          <w:lang w:val="en-US"/>
        </w:rPr>
        <w:t>--------------------------------------------------------------------------------------------------------------------------</w:t>
      </w:r>
    </w:p>
    <w:p w14:paraId="6D020868" w14:textId="77777777" w:rsidR="00CD359A" w:rsidRPr="009A4875" w:rsidRDefault="00CD359A" w:rsidP="00F2205B">
      <w:pPr>
        <w:spacing w:after="0" w:line="240" w:lineRule="auto"/>
        <w:jc w:val="both"/>
        <w:rPr>
          <w:rFonts w:ascii="Calibri" w:hAnsi="Calibri" w:cs="Calibri"/>
          <w:b/>
          <w:bCs/>
          <w:szCs w:val="24"/>
        </w:rPr>
      </w:pPr>
      <w:r w:rsidRPr="009A4875">
        <w:rPr>
          <w:rFonts w:ascii="Calibri" w:hAnsi="Calibri" w:cs="Calibri"/>
          <w:b/>
          <w:bCs/>
          <w:szCs w:val="24"/>
        </w:rPr>
        <w:t>Abstract</w:t>
      </w:r>
    </w:p>
    <w:p w14:paraId="2DE926A5" w14:textId="77777777" w:rsidR="000E1E58" w:rsidRDefault="000E1E58" w:rsidP="00F2205B">
      <w:pPr>
        <w:spacing w:after="0" w:line="240" w:lineRule="auto"/>
        <w:jc w:val="both"/>
        <w:rPr>
          <w:rFonts w:ascii="Calibri" w:hAnsi="Calibri" w:cs="Calibri"/>
          <w:sz w:val="22"/>
        </w:rPr>
      </w:pPr>
    </w:p>
    <w:p w14:paraId="5C2CC79B" w14:textId="7AE21311" w:rsidR="009A4875" w:rsidRDefault="000E1E58" w:rsidP="00F2205B">
      <w:pPr>
        <w:spacing w:after="0" w:line="240" w:lineRule="auto"/>
        <w:jc w:val="both"/>
        <w:rPr>
          <w:rFonts w:ascii="Calibri" w:hAnsi="Calibri" w:cs="Calibri"/>
          <w:sz w:val="22"/>
        </w:rPr>
      </w:pPr>
      <w:r>
        <w:rPr>
          <w:rFonts w:ascii="Calibri" w:hAnsi="Calibri" w:cs="Calibri"/>
          <w:sz w:val="22"/>
        </w:rPr>
        <w:t>A</w:t>
      </w:r>
      <w:r w:rsidR="00954DE6">
        <w:rPr>
          <w:rFonts w:ascii="Calibri" w:hAnsi="Calibri" w:cs="Calibri"/>
          <w:sz w:val="22"/>
        </w:rPr>
        <w:t>ccording to Foodbank Australia</w:t>
      </w:r>
      <w:r w:rsidR="002F2BEB">
        <w:rPr>
          <w:rFonts w:ascii="Calibri" w:hAnsi="Calibri" w:cs="Calibri"/>
          <w:sz w:val="22"/>
        </w:rPr>
        <w:t>, a</w:t>
      </w:r>
      <w:r w:rsidRPr="00F2205B">
        <w:rPr>
          <w:rFonts w:ascii="Calibri" w:hAnsi="Calibri" w:cs="Calibri"/>
          <w:sz w:val="22"/>
        </w:rPr>
        <w:t xml:space="preserve">pproximately one in </w:t>
      </w:r>
      <w:r>
        <w:rPr>
          <w:rFonts w:ascii="Calibri" w:hAnsi="Calibri" w:cs="Calibri"/>
          <w:sz w:val="22"/>
        </w:rPr>
        <w:t>three</w:t>
      </w:r>
      <w:r w:rsidRPr="00F2205B">
        <w:rPr>
          <w:rFonts w:ascii="Calibri" w:hAnsi="Calibri" w:cs="Calibri"/>
          <w:sz w:val="22"/>
        </w:rPr>
        <w:t xml:space="preserve"> Australian</w:t>
      </w:r>
      <w:r>
        <w:rPr>
          <w:rFonts w:ascii="Calibri" w:hAnsi="Calibri" w:cs="Calibri"/>
          <w:sz w:val="22"/>
        </w:rPr>
        <w:t xml:space="preserve"> households</w:t>
      </w:r>
      <w:r w:rsidRPr="00F2205B">
        <w:rPr>
          <w:rFonts w:ascii="Calibri" w:hAnsi="Calibri" w:cs="Calibri"/>
          <w:sz w:val="22"/>
        </w:rPr>
        <w:t xml:space="preserve"> experienced food insecurity </w:t>
      </w:r>
      <w:r w:rsidR="002F2BEB">
        <w:rPr>
          <w:rFonts w:ascii="Calibri" w:hAnsi="Calibri" w:cs="Calibri"/>
          <w:sz w:val="22"/>
        </w:rPr>
        <w:t>during 2025</w:t>
      </w:r>
      <w:r>
        <w:rPr>
          <w:rFonts w:ascii="Calibri" w:hAnsi="Calibri" w:cs="Calibri"/>
          <w:sz w:val="22"/>
        </w:rPr>
        <w:t>, where f</w:t>
      </w:r>
      <w:r w:rsidRPr="00F2205B">
        <w:rPr>
          <w:rFonts w:ascii="Calibri" w:hAnsi="Calibri" w:cs="Calibri"/>
          <w:sz w:val="22"/>
        </w:rPr>
        <w:t>ood insecurity refers to limited or uncertain access to adequate food due to financial or other resource constraints.</w:t>
      </w:r>
      <w:r>
        <w:rPr>
          <w:rFonts w:ascii="Calibri" w:hAnsi="Calibri" w:cs="Calibri"/>
          <w:sz w:val="22"/>
        </w:rPr>
        <w:t xml:space="preserve"> </w:t>
      </w:r>
      <w:r w:rsidR="00896705">
        <w:rPr>
          <w:rFonts w:ascii="Calibri" w:hAnsi="Calibri" w:cs="Calibri"/>
          <w:sz w:val="22"/>
        </w:rPr>
        <w:t>This level of food insecur</w:t>
      </w:r>
      <w:r w:rsidR="00766747">
        <w:rPr>
          <w:rFonts w:ascii="Calibri" w:hAnsi="Calibri" w:cs="Calibri"/>
          <w:sz w:val="22"/>
        </w:rPr>
        <w:t xml:space="preserve">ity has been evident for several years. </w:t>
      </w:r>
      <w:r w:rsidRPr="00F2205B">
        <w:rPr>
          <w:rFonts w:ascii="Calibri" w:hAnsi="Calibri" w:cs="Calibri"/>
          <w:sz w:val="22"/>
        </w:rPr>
        <w:t xml:space="preserve">Food insecure people frequently suffer from malnutrition, which has wide-ranging effects on different people. </w:t>
      </w:r>
      <w:r w:rsidR="002F2BEB">
        <w:rPr>
          <w:rFonts w:ascii="Calibri" w:hAnsi="Calibri" w:cs="Calibri"/>
          <w:sz w:val="22"/>
        </w:rPr>
        <w:t>Other</w:t>
      </w:r>
      <w:r w:rsidRPr="00F2205B">
        <w:rPr>
          <w:rFonts w:ascii="Calibri" w:hAnsi="Calibri" w:cs="Calibri"/>
          <w:sz w:val="22"/>
        </w:rPr>
        <w:t xml:space="preserve"> concerns of food insecurity are diet</w:t>
      </w:r>
      <w:r w:rsidR="00200C34">
        <w:rPr>
          <w:rFonts w:ascii="Calibri" w:hAnsi="Calibri" w:cs="Calibri"/>
          <w:sz w:val="22"/>
        </w:rPr>
        <w:t>-</w:t>
      </w:r>
      <w:r w:rsidRPr="00F2205B">
        <w:rPr>
          <w:rFonts w:ascii="Calibri" w:hAnsi="Calibri" w:cs="Calibri"/>
          <w:sz w:val="22"/>
        </w:rPr>
        <w:t xml:space="preserve">related risks such as obesity, diabetes, and heart disease. There are also tertiary health impacts including poorer oral health, bone and joint problems, </w:t>
      </w:r>
      <w:r w:rsidR="00CF5B3D">
        <w:rPr>
          <w:rFonts w:ascii="Calibri" w:hAnsi="Calibri" w:cs="Calibri"/>
          <w:sz w:val="22"/>
        </w:rPr>
        <w:t xml:space="preserve">and </w:t>
      </w:r>
      <w:r w:rsidRPr="00F2205B">
        <w:rPr>
          <w:rFonts w:ascii="Calibri" w:hAnsi="Calibri" w:cs="Calibri"/>
          <w:sz w:val="22"/>
        </w:rPr>
        <w:t>mental health disorders, including depression, anxiety and mood disorders</w:t>
      </w:r>
      <w:r>
        <w:rPr>
          <w:rFonts w:ascii="Calibri" w:hAnsi="Calibri" w:cs="Calibri"/>
          <w:sz w:val="22"/>
        </w:rPr>
        <w:t xml:space="preserve">. </w:t>
      </w:r>
      <w:r w:rsidRPr="00F2205B">
        <w:rPr>
          <w:rFonts w:ascii="Calibri" w:hAnsi="Calibri" w:cs="Calibri"/>
          <w:sz w:val="22"/>
        </w:rPr>
        <w:t>These effects are amplified when present in children, who are approximately 50</w:t>
      </w:r>
      <w:r>
        <w:rPr>
          <w:rFonts w:ascii="Calibri" w:hAnsi="Calibri" w:cs="Calibri"/>
          <w:sz w:val="22"/>
        </w:rPr>
        <w:t xml:space="preserve"> per cent</w:t>
      </w:r>
      <w:r w:rsidRPr="00F2205B">
        <w:rPr>
          <w:rFonts w:ascii="Calibri" w:hAnsi="Calibri" w:cs="Calibri"/>
          <w:sz w:val="22"/>
        </w:rPr>
        <w:t xml:space="preserve"> more likely to be food insecure than adults</w:t>
      </w:r>
      <w:r>
        <w:rPr>
          <w:rFonts w:ascii="Calibri" w:hAnsi="Calibri" w:cs="Calibri"/>
          <w:sz w:val="22"/>
        </w:rPr>
        <w:t>.</w:t>
      </w:r>
    </w:p>
    <w:p w14:paraId="1CD2854A" w14:textId="77777777" w:rsidR="000E1E58" w:rsidRDefault="000E1E58" w:rsidP="00F2205B">
      <w:pPr>
        <w:spacing w:after="0" w:line="240" w:lineRule="auto"/>
        <w:jc w:val="both"/>
        <w:rPr>
          <w:rFonts w:ascii="Calibri" w:hAnsi="Calibri" w:cs="Calibri"/>
          <w:sz w:val="22"/>
        </w:rPr>
      </w:pPr>
    </w:p>
    <w:p w14:paraId="6AB4B6CE" w14:textId="77777777" w:rsidR="00E21CE0" w:rsidRDefault="000E1E58" w:rsidP="000E1E58">
      <w:pPr>
        <w:spacing w:after="0" w:line="240" w:lineRule="auto"/>
        <w:jc w:val="both"/>
        <w:rPr>
          <w:rFonts w:ascii="Calibri" w:hAnsi="Calibri" w:cs="Calibri"/>
          <w:sz w:val="22"/>
        </w:rPr>
      </w:pPr>
      <w:r w:rsidRPr="00F2205B">
        <w:rPr>
          <w:rFonts w:ascii="Calibri" w:hAnsi="Calibri" w:cs="Calibri"/>
          <w:sz w:val="22"/>
        </w:rPr>
        <w:t>On 29 November 2023, the Legislative Council of Victoria requ</w:t>
      </w:r>
      <w:r w:rsidR="00FC7F00">
        <w:rPr>
          <w:rFonts w:ascii="Calibri" w:hAnsi="Calibri" w:cs="Calibri"/>
          <w:sz w:val="22"/>
        </w:rPr>
        <w:t>ested</w:t>
      </w:r>
      <w:r w:rsidRPr="00F2205B">
        <w:rPr>
          <w:rFonts w:ascii="Calibri" w:hAnsi="Calibri" w:cs="Calibri"/>
          <w:sz w:val="22"/>
        </w:rPr>
        <w:t xml:space="preserve"> the Legal and Social Issues Committee to review </w:t>
      </w:r>
      <w:r w:rsidR="00D53FC2">
        <w:rPr>
          <w:rFonts w:ascii="Calibri" w:hAnsi="Calibri" w:cs="Calibri"/>
          <w:sz w:val="22"/>
        </w:rPr>
        <w:t xml:space="preserve">aspects of </w:t>
      </w:r>
      <w:r w:rsidRPr="00F2205B">
        <w:rPr>
          <w:rFonts w:ascii="Calibri" w:hAnsi="Calibri" w:cs="Calibri"/>
          <w:sz w:val="22"/>
        </w:rPr>
        <w:t xml:space="preserve">food </w:t>
      </w:r>
      <w:r>
        <w:rPr>
          <w:rFonts w:ascii="Calibri" w:hAnsi="Calibri" w:cs="Calibri"/>
          <w:sz w:val="22"/>
        </w:rPr>
        <w:t>i</w:t>
      </w:r>
      <w:r w:rsidRPr="00F2205B">
        <w:rPr>
          <w:rFonts w:ascii="Calibri" w:hAnsi="Calibri" w:cs="Calibri"/>
          <w:sz w:val="22"/>
        </w:rPr>
        <w:t>nsecurity in Victoria</w:t>
      </w:r>
      <w:r>
        <w:rPr>
          <w:rFonts w:ascii="Calibri" w:hAnsi="Calibri" w:cs="Calibri"/>
          <w:sz w:val="22"/>
        </w:rPr>
        <w:t xml:space="preserve">. </w:t>
      </w:r>
      <w:r w:rsidRPr="00F2205B">
        <w:rPr>
          <w:rFonts w:ascii="Calibri" w:hAnsi="Calibri" w:cs="Calibri"/>
          <w:sz w:val="22"/>
        </w:rPr>
        <w:t xml:space="preserve">The final report </w:t>
      </w:r>
      <w:r w:rsidRPr="000F64C2">
        <w:rPr>
          <w:rFonts w:ascii="Calibri" w:hAnsi="Calibri" w:cs="Calibri"/>
          <w:i/>
          <w:iCs/>
          <w:sz w:val="22"/>
        </w:rPr>
        <w:t>Food Security in Victoria</w:t>
      </w:r>
      <w:r w:rsidRPr="00F2205B">
        <w:rPr>
          <w:rFonts w:ascii="Calibri" w:hAnsi="Calibri" w:cs="Calibri"/>
          <w:sz w:val="22"/>
        </w:rPr>
        <w:t xml:space="preserve"> was tabled on 14 November 2024 and included 33 </w:t>
      </w:r>
      <w:r w:rsidR="00D53FC2">
        <w:rPr>
          <w:rFonts w:ascii="Calibri" w:hAnsi="Calibri" w:cs="Calibri"/>
          <w:sz w:val="22"/>
        </w:rPr>
        <w:t>f</w:t>
      </w:r>
      <w:r w:rsidRPr="00F2205B">
        <w:rPr>
          <w:rFonts w:ascii="Calibri" w:hAnsi="Calibri" w:cs="Calibri"/>
          <w:sz w:val="22"/>
        </w:rPr>
        <w:t>indings and 25 recommendations for the Victorian Government to alleviate food insecurity.</w:t>
      </w:r>
      <w:r>
        <w:rPr>
          <w:rFonts w:ascii="Calibri" w:hAnsi="Calibri" w:cs="Calibri"/>
          <w:sz w:val="22"/>
        </w:rPr>
        <w:t xml:space="preserve"> </w:t>
      </w:r>
      <w:r w:rsidRPr="00F2205B">
        <w:rPr>
          <w:rFonts w:ascii="Calibri" w:hAnsi="Calibri" w:cs="Calibri"/>
          <w:sz w:val="22"/>
        </w:rPr>
        <w:t>The Victorian Government responded to the inquiry on 31 July 2025, outlining which recommendations in the report the Government intended to implement, which needed further research, and which would not be adopted</w:t>
      </w:r>
      <w:r>
        <w:rPr>
          <w:rFonts w:ascii="Calibri" w:hAnsi="Calibri" w:cs="Calibri"/>
          <w:sz w:val="22"/>
        </w:rPr>
        <w:t xml:space="preserve">. </w:t>
      </w:r>
    </w:p>
    <w:p w14:paraId="78E91F58" w14:textId="77777777" w:rsidR="00E21CE0" w:rsidRDefault="00E21CE0" w:rsidP="000E1E58">
      <w:pPr>
        <w:spacing w:after="0" w:line="240" w:lineRule="auto"/>
        <w:jc w:val="both"/>
        <w:rPr>
          <w:rFonts w:ascii="Calibri" w:hAnsi="Calibri" w:cs="Calibri"/>
          <w:sz w:val="22"/>
        </w:rPr>
      </w:pPr>
    </w:p>
    <w:p w14:paraId="7637C4E4" w14:textId="42E0E135" w:rsidR="0083379B" w:rsidRPr="00F2205B" w:rsidRDefault="000E1E58" w:rsidP="0083379B">
      <w:pPr>
        <w:spacing w:after="0" w:line="240" w:lineRule="auto"/>
        <w:jc w:val="both"/>
        <w:rPr>
          <w:rFonts w:ascii="Calibri" w:hAnsi="Calibri" w:cs="Calibri"/>
          <w:sz w:val="22"/>
          <w:lang w:val="en-US"/>
        </w:rPr>
      </w:pPr>
      <w:r>
        <w:rPr>
          <w:rFonts w:ascii="Calibri" w:hAnsi="Calibri" w:cs="Calibri"/>
          <w:sz w:val="22"/>
        </w:rPr>
        <w:t>In this paper, four of the recommendations are examined</w:t>
      </w:r>
      <w:r w:rsidR="00E618A5">
        <w:rPr>
          <w:rFonts w:ascii="Calibri" w:hAnsi="Calibri" w:cs="Calibri"/>
          <w:sz w:val="22"/>
        </w:rPr>
        <w:t>. These recommendati</w:t>
      </w:r>
      <w:r w:rsidR="008339F3">
        <w:rPr>
          <w:rFonts w:ascii="Calibri" w:hAnsi="Calibri" w:cs="Calibri"/>
          <w:sz w:val="22"/>
        </w:rPr>
        <w:t>ons</w:t>
      </w:r>
      <w:r>
        <w:rPr>
          <w:rFonts w:ascii="Calibri" w:hAnsi="Calibri" w:cs="Calibri"/>
          <w:sz w:val="22"/>
        </w:rPr>
        <w:t xml:space="preserve"> received support in principle </w:t>
      </w:r>
      <w:r w:rsidR="00350CE6">
        <w:rPr>
          <w:rFonts w:ascii="Calibri" w:hAnsi="Calibri" w:cs="Calibri"/>
          <w:sz w:val="22"/>
        </w:rPr>
        <w:t xml:space="preserve">from the Victorian Government, </w:t>
      </w:r>
      <w:r>
        <w:rPr>
          <w:rFonts w:ascii="Calibri" w:hAnsi="Calibri" w:cs="Calibri"/>
          <w:sz w:val="22"/>
        </w:rPr>
        <w:t xml:space="preserve">but without a commitment to implement, indicating </w:t>
      </w:r>
      <w:r w:rsidRPr="00F2205B">
        <w:rPr>
          <w:rFonts w:ascii="Calibri" w:hAnsi="Calibri" w:cs="Calibri"/>
          <w:sz w:val="22"/>
        </w:rPr>
        <w:t xml:space="preserve">a desire for further information before </w:t>
      </w:r>
      <w:r w:rsidR="00E20D6B">
        <w:rPr>
          <w:rFonts w:ascii="Calibri" w:hAnsi="Calibri" w:cs="Calibri"/>
          <w:sz w:val="22"/>
        </w:rPr>
        <w:t>a final decision was made</w:t>
      </w:r>
      <w:r>
        <w:rPr>
          <w:rFonts w:ascii="Calibri" w:hAnsi="Calibri" w:cs="Calibri"/>
          <w:sz w:val="22"/>
        </w:rPr>
        <w:t>.</w:t>
      </w:r>
      <w:r w:rsidR="00E21CE0">
        <w:rPr>
          <w:rFonts w:ascii="Calibri" w:hAnsi="Calibri" w:cs="Calibri"/>
          <w:sz w:val="22"/>
        </w:rPr>
        <w:t xml:space="preserve"> </w:t>
      </w:r>
      <w:r w:rsidR="0083379B" w:rsidRPr="00F2205B">
        <w:rPr>
          <w:rFonts w:ascii="Calibri" w:hAnsi="Calibri" w:cs="Calibri"/>
          <w:sz w:val="22"/>
        </w:rPr>
        <w:t xml:space="preserve">The review found that the recommendations were </w:t>
      </w:r>
      <w:r w:rsidR="0083379B">
        <w:rPr>
          <w:rFonts w:ascii="Calibri" w:hAnsi="Calibri" w:cs="Calibri"/>
          <w:sz w:val="22"/>
        </w:rPr>
        <w:t>potentially effective</w:t>
      </w:r>
      <w:r w:rsidR="0083379B" w:rsidRPr="00F2205B">
        <w:rPr>
          <w:rFonts w:ascii="Calibri" w:hAnsi="Calibri" w:cs="Calibri"/>
          <w:sz w:val="22"/>
        </w:rPr>
        <w:t xml:space="preserve"> from an economic theory perspective. However, the recommendations were often not supported by empirical evidence or directly conflicted with the international evidence on outcomes. The Victorian Government would benefit from further independent research into the recommendations explored in this review to determine feasibility and predicted outcomes.</w:t>
      </w:r>
      <w:r w:rsidR="0083379B">
        <w:rPr>
          <w:rFonts w:ascii="Calibri" w:hAnsi="Calibri" w:cs="Calibri"/>
          <w:sz w:val="22"/>
        </w:rPr>
        <w:t xml:space="preserve"> A range of suggested recommendations for further research </w:t>
      </w:r>
      <w:r w:rsidR="00A43E36">
        <w:rPr>
          <w:rFonts w:ascii="Calibri" w:hAnsi="Calibri" w:cs="Calibri"/>
          <w:sz w:val="22"/>
        </w:rPr>
        <w:t>are</w:t>
      </w:r>
      <w:r w:rsidR="0083379B">
        <w:rPr>
          <w:rFonts w:ascii="Calibri" w:hAnsi="Calibri" w:cs="Calibri"/>
          <w:sz w:val="22"/>
        </w:rPr>
        <w:t xml:space="preserve"> proposed.</w:t>
      </w:r>
    </w:p>
    <w:p w14:paraId="142F7627" w14:textId="77777777" w:rsidR="0083379B" w:rsidRPr="00F2205B" w:rsidRDefault="0083379B" w:rsidP="000E1E58">
      <w:pPr>
        <w:spacing w:after="0" w:line="240" w:lineRule="auto"/>
        <w:jc w:val="both"/>
        <w:rPr>
          <w:rFonts w:ascii="Calibri" w:hAnsi="Calibri" w:cs="Calibri"/>
          <w:sz w:val="22"/>
        </w:rPr>
      </w:pPr>
    </w:p>
    <w:p w14:paraId="2B752BF9" w14:textId="613B3562" w:rsidR="009A4875" w:rsidRDefault="009A4875" w:rsidP="00F2205B">
      <w:pPr>
        <w:spacing w:after="0" w:line="240" w:lineRule="auto"/>
        <w:jc w:val="both"/>
        <w:rPr>
          <w:rFonts w:ascii="Calibri" w:hAnsi="Calibri" w:cs="Calibri"/>
          <w:sz w:val="22"/>
        </w:rPr>
      </w:pPr>
      <w:r w:rsidRPr="009A4875">
        <w:rPr>
          <w:rFonts w:ascii="Calibri" w:hAnsi="Calibri" w:cs="Calibri"/>
          <w:b/>
          <w:bCs/>
          <w:i/>
          <w:iCs/>
          <w:sz w:val="22"/>
        </w:rPr>
        <w:t>Keywords</w:t>
      </w:r>
      <w:r>
        <w:rPr>
          <w:rFonts w:ascii="Calibri" w:hAnsi="Calibri" w:cs="Calibri"/>
          <w:sz w:val="22"/>
        </w:rPr>
        <w:t>:</w:t>
      </w:r>
      <w:r w:rsidR="009A4AC2">
        <w:rPr>
          <w:rFonts w:ascii="Calibri" w:hAnsi="Calibri" w:cs="Calibri"/>
          <w:sz w:val="22"/>
        </w:rPr>
        <w:t xml:space="preserve"> food insecurity, food relief sector, social cost, tax incentives, food waste, food relief audit</w:t>
      </w:r>
    </w:p>
    <w:p w14:paraId="79A372D7" w14:textId="380EC595" w:rsidR="00154870" w:rsidRPr="009A4875" w:rsidRDefault="00E951CB" w:rsidP="009A4875">
      <w:pPr>
        <w:pStyle w:val="Heading1"/>
      </w:pPr>
      <w:bookmarkStart w:id="0" w:name="_Toc214802079"/>
      <w:r w:rsidRPr="009A4875">
        <w:lastRenderedPageBreak/>
        <w:t>Introduction</w:t>
      </w:r>
      <w:bookmarkEnd w:id="0"/>
    </w:p>
    <w:p w14:paraId="4D07D0B8" w14:textId="77777777" w:rsidR="00DD780D" w:rsidRDefault="00DD780D" w:rsidP="009A4875">
      <w:pPr>
        <w:spacing w:after="0" w:line="240" w:lineRule="auto"/>
        <w:jc w:val="both"/>
        <w:rPr>
          <w:rFonts w:ascii="Calibri" w:hAnsi="Calibri" w:cs="Calibri"/>
          <w:sz w:val="22"/>
        </w:rPr>
      </w:pPr>
    </w:p>
    <w:p w14:paraId="63CC0882" w14:textId="4807C011" w:rsidR="00885478" w:rsidRDefault="008B3E36" w:rsidP="009A4875">
      <w:pPr>
        <w:spacing w:after="0" w:line="240" w:lineRule="auto"/>
        <w:jc w:val="both"/>
        <w:rPr>
          <w:rFonts w:ascii="Calibri" w:hAnsi="Calibri" w:cs="Calibri"/>
          <w:sz w:val="22"/>
        </w:rPr>
      </w:pPr>
      <w:r w:rsidRPr="00F2205B">
        <w:rPr>
          <w:rFonts w:ascii="Calibri" w:hAnsi="Calibri" w:cs="Calibri"/>
          <w:sz w:val="22"/>
        </w:rPr>
        <w:t xml:space="preserve">Australia is a wealthy nation with a </w:t>
      </w:r>
      <w:r w:rsidR="009E3601">
        <w:rPr>
          <w:rFonts w:ascii="Calibri" w:hAnsi="Calibri" w:cs="Calibri"/>
          <w:sz w:val="22"/>
        </w:rPr>
        <w:t>large and productive</w:t>
      </w:r>
      <w:r w:rsidRPr="00F2205B">
        <w:rPr>
          <w:rFonts w:ascii="Calibri" w:hAnsi="Calibri" w:cs="Calibri"/>
          <w:sz w:val="22"/>
        </w:rPr>
        <w:t xml:space="preserve"> agricultural </w:t>
      </w:r>
      <w:r w:rsidR="00DD7FB6" w:rsidRPr="00F2205B">
        <w:rPr>
          <w:rFonts w:ascii="Calibri" w:hAnsi="Calibri" w:cs="Calibri"/>
          <w:sz w:val="22"/>
        </w:rPr>
        <w:t>sector,</w:t>
      </w:r>
      <w:r w:rsidRPr="00F2205B">
        <w:rPr>
          <w:rFonts w:ascii="Calibri" w:hAnsi="Calibri" w:cs="Calibri"/>
          <w:sz w:val="22"/>
        </w:rPr>
        <w:t xml:space="preserve"> so i</w:t>
      </w:r>
      <w:r w:rsidR="00901A03" w:rsidRPr="00F2205B">
        <w:rPr>
          <w:rFonts w:ascii="Calibri" w:hAnsi="Calibri" w:cs="Calibri"/>
          <w:sz w:val="22"/>
        </w:rPr>
        <w:t xml:space="preserve">t may seem paradoxical for a country as wealthy as Australia to have a significant </w:t>
      </w:r>
      <w:r w:rsidR="009E3601">
        <w:rPr>
          <w:rFonts w:ascii="Calibri" w:hAnsi="Calibri" w:cs="Calibri"/>
          <w:sz w:val="22"/>
        </w:rPr>
        <w:t>number</w:t>
      </w:r>
      <w:r w:rsidR="00901A03" w:rsidRPr="00F2205B">
        <w:rPr>
          <w:rFonts w:ascii="Calibri" w:hAnsi="Calibri" w:cs="Calibri"/>
          <w:sz w:val="22"/>
        </w:rPr>
        <w:t xml:space="preserve"> of </w:t>
      </w:r>
      <w:r w:rsidR="0064281A" w:rsidRPr="00F2205B">
        <w:rPr>
          <w:rFonts w:ascii="Calibri" w:hAnsi="Calibri" w:cs="Calibri"/>
          <w:sz w:val="22"/>
        </w:rPr>
        <w:t>household’s</w:t>
      </w:r>
      <w:r w:rsidR="00901A03" w:rsidRPr="00F2205B">
        <w:rPr>
          <w:rFonts w:ascii="Calibri" w:hAnsi="Calibri" w:cs="Calibri"/>
          <w:sz w:val="22"/>
        </w:rPr>
        <w:t xml:space="preserve"> experience challenges in accessing adequate food. </w:t>
      </w:r>
      <w:r w:rsidRPr="00F2205B">
        <w:rPr>
          <w:rFonts w:ascii="Calibri" w:hAnsi="Calibri" w:cs="Calibri"/>
          <w:sz w:val="22"/>
        </w:rPr>
        <w:t>However</w:t>
      </w:r>
      <w:r w:rsidR="009E3601">
        <w:rPr>
          <w:rFonts w:ascii="Calibri" w:hAnsi="Calibri" w:cs="Calibri"/>
          <w:sz w:val="22"/>
        </w:rPr>
        <w:t>,</w:t>
      </w:r>
      <w:r w:rsidR="009301C3" w:rsidRPr="00F2205B">
        <w:rPr>
          <w:rFonts w:ascii="Calibri" w:hAnsi="Calibri" w:cs="Calibri"/>
          <w:sz w:val="22"/>
        </w:rPr>
        <w:t xml:space="preserve"> </w:t>
      </w:r>
      <w:r w:rsidR="009E3601" w:rsidRPr="00F2205B">
        <w:rPr>
          <w:rFonts w:ascii="Calibri" w:hAnsi="Calibri" w:cs="Calibri"/>
          <w:sz w:val="22"/>
        </w:rPr>
        <w:t xml:space="preserve">according to </w:t>
      </w:r>
      <w:r w:rsidR="009E3601">
        <w:rPr>
          <w:rFonts w:ascii="Calibri" w:hAnsi="Calibri" w:cs="Calibri"/>
          <w:sz w:val="22"/>
        </w:rPr>
        <w:t xml:space="preserve">the </w:t>
      </w:r>
      <w:r w:rsidR="009E3601" w:rsidRPr="009E3601">
        <w:rPr>
          <w:rFonts w:ascii="Calibri" w:hAnsi="Calibri" w:cs="Calibri"/>
          <w:i/>
          <w:iCs/>
          <w:sz w:val="22"/>
        </w:rPr>
        <w:t>Foodbank</w:t>
      </w:r>
      <w:r w:rsidR="009E3601" w:rsidRPr="00F2205B">
        <w:rPr>
          <w:rFonts w:ascii="Calibri" w:hAnsi="Calibri" w:cs="Calibri"/>
          <w:sz w:val="22"/>
        </w:rPr>
        <w:t xml:space="preserve"> </w:t>
      </w:r>
      <w:r w:rsidR="009E3601" w:rsidRPr="009E3601">
        <w:rPr>
          <w:rFonts w:ascii="Calibri" w:hAnsi="Calibri" w:cs="Calibri"/>
          <w:i/>
          <w:iCs/>
          <w:sz w:val="22"/>
        </w:rPr>
        <w:t>Hunger Report</w:t>
      </w:r>
      <w:r w:rsidR="009E3601">
        <w:rPr>
          <w:rFonts w:ascii="Calibri" w:hAnsi="Calibri" w:cs="Calibri"/>
          <w:i/>
          <w:iCs/>
          <w:sz w:val="22"/>
        </w:rPr>
        <w:t xml:space="preserve"> 2025,</w:t>
      </w:r>
      <w:r w:rsidR="009E3601" w:rsidRPr="00F2205B">
        <w:rPr>
          <w:rFonts w:ascii="Calibri" w:hAnsi="Calibri" w:cs="Calibri"/>
          <w:sz w:val="22"/>
        </w:rPr>
        <w:t xml:space="preserve"> </w:t>
      </w:r>
      <w:r w:rsidR="009301C3" w:rsidRPr="00F2205B">
        <w:rPr>
          <w:rFonts w:ascii="Calibri" w:hAnsi="Calibri" w:cs="Calibri"/>
          <w:sz w:val="22"/>
        </w:rPr>
        <w:t>a</w:t>
      </w:r>
      <w:r w:rsidR="00AD363F" w:rsidRPr="00F2205B">
        <w:rPr>
          <w:rFonts w:ascii="Calibri" w:hAnsi="Calibri" w:cs="Calibri"/>
          <w:sz w:val="22"/>
        </w:rPr>
        <w:t xml:space="preserve">pproximately one in </w:t>
      </w:r>
      <w:r w:rsidR="000A0CE0">
        <w:rPr>
          <w:rFonts w:ascii="Calibri" w:hAnsi="Calibri" w:cs="Calibri"/>
          <w:sz w:val="22"/>
        </w:rPr>
        <w:t xml:space="preserve">three </w:t>
      </w:r>
      <w:r w:rsidR="00AD363F" w:rsidRPr="00F2205B">
        <w:rPr>
          <w:rFonts w:ascii="Calibri" w:hAnsi="Calibri" w:cs="Calibri"/>
          <w:sz w:val="22"/>
        </w:rPr>
        <w:t>Australian</w:t>
      </w:r>
      <w:r w:rsidR="000A0CE0">
        <w:rPr>
          <w:rFonts w:ascii="Calibri" w:hAnsi="Calibri" w:cs="Calibri"/>
          <w:sz w:val="22"/>
        </w:rPr>
        <w:t xml:space="preserve"> households</w:t>
      </w:r>
      <w:r w:rsidR="00AD363F" w:rsidRPr="00F2205B">
        <w:rPr>
          <w:rFonts w:ascii="Calibri" w:hAnsi="Calibri" w:cs="Calibri"/>
          <w:sz w:val="22"/>
        </w:rPr>
        <w:t xml:space="preserve"> experienced </w:t>
      </w:r>
      <w:r w:rsidR="00EA7F14">
        <w:rPr>
          <w:rFonts w:ascii="Calibri" w:hAnsi="Calibri" w:cs="Calibri"/>
          <w:sz w:val="22"/>
        </w:rPr>
        <w:t xml:space="preserve">severe or moderate </w:t>
      </w:r>
      <w:r w:rsidR="00AD363F" w:rsidRPr="00F2205B">
        <w:rPr>
          <w:rFonts w:ascii="Calibri" w:hAnsi="Calibri" w:cs="Calibri"/>
          <w:sz w:val="22"/>
        </w:rPr>
        <w:t xml:space="preserve">food insecurity </w:t>
      </w:r>
      <w:r w:rsidR="00350CE6">
        <w:rPr>
          <w:rFonts w:ascii="Calibri" w:hAnsi="Calibri" w:cs="Calibri"/>
          <w:sz w:val="22"/>
        </w:rPr>
        <w:t>during 2025</w:t>
      </w:r>
      <w:r w:rsidR="00E148F6">
        <w:rPr>
          <w:rFonts w:ascii="Calibri" w:hAnsi="Calibri" w:cs="Calibri"/>
          <w:sz w:val="22"/>
        </w:rPr>
        <w:t xml:space="preserve"> </w:t>
      </w:r>
      <w:r w:rsidR="009E3601">
        <w:rPr>
          <w:rFonts w:ascii="Calibri" w:hAnsi="Calibri" w:cs="Calibri"/>
          <w:sz w:val="22"/>
        </w:rPr>
        <w:t>(Foodbank</w:t>
      </w:r>
      <w:r w:rsidR="00D27368">
        <w:rPr>
          <w:rFonts w:ascii="Calibri" w:hAnsi="Calibri" w:cs="Calibri"/>
          <w:sz w:val="22"/>
        </w:rPr>
        <w:t xml:space="preserve"> Australia</w:t>
      </w:r>
      <w:r w:rsidR="009E3601">
        <w:rPr>
          <w:rFonts w:ascii="Calibri" w:hAnsi="Calibri" w:cs="Calibri"/>
          <w:sz w:val="22"/>
        </w:rPr>
        <w:t>, 2025)</w:t>
      </w:r>
      <w:r w:rsidR="00AD363F" w:rsidRPr="00F2205B">
        <w:rPr>
          <w:rFonts w:ascii="Calibri" w:hAnsi="Calibri" w:cs="Calibri"/>
          <w:sz w:val="22"/>
        </w:rPr>
        <w:t xml:space="preserve">. </w:t>
      </w:r>
      <w:r w:rsidR="003A1988">
        <w:rPr>
          <w:rFonts w:ascii="Calibri" w:hAnsi="Calibri" w:cs="Calibri"/>
          <w:sz w:val="22"/>
        </w:rPr>
        <w:t>A further 11 per cent of households</w:t>
      </w:r>
      <w:r w:rsidR="00A3523A">
        <w:rPr>
          <w:rFonts w:ascii="Calibri" w:hAnsi="Calibri" w:cs="Calibri"/>
          <w:sz w:val="22"/>
        </w:rPr>
        <w:t xml:space="preserve"> experienced marginal food insecurity</w:t>
      </w:r>
      <w:r w:rsidR="007547A7">
        <w:rPr>
          <w:rFonts w:ascii="Calibri" w:hAnsi="Calibri" w:cs="Calibri"/>
          <w:sz w:val="22"/>
        </w:rPr>
        <w:t xml:space="preserve">. Looked at another way, only 56 per cent of Australian households were classified as </w:t>
      </w:r>
      <w:r w:rsidR="00D264A0">
        <w:rPr>
          <w:rFonts w:ascii="Calibri" w:hAnsi="Calibri" w:cs="Calibri"/>
          <w:sz w:val="22"/>
        </w:rPr>
        <w:t>highly food secure, which means th</w:t>
      </w:r>
      <w:r w:rsidR="00E148F6">
        <w:rPr>
          <w:rFonts w:ascii="Calibri" w:hAnsi="Calibri" w:cs="Calibri"/>
          <w:sz w:val="22"/>
        </w:rPr>
        <w:t>e</w:t>
      </w:r>
      <w:r w:rsidR="00D264A0">
        <w:rPr>
          <w:rFonts w:ascii="Calibri" w:hAnsi="Calibri" w:cs="Calibri"/>
          <w:sz w:val="22"/>
        </w:rPr>
        <w:t>y had no problems getting sufficient food</w:t>
      </w:r>
      <w:r w:rsidR="00A74BAD">
        <w:rPr>
          <w:rFonts w:ascii="Calibri" w:hAnsi="Calibri" w:cs="Calibri"/>
          <w:sz w:val="22"/>
        </w:rPr>
        <w:t>.</w:t>
      </w:r>
      <w:r w:rsidR="00324BBC">
        <w:rPr>
          <w:rFonts w:ascii="Calibri" w:hAnsi="Calibri" w:cs="Calibri"/>
          <w:sz w:val="22"/>
        </w:rPr>
        <w:t xml:space="preserve"> </w:t>
      </w:r>
      <w:r w:rsidR="00E148F6">
        <w:rPr>
          <w:rFonts w:ascii="Calibri" w:hAnsi="Calibri" w:cs="Calibri"/>
          <w:sz w:val="22"/>
        </w:rPr>
        <w:t>It was noted that t</w:t>
      </w:r>
      <w:r w:rsidR="00324BBC">
        <w:rPr>
          <w:rFonts w:ascii="Calibri" w:hAnsi="Calibri" w:cs="Calibri"/>
          <w:sz w:val="22"/>
        </w:rPr>
        <w:t xml:space="preserve">he proportion of households classed as food insecure has risen in recent years </w:t>
      </w:r>
      <w:r w:rsidR="00FA0A1F">
        <w:rPr>
          <w:rFonts w:ascii="Calibri" w:hAnsi="Calibri" w:cs="Calibri"/>
          <w:sz w:val="22"/>
        </w:rPr>
        <w:t>due to cost</w:t>
      </w:r>
      <w:r w:rsidR="00CE3695">
        <w:rPr>
          <w:rFonts w:ascii="Calibri" w:hAnsi="Calibri" w:cs="Calibri"/>
          <w:sz w:val="22"/>
        </w:rPr>
        <w:t>-</w:t>
      </w:r>
      <w:r w:rsidR="00FA0A1F">
        <w:rPr>
          <w:rFonts w:ascii="Calibri" w:hAnsi="Calibri" w:cs="Calibri"/>
          <w:sz w:val="22"/>
        </w:rPr>
        <w:t>of</w:t>
      </w:r>
      <w:r w:rsidR="00CE3695">
        <w:rPr>
          <w:rFonts w:ascii="Calibri" w:hAnsi="Calibri" w:cs="Calibri"/>
          <w:sz w:val="22"/>
        </w:rPr>
        <w:t>-</w:t>
      </w:r>
      <w:r w:rsidR="00FA0A1F">
        <w:rPr>
          <w:rFonts w:ascii="Calibri" w:hAnsi="Calibri" w:cs="Calibri"/>
          <w:sz w:val="22"/>
        </w:rPr>
        <w:t>living pressures and housing affordability in particular (Food</w:t>
      </w:r>
      <w:r w:rsidR="00D27368">
        <w:rPr>
          <w:rFonts w:ascii="Calibri" w:hAnsi="Calibri" w:cs="Calibri"/>
          <w:sz w:val="22"/>
        </w:rPr>
        <w:t>bank Australia, 20</w:t>
      </w:r>
      <w:r w:rsidR="00F828E2">
        <w:rPr>
          <w:rFonts w:ascii="Calibri" w:hAnsi="Calibri" w:cs="Calibri"/>
          <w:sz w:val="22"/>
        </w:rPr>
        <w:t>2</w:t>
      </w:r>
      <w:r w:rsidR="00D27368">
        <w:rPr>
          <w:rFonts w:ascii="Calibri" w:hAnsi="Calibri" w:cs="Calibri"/>
          <w:sz w:val="22"/>
        </w:rPr>
        <w:t>5)</w:t>
      </w:r>
      <w:r w:rsidR="00F828E2">
        <w:rPr>
          <w:rFonts w:ascii="Calibri" w:hAnsi="Calibri" w:cs="Calibri"/>
          <w:sz w:val="22"/>
        </w:rPr>
        <w:t>.</w:t>
      </w:r>
    </w:p>
    <w:p w14:paraId="2213B389" w14:textId="77777777" w:rsidR="009A4875" w:rsidRPr="00F2205B" w:rsidRDefault="009A4875" w:rsidP="009A4875">
      <w:pPr>
        <w:spacing w:after="0" w:line="240" w:lineRule="auto"/>
        <w:jc w:val="both"/>
        <w:rPr>
          <w:rFonts w:ascii="Calibri" w:hAnsi="Calibri" w:cs="Calibri"/>
          <w:sz w:val="22"/>
        </w:rPr>
      </w:pPr>
    </w:p>
    <w:p w14:paraId="3D99DCE3" w14:textId="02985C89" w:rsidR="0064281A" w:rsidRPr="00D54411" w:rsidRDefault="002A5F05" w:rsidP="00944D7F">
      <w:pPr>
        <w:pStyle w:val="Heading2"/>
      </w:pPr>
      <w:r w:rsidRPr="00D54411">
        <w:t xml:space="preserve">Defining </w:t>
      </w:r>
      <w:r w:rsidR="009E3601" w:rsidRPr="00D54411">
        <w:t>f</w:t>
      </w:r>
      <w:r w:rsidR="0064281A" w:rsidRPr="00D54411">
        <w:t xml:space="preserve">ood </w:t>
      </w:r>
      <w:r w:rsidR="009E3601" w:rsidRPr="00D54411">
        <w:t>i</w:t>
      </w:r>
      <w:r w:rsidR="0064281A" w:rsidRPr="00D54411">
        <w:t xml:space="preserve">nsecurity </w:t>
      </w:r>
    </w:p>
    <w:p w14:paraId="557B1B5E" w14:textId="77777777" w:rsidR="009A4875" w:rsidRPr="009A4875" w:rsidRDefault="009A4875" w:rsidP="009A4875">
      <w:pPr>
        <w:spacing w:after="0" w:line="240" w:lineRule="auto"/>
      </w:pPr>
    </w:p>
    <w:p w14:paraId="7356D32F" w14:textId="34393186" w:rsidR="00D1090C" w:rsidRDefault="00D1090C" w:rsidP="009A4875">
      <w:pPr>
        <w:spacing w:after="0" w:line="240" w:lineRule="auto"/>
        <w:jc w:val="both"/>
        <w:rPr>
          <w:rFonts w:ascii="Calibri" w:hAnsi="Calibri" w:cs="Calibri"/>
          <w:sz w:val="22"/>
        </w:rPr>
      </w:pPr>
      <w:r w:rsidRPr="00D1090C">
        <w:rPr>
          <w:rFonts w:ascii="Calibri" w:hAnsi="Calibri" w:cs="Calibri"/>
          <w:sz w:val="22"/>
        </w:rPr>
        <w:t>According to the Food and Agriculture Organisation</w:t>
      </w:r>
      <w:r w:rsidR="002A694F">
        <w:rPr>
          <w:rFonts w:ascii="Calibri" w:hAnsi="Calibri" w:cs="Calibri"/>
          <w:sz w:val="22"/>
        </w:rPr>
        <w:t xml:space="preserve"> (</w:t>
      </w:r>
      <w:r w:rsidR="00F84D62">
        <w:rPr>
          <w:rFonts w:ascii="Calibri" w:hAnsi="Calibri" w:cs="Calibri"/>
          <w:sz w:val="22"/>
        </w:rPr>
        <w:t>Stamoulis and Zezza, 2003; FAO, 2008)</w:t>
      </w:r>
      <w:r w:rsidR="00863849">
        <w:rPr>
          <w:rFonts w:ascii="Calibri" w:hAnsi="Calibri" w:cs="Calibri"/>
          <w:sz w:val="22"/>
        </w:rPr>
        <w:t>,</w:t>
      </w:r>
      <w:r w:rsidRPr="00D1090C">
        <w:rPr>
          <w:rFonts w:ascii="Calibri" w:hAnsi="Calibri" w:cs="Calibri"/>
          <w:sz w:val="22"/>
        </w:rPr>
        <w:t xml:space="preserve"> food insecurity is defined as </w:t>
      </w:r>
      <w:r w:rsidR="00863849">
        <w:rPr>
          <w:rFonts w:ascii="Calibri" w:hAnsi="Calibri" w:cs="Calibri"/>
          <w:sz w:val="22"/>
        </w:rPr>
        <w:t>‘</w:t>
      </w:r>
      <w:r w:rsidRPr="00D1090C">
        <w:rPr>
          <w:rFonts w:ascii="Calibri" w:hAnsi="Calibri" w:cs="Calibri"/>
          <w:sz w:val="22"/>
        </w:rPr>
        <w:t>individuals or households having limited or uncertain physical, social or economic access to sufficient, safe, nutritious and culturally relevant food.</w:t>
      </w:r>
      <w:r w:rsidR="00863849">
        <w:rPr>
          <w:rFonts w:ascii="Calibri" w:hAnsi="Calibri" w:cs="Calibri"/>
          <w:sz w:val="22"/>
        </w:rPr>
        <w:t>’</w:t>
      </w:r>
      <w:r w:rsidRPr="00D1090C">
        <w:rPr>
          <w:rFonts w:ascii="Calibri" w:hAnsi="Calibri" w:cs="Calibri"/>
          <w:sz w:val="22"/>
        </w:rPr>
        <w:t xml:space="preserve"> </w:t>
      </w:r>
    </w:p>
    <w:p w14:paraId="7CC3EFDA" w14:textId="77777777" w:rsidR="00D1090C" w:rsidRDefault="00D1090C" w:rsidP="009A4875">
      <w:pPr>
        <w:spacing w:after="0" w:line="240" w:lineRule="auto"/>
        <w:jc w:val="both"/>
        <w:rPr>
          <w:rFonts w:ascii="Calibri" w:hAnsi="Calibri" w:cs="Calibri"/>
          <w:sz w:val="22"/>
        </w:rPr>
      </w:pPr>
    </w:p>
    <w:p w14:paraId="36637464" w14:textId="30AEF118" w:rsidR="008249D1" w:rsidRPr="00F2205B" w:rsidRDefault="00687DEF" w:rsidP="009A4875">
      <w:pPr>
        <w:spacing w:after="0" w:line="240" w:lineRule="auto"/>
        <w:jc w:val="both"/>
        <w:rPr>
          <w:rFonts w:ascii="Calibri" w:hAnsi="Calibri" w:cs="Calibri"/>
          <w:sz w:val="22"/>
        </w:rPr>
      </w:pPr>
      <w:r w:rsidRPr="00F2205B">
        <w:rPr>
          <w:rFonts w:ascii="Calibri" w:hAnsi="Calibri" w:cs="Calibri"/>
          <w:sz w:val="22"/>
        </w:rPr>
        <w:t xml:space="preserve">There are many options for </w:t>
      </w:r>
      <w:r w:rsidR="009C56FE">
        <w:rPr>
          <w:rFonts w:ascii="Calibri" w:hAnsi="Calibri" w:cs="Calibri"/>
          <w:sz w:val="22"/>
        </w:rPr>
        <w:t>classifying</w:t>
      </w:r>
      <w:r w:rsidRPr="00F2205B">
        <w:rPr>
          <w:rFonts w:ascii="Calibri" w:hAnsi="Calibri" w:cs="Calibri"/>
          <w:sz w:val="22"/>
        </w:rPr>
        <w:t xml:space="preserve"> </w:t>
      </w:r>
      <w:r w:rsidR="00815461">
        <w:rPr>
          <w:rFonts w:ascii="Calibri" w:hAnsi="Calibri" w:cs="Calibri"/>
          <w:sz w:val="22"/>
        </w:rPr>
        <w:t xml:space="preserve">degrees of </w:t>
      </w:r>
      <w:r w:rsidRPr="00F2205B">
        <w:rPr>
          <w:rFonts w:ascii="Calibri" w:hAnsi="Calibri" w:cs="Calibri"/>
          <w:sz w:val="22"/>
        </w:rPr>
        <w:t xml:space="preserve">food insecurity, </w:t>
      </w:r>
      <w:r w:rsidR="00643C91" w:rsidRPr="00F2205B">
        <w:rPr>
          <w:rFonts w:ascii="Calibri" w:hAnsi="Calibri" w:cs="Calibri"/>
          <w:sz w:val="22"/>
        </w:rPr>
        <w:t>however the two major categories are:</w:t>
      </w:r>
    </w:p>
    <w:p w14:paraId="60E6165B" w14:textId="056A5833" w:rsidR="00643C91" w:rsidRPr="00F2205B" w:rsidRDefault="00643C91" w:rsidP="00F2205B">
      <w:pPr>
        <w:pStyle w:val="ListParagraph"/>
        <w:numPr>
          <w:ilvl w:val="0"/>
          <w:numId w:val="11"/>
        </w:numPr>
        <w:spacing w:after="0" w:line="240" w:lineRule="auto"/>
        <w:ind w:left="0" w:firstLine="0"/>
        <w:jc w:val="both"/>
        <w:rPr>
          <w:rFonts w:ascii="Calibri" w:hAnsi="Calibri" w:cs="Calibri"/>
          <w:sz w:val="22"/>
        </w:rPr>
      </w:pPr>
      <w:r w:rsidRPr="00F2205B">
        <w:rPr>
          <w:rFonts w:ascii="Calibri" w:hAnsi="Calibri" w:cs="Calibri"/>
          <w:sz w:val="22"/>
        </w:rPr>
        <w:t xml:space="preserve">Food insecurity with </w:t>
      </w:r>
      <w:r w:rsidR="0010349C" w:rsidRPr="00F2205B">
        <w:rPr>
          <w:rFonts w:ascii="Calibri" w:hAnsi="Calibri" w:cs="Calibri"/>
          <w:sz w:val="22"/>
        </w:rPr>
        <w:t>h</w:t>
      </w:r>
      <w:r w:rsidRPr="00F2205B">
        <w:rPr>
          <w:rFonts w:ascii="Calibri" w:hAnsi="Calibri" w:cs="Calibri"/>
          <w:sz w:val="22"/>
        </w:rPr>
        <w:t xml:space="preserve">unger </w:t>
      </w:r>
      <w:r w:rsidR="0010349C" w:rsidRPr="00F2205B">
        <w:rPr>
          <w:rFonts w:ascii="Calibri" w:hAnsi="Calibri" w:cs="Calibri"/>
          <w:sz w:val="22"/>
        </w:rPr>
        <w:t>(</w:t>
      </w:r>
      <w:r w:rsidR="00F828E2">
        <w:rPr>
          <w:rFonts w:ascii="Calibri" w:hAnsi="Calibri" w:cs="Calibri"/>
          <w:sz w:val="22"/>
        </w:rPr>
        <w:t>s</w:t>
      </w:r>
      <w:r w:rsidR="0010349C" w:rsidRPr="00F2205B">
        <w:rPr>
          <w:rFonts w:ascii="Calibri" w:hAnsi="Calibri" w:cs="Calibri"/>
          <w:sz w:val="22"/>
        </w:rPr>
        <w:t>evere)</w:t>
      </w:r>
      <w:r w:rsidR="00502272" w:rsidRPr="00F2205B">
        <w:rPr>
          <w:rFonts w:ascii="Calibri" w:hAnsi="Calibri" w:cs="Calibri"/>
          <w:sz w:val="22"/>
        </w:rPr>
        <w:t xml:space="preserve"> </w:t>
      </w:r>
      <w:r w:rsidRPr="00F2205B">
        <w:rPr>
          <w:rFonts w:ascii="Calibri" w:hAnsi="Calibri" w:cs="Calibri"/>
          <w:sz w:val="22"/>
        </w:rPr>
        <w:t xml:space="preserve">– </w:t>
      </w:r>
      <w:r w:rsidR="00C03948">
        <w:rPr>
          <w:rFonts w:ascii="Calibri" w:hAnsi="Calibri" w:cs="Calibri"/>
          <w:sz w:val="22"/>
        </w:rPr>
        <w:t>p</w:t>
      </w:r>
      <w:r w:rsidR="00502272" w:rsidRPr="00F2205B">
        <w:rPr>
          <w:rFonts w:ascii="Calibri" w:hAnsi="Calibri" w:cs="Calibri"/>
          <w:sz w:val="22"/>
        </w:rPr>
        <w:t>eople</w:t>
      </w:r>
      <w:r w:rsidRPr="00F2205B">
        <w:rPr>
          <w:rFonts w:ascii="Calibri" w:hAnsi="Calibri" w:cs="Calibri"/>
          <w:sz w:val="22"/>
        </w:rPr>
        <w:t xml:space="preserve"> or households </w:t>
      </w:r>
      <w:r w:rsidR="004013E7" w:rsidRPr="00F2205B">
        <w:rPr>
          <w:rFonts w:ascii="Calibri" w:hAnsi="Calibri" w:cs="Calibri"/>
          <w:sz w:val="22"/>
        </w:rPr>
        <w:t xml:space="preserve">are required to reduce the </w:t>
      </w:r>
      <w:r w:rsidR="004013E7" w:rsidRPr="00F2205B">
        <w:rPr>
          <w:rFonts w:ascii="Calibri" w:hAnsi="Calibri" w:cs="Calibri"/>
          <w:i/>
          <w:iCs/>
          <w:sz w:val="22"/>
        </w:rPr>
        <w:t xml:space="preserve">quantity </w:t>
      </w:r>
      <w:r w:rsidR="004013E7" w:rsidRPr="00F2205B">
        <w:rPr>
          <w:rFonts w:ascii="Calibri" w:hAnsi="Calibri" w:cs="Calibri"/>
          <w:sz w:val="22"/>
        </w:rPr>
        <w:t>of food consumed, leading to hunger.</w:t>
      </w:r>
    </w:p>
    <w:p w14:paraId="75A2A2BF" w14:textId="6425AEF2" w:rsidR="004013E7" w:rsidRPr="00F2205B" w:rsidRDefault="004013E7" w:rsidP="00F2205B">
      <w:pPr>
        <w:pStyle w:val="ListParagraph"/>
        <w:numPr>
          <w:ilvl w:val="0"/>
          <w:numId w:val="11"/>
        </w:numPr>
        <w:spacing w:after="0" w:line="240" w:lineRule="auto"/>
        <w:ind w:left="0" w:firstLine="0"/>
        <w:jc w:val="both"/>
        <w:rPr>
          <w:rFonts w:ascii="Calibri" w:hAnsi="Calibri" w:cs="Calibri"/>
          <w:sz w:val="22"/>
        </w:rPr>
      </w:pPr>
      <w:r w:rsidRPr="00F2205B">
        <w:rPr>
          <w:rFonts w:ascii="Calibri" w:hAnsi="Calibri" w:cs="Calibri"/>
          <w:sz w:val="22"/>
        </w:rPr>
        <w:t xml:space="preserve">Food insecurity without hunger </w:t>
      </w:r>
      <w:r w:rsidR="0010349C" w:rsidRPr="00F2205B">
        <w:rPr>
          <w:rFonts w:ascii="Calibri" w:hAnsi="Calibri" w:cs="Calibri"/>
          <w:sz w:val="22"/>
        </w:rPr>
        <w:t>(</w:t>
      </w:r>
      <w:r w:rsidR="00F828E2">
        <w:rPr>
          <w:rFonts w:ascii="Calibri" w:hAnsi="Calibri" w:cs="Calibri"/>
          <w:sz w:val="22"/>
        </w:rPr>
        <w:t>m</w:t>
      </w:r>
      <w:r w:rsidR="0010349C" w:rsidRPr="00F2205B">
        <w:rPr>
          <w:rFonts w:ascii="Calibri" w:hAnsi="Calibri" w:cs="Calibri"/>
          <w:sz w:val="22"/>
        </w:rPr>
        <w:t>oderate)</w:t>
      </w:r>
      <w:r w:rsidR="00502272" w:rsidRPr="00F2205B">
        <w:rPr>
          <w:rFonts w:ascii="Calibri" w:hAnsi="Calibri" w:cs="Calibri"/>
          <w:sz w:val="22"/>
        </w:rPr>
        <w:t xml:space="preserve"> </w:t>
      </w:r>
      <w:r w:rsidRPr="00F2205B">
        <w:rPr>
          <w:rFonts w:ascii="Calibri" w:hAnsi="Calibri" w:cs="Calibri"/>
          <w:sz w:val="22"/>
        </w:rPr>
        <w:t>–</w:t>
      </w:r>
      <w:r w:rsidR="00502272" w:rsidRPr="00F2205B">
        <w:rPr>
          <w:rFonts w:ascii="Calibri" w:hAnsi="Calibri" w:cs="Calibri"/>
          <w:sz w:val="22"/>
        </w:rPr>
        <w:t xml:space="preserve"> </w:t>
      </w:r>
      <w:r w:rsidR="00C03948">
        <w:rPr>
          <w:rFonts w:ascii="Calibri" w:hAnsi="Calibri" w:cs="Calibri"/>
          <w:sz w:val="22"/>
        </w:rPr>
        <w:t>p</w:t>
      </w:r>
      <w:r w:rsidRPr="00F2205B">
        <w:rPr>
          <w:rFonts w:ascii="Calibri" w:hAnsi="Calibri" w:cs="Calibri"/>
          <w:sz w:val="22"/>
        </w:rPr>
        <w:t xml:space="preserve">eople or households are required to reduce the </w:t>
      </w:r>
      <w:r w:rsidRPr="00F2205B">
        <w:rPr>
          <w:rFonts w:ascii="Calibri" w:hAnsi="Calibri" w:cs="Calibri"/>
          <w:i/>
          <w:iCs/>
          <w:sz w:val="22"/>
        </w:rPr>
        <w:t>quality</w:t>
      </w:r>
      <w:r w:rsidRPr="00F2205B">
        <w:rPr>
          <w:rFonts w:ascii="Calibri" w:hAnsi="Calibri" w:cs="Calibri"/>
          <w:sz w:val="22"/>
        </w:rPr>
        <w:t xml:space="preserve"> of food consumed, leading to potential malnutrition.</w:t>
      </w:r>
    </w:p>
    <w:p w14:paraId="2E13519E" w14:textId="77777777" w:rsidR="009E3601" w:rsidRDefault="009E3601" w:rsidP="00F2205B">
      <w:pPr>
        <w:spacing w:after="0" w:line="240" w:lineRule="auto"/>
        <w:jc w:val="both"/>
        <w:rPr>
          <w:rFonts w:ascii="Calibri" w:hAnsi="Calibri" w:cs="Calibri"/>
          <w:sz w:val="22"/>
        </w:rPr>
      </w:pPr>
    </w:p>
    <w:p w14:paraId="2442EBF9" w14:textId="0D46EA3E" w:rsidR="008249D1" w:rsidRPr="00F2205B" w:rsidRDefault="0010349C" w:rsidP="00F2205B">
      <w:pPr>
        <w:spacing w:after="0" w:line="240" w:lineRule="auto"/>
        <w:jc w:val="both"/>
        <w:rPr>
          <w:rFonts w:ascii="Calibri" w:hAnsi="Calibri" w:cs="Calibri"/>
          <w:sz w:val="22"/>
        </w:rPr>
      </w:pPr>
      <w:r w:rsidRPr="00F2205B">
        <w:rPr>
          <w:rFonts w:ascii="Calibri" w:hAnsi="Calibri" w:cs="Calibri"/>
          <w:sz w:val="22"/>
        </w:rPr>
        <w:t>Severe food insecurity</w:t>
      </w:r>
      <w:r w:rsidR="004013E7" w:rsidRPr="00F2205B">
        <w:rPr>
          <w:rFonts w:ascii="Calibri" w:hAnsi="Calibri" w:cs="Calibri"/>
          <w:sz w:val="22"/>
        </w:rPr>
        <w:t xml:space="preserve"> is more </w:t>
      </w:r>
      <w:r w:rsidR="001603AA">
        <w:rPr>
          <w:rFonts w:ascii="Calibri" w:hAnsi="Calibri" w:cs="Calibri"/>
          <w:sz w:val="22"/>
        </w:rPr>
        <w:t>recognised</w:t>
      </w:r>
      <w:r w:rsidR="00674A7A">
        <w:rPr>
          <w:rFonts w:ascii="Calibri" w:hAnsi="Calibri" w:cs="Calibri"/>
          <w:sz w:val="22"/>
        </w:rPr>
        <w:t xml:space="preserve"> in the public media </w:t>
      </w:r>
      <w:r w:rsidR="004013E7" w:rsidRPr="00F2205B">
        <w:rPr>
          <w:rFonts w:ascii="Calibri" w:hAnsi="Calibri" w:cs="Calibri"/>
          <w:sz w:val="22"/>
        </w:rPr>
        <w:t xml:space="preserve">than </w:t>
      </w:r>
      <w:r w:rsidRPr="00F2205B">
        <w:rPr>
          <w:rFonts w:ascii="Calibri" w:hAnsi="Calibri" w:cs="Calibri"/>
          <w:sz w:val="22"/>
        </w:rPr>
        <w:t xml:space="preserve">moderate food insecurity. </w:t>
      </w:r>
      <w:r w:rsidR="00674A7A">
        <w:rPr>
          <w:rFonts w:ascii="Calibri" w:hAnsi="Calibri" w:cs="Calibri"/>
          <w:sz w:val="22"/>
        </w:rPr>
        <w:t>However, w</w:t>
      </w:r>
      <w:r w:rsidRPr="00F2205B">
        <w:rPr>
          <w:rFonts w:ascii="Calibri" w:hAnsi="Calibri" w:cs="Calibri"/>
          <w:sz w:val="22"/>
        </w:rPr>
        <w:t>hile risk to lives is higher for those experiencing sever</w:t>
      </w:r>
      <w:r w:rsidR="00DD7FB6" w:rsidRPr="00F2205B">
        <w:rPr>
          <w:rFonts w:ascii="Calibri" w:hAnsi="Calibri" w:cs="Calibri"/>
          <w:sz w:val="22"/>
        </w:rPr>
        <w:t>e</w:t>
      </w:r>
      <w:r w:rsidRPr="00F2205B">
        <w:rPr>
          <w:rFonts w:ascii="Calibri" w:hAnsi="Calibri" w:cs="Calibri"/>
          <w:sz w:val="22"/>
        </w:rPr>
        <w:t xml:space="preserve"> food insecurity, </w:t>
      </w:r>
      <w:r w:rsidR="001A7661" w:rsidRPr="00F2205B">
        <w:rPr>
          <w:rFonts w:ascii="Calibri" w:hAnsi="Calibri" w:cs="Calibri"/>
          <w:sz w:val="22"/>
        </w:rPr>
        <w:t xml:space="preserve">reduced quality of food and the effects of malnutrition </w:t>
      </w:r>
      <w:r w:rsidR="006C2DA5" w:rsidRPr="00F2205B">
        <w:rPr>
          <w:rFonts w:ascii="Calibri" w:hAnsi="Calibri" w:cs="Calibri"/>
          <w:sz w:val="22"/>
        </w:rPr>
        <w:t xml:space="preserve">from moderate food insecurity </w:t>
      </w:r>
      <w:r w:rsidR="001A7661" w:rsidRPr="00F2205B">
        <w:rPr>
          <w:rFonts w:ascii="Calibri" w:hAnsi="Calibri" w:cs="Calibri"/>
          <w:sz w:val="22"/>
        </w:rPr>
        <w:t>have long-lasting effects, especially when affecting children</w:t>
      </w:r>
      <w:r w:rsidR="00370242" w:rsidRPr="00F2205B">
        <w:rPr>
          <w:rFonts w:ascii="Calibri" w:hAnsi="Calibri" w:cs="Calibri"/>
          <w:sz w:val="22"/>
        </w:rPr>
        <w:t xml:space="preserve"> due to the lifelong impacts it causes (Australian Institute of Family Studies</w:t>
      </w:r>
      <w:r w:rsidR="00674A7A">
        <w:rPr>
          <w:rFonts w:ascii="Calibri" w:hAnsi="Calibri" w:cs="Calibri"/>
          <w:sz w:val="22"/>
        </w:rPr>
        <w:t>,</w:t>
      </w:r>
      <w:r w:rsidR="00370242" w:rsidRPr="00F2205B">
        <w:rPr>
          <w:rFonts w:ascii="Calibri" w:hAnsi="Calibri" w:cs="Calibri"/>
          <w:sz w:val="22"/>
        </w:rPr>
        <w:t xml:space="preserve"> 2019)</w:t>
      </w:r>
      <w:r w:rsidR="001A7661" w:rsidRPr="00F2205B">
        <w:rPr>
          <w:rFonts w:ascii="Calibri" w:hAnsi="Calibri" w:cs="Calibri"/>
          <w:sz w:val="22"/>
        </w:rPr>
        <w:t>.</w:t>
      </w:r>
    </w:p>
    <w:p w14:paraId="40B8F837" w14:textId="77777777" w:rsidR="009E3601" w:rsidRDefault="009E3601" w:rsidP="00F2205B">
      <w:pPr>
        <w:spacing w:after="0" w:line="240" w:lineRule="auto"/>
        <w:jc w:val="both"/>
        <w:rPr>
          <w:rFonts w:ascii="Calibri" w:hAnsi="Calibri" w:cs="Calibri"/>
          <w:sz w:val="22"/>
        </w:rPr>
      </w:pPr>
    </w:p>
    <w:p w14:paraId="4E19AEEB" w14:textId="4F0897D3" w:rsidR="00054D14" w:rsidRPr="00F2205B" w:rsidRDefault="00F007DF" w:rsidP="00F2205B">
      <w:pPr>
        <w:spacing w:after="0" w:line="240" w:lineRule="auto"/>
        <w:jc w:val="both"/>
        <w:rPr>
          <w:rFonts w:ascii="Calibri" w:hAnsi="Calibri" w:cs="Calibri"/>
          <w:sz w:val="22"/>
        </w:rPr>
      </w:pPr>
      <w:r w:rsidRPr="00F2205B">
        <w:rPr>
          <w:rFonts w:ascii="Calibri" w:hAnsi="Calibri" w:cs="Calibri"/>
          <w:sz w:val="22"/>
        </w:rPr>
        <w:t xml:space="preserve">In addition to differences in qualitative definitions, </w:t>
      </w:r>
      <w:r w:rsidR="00DD7FB6" w:rsidRPr="00F2205B">
        <w:rPr>
          <w:rFonts w:ascii="Calibri" w:hAnsi="Calibri" w:cs="Calibri"/>
          <w:sz w:val="22"/>
        </w:rPr>
        <w:t>f</w:t>
      </w:r>
      <w:r w:rsidR="0005749A" w:rsidRPr="00F2205B">
        <w:rPr>
          <w:rFonts w:ascii="Calibri" w:hAnsi="Calibri" w:cs="Calibri"/>
          <w:sz w:val="22"/>
        </w:rPr>
        <w:t xml:space="preserve">ood insecurity </w:t>
      </w:r>
      <w:r w:rsidR="0081423C" w:rsidRPr="00F2205B">
        <w:rPr>
          <w:rFonts w:ascii="Calibri" w:hAnsi="Calibri" w:cs="Calibri"/>
          <w:sz w:val="22"/>
        </w:rPr>
        <w:t xml:space="preserve">is challenging </w:t>
      </w:r>
      <w:r w:rsidR="00CE6510" w:rsidRPr="00F2205B">
        <w:rPr>
          <w:rFonts w:ascii="Calibri" w:hAnsi="Calibri" w:cs="Calibri"/>
          <w:sz w:val="22"/>
        </w:rPr>
        <w:t>to quantify</w:t>
      </w:r>
      <w:r w:rsidR="00E14AE8" w:rsidRPr="00F2205B">
        <w:rPr>
          <w:rFonts w:ascii="Calibri" w:hAnsi="Calibri" w:cs="Calibri"/>
          <w:sz w:val="22"/>
        </w:rPr>
        <w:t>.</w:t>
      </w:r>
      <w:r w:rsidR="00CE6510" w:rsidRPr="00F2205B">
        <w:rPr>
          <w:rFonts w:ascii="Calibri" w:hAnsi="Calibri" w:cs="Calibri"/>
          <w:sz w:val="22"/>
        </w:rPr>
        <w:t xml:space="preserve"> </w:t>
      </w:r>
      <w:r w:rsidR="00E14AE8" w:rsidRPr="00F2205B">
        <w:rPr>
          <w:rFonts w:ascii="Calibri" w:hAnsi="Calibri" w:cs="Calibri"/>
          <w:sz w:val="22"/>
        </w:rPr>
        <w:t>A</w:t>
      </w:r>
      <w:r w:rsidR="00E270E0" w:rsidRPr="00F2205B">
        <w:rPr>
          <w:rFonts w:ascii="Calibri" w:hAnsi="Calibri" w:cs="Calibri"/>
          <w:sz w:val="22"/>
        </w:rPr>
        <w:t xml:space="preserve"> systematic review of food insecurity rates </w:t>
      </w:r>
      <w:r w:rsidR="00E306CE" w:rsidRPr="00F2205B">
        <w:rPr>
          <w:rFonts w:ascii="Calibri" w:hAnsi="Calibri" w:cs="Calibri"/>
          <w:sz w:val="22"/>
        </w:rPr>
        <w:t>in Australia</w:t>
      </w:r>
      <w:r w:rsidR="004226B0" w:rsidRPr="00F2205B">
        <w:rPr>
          <w:rFonts w:ascii="Calibri" w:hAnsi="Calibri" w:cs="Calibri"/>
          <w:sz w:val="22"/>
        </w:rPr>
        <w:t xml:space="preserve"> recorded</w:t>
      </w:r>
      <w:r w:rsidR="00176936" w:rsidRPr="00F2205B">
        <w:rPr>
          <w:rFonts w:ascii="Calibri" w:hAnsi="Calibri" w:cs="Calibri"/>
          <w:sz w:val="22"/>
        </w:rPr>
        <w:t xml:space="preserve"> r</w:t>
      </w:r>
      <w:r w:rsidR="004226B0" w:rsidRPr="00F2205B">
        <w:rPr>
          <w:rFonts w:ascii="Calibri" w:hAnsi="Calibri" w:cs="Calibri"/>
          <w:sz w:val="22"/>
        </w:rPr>
        <w:t>ates ranging from</w:t>
      </w:r>
      <w:r w:rsidR="00176936" w:rsidRPr="00F2205B">
        <w:rPr>
          <w:rFonts w:ascii="Calibri" w:hAnsi="Calibri" w:cs="Calibri"/>
          <w:sz w:val="22"/>
        </w:rPr>
        <w:t xml:space="preserve"> 2</w:t>
      </w:r>
      <w:r w:rsidR="009E3601">
        <w:rPr>
          <w:rFonts w:ascii="Calibri" w:hAnsi="Calibri" w:cs="Calibri"/>
          <w:sz w:val="22"/>
        </w:rPr>
        <w:t xml:space="preserve"> per cent</w:t>
      </w:r>
      <w:r w:rsidR="00176936" w:rsidRPr="00F2205B">
        <w:rPr>
          <w:rFonts w:ascii="Calibri" w:hAnsi="Calibri" w:cs="Calibri"/>
          <w:sz w:val="22"/>
        </w:rPr>
        <w:t xml:space="preserve"> </w:t>
      </w:r>
      <w:r w:rsidR="004226B0" w:rsidRPr="00F2205B">
        <w:rPr>
          <w:rFonts w:ascii="Calibri" w:hAnsi="Calibri" w:cs="Calibri"/>
          <w:sz w:val="22"/>
        </w:rPr>
        <w:t>to</w:t>
      </w:r>
      <w:r w:rsidR="00176936" w:rsidRPr="00F2205B">
        <w:rPr>
          <w:rFonts w:ascii="Calibri" w:hAnsi="Calibri" w:cs="Calibri"/>
          <w:sz w:val="22"/>
        </w:rPr>
        <w:t xml:space="preserve"> 90</w:t>
      </w:r>
      <w:r w:rsidR="009E3601">
        <w:rPr>
          <w:rFonts w:ascii="Calibri" w:hAnsi="Calibri" w:cs="Calibri"/>
          <w:sz w:val="22"/>
        </w:rPr>
        <w:t xml:space="preserve"> per cent</w:t>
      </w:r>
      <w:r w:rsidR="00176936" w:rsidRPr="00F2205B">
        <w:rPr>
          <w:rFonts w:ascii="Calibri" w:hAnsi="Calibri" w:cs="Calibri"/>
          <w:sz w:val="22"/>
        </w:rPr>
        <w:t xml:space="preserve"> </w:t>
      </w:r>
      <w:r w:rsidR="00E306CE" w:rsidRPr="00F2205B">
        <w:rPr>
          <w:rFonts w:ascii="Calibri" w:hAnsi="Calibri" w:cs="Calibri"/>
          <w:sz w:val="22"/>
        </w:rPr>
        <w:t xml:space="preserve">depending on the measurement tool used </w:t>
      </w:r>
      <w:r w:rsidR="00176936" w:rsidRPr="00F2205B">
        <w:rPr>
          <w:rFonts w:ascii="Calibri" w:hAnsi="Calibri" w:cs="Calibri"/>
          <w:sz w:val="22"/>
        </w:rPr>
        <w:t>(McKay, Haines &amp; Dunn</w:t>
      </w:r>
      <w:r w:rsidR="004A3434">
        <w:rPr>
          <w:rFonts w:ascii="Calibri" w:hAnsi="Calibri" w:cs="Calibri"/>
          <w:sz w:val="22"/>
        </w:rPr>
        <w:t>,</w:t>
      </w:r>
      <w:r w:rsidR="00176936" w:rsidRPr="00F2205B">
        <w:rPr>
          <w:rFonts w:ascii="Calibri" w:hAnsi="Calibri" w:cs="Calibri"/>
          <w:sz w:val="22"/>
        </w:rPr>
        <w:t xml:space="preserve"> 2019)</w:t>
      </w:r>
      <w:r w:rsidR="002E23F7" w:rsidRPr="00F2205B">
        <w:rPr>
          <w:rFonts w:ascii="Calibri" w:hAnsi="Calibri" w:cs="Calibri"/>
          <w:sz w:val="22"/>
        </w:rPr>
        <w:t>. Foodbank</w:t>
      </w:r>
      <w:r w:rsidR="004A3434">
        <w:rPr>
          <w:rFonts w:ascii="Calibri" w:hAnsi="Calibri" w:cs="Calibri"/>
          <w:sz w:val="22"/>
        </w:rPr>
        <w:t xml:space="preserve"> Australia</w:t>
      </w:r>
      <w:r w:rsidR="00E306CE" w:rsidRPr="00F2205B">
        <w:rPr>
          <w:rFonts w:ascii="Calibri" w:hAnsi="Calibri" w:cs="Calibri"/>
          <w:sz w:val="22"/>
        </w:rPr>
        <w:t>, Australia’s largest food</w:t>
      </w:r>
      <w:r w:rsidR="00FA179D" w:rsidRPr="00F2205B">
        <w:rPr>
          <w:rFonts w:ascii="Calibri" w:hAnsi="Calibri" w:cs="Calibri"/>
          <w:sz w:val="22"/>
        </w:rPr>
        <w:t xml:space="preserve"> relief charity</w:t>
      </w:r>
      <w:r w:rsidR="00DD7FB6" w:rsidRPr="00F2205B">
        <w:rPr>
          <w:rFonts w:ascii="Calibri" w:hAnsi="Calibri" w:cs="Calibri"/>
          <w:sz w:val="22"/>
        </w:rPr>
        <w:t xml:space="preserve">, </w:t>
      </w:r>
      <w:r w:rsidR="00885478" w:rsidRPr="00F2205B">
        <w:rPr>
          <w:rFonts w:ascii="Calibri" w:hAnsi="Calibri" w:cs="Calibri"/>
          <w:sz w:val="22"/>
        </w:rPr>
        <w:t>reported food insecurity affected</w:t>
      </w:r>
      <w:r w:rsidR="004226B0" w:rsidRPr="00F2205B">
        <w:rPr>
          <w:rFonts w:ascii="Calibri" w:hAnsi="Calibri" w:cs="Calibri"/>
          <w:sz w:val="22"/>
        </w:rPr>
        <w:t xml:space="preserve"> </w:t>
      </w:r>
      <w:r w:rsidR="00CE6510" w:rsidRPr="00F2205B">
        <w:rPr>
          <w:rFonts w:ascii="Calibri" w:hAnsi="Calibri" w:cs="Calibri"/>
          <w:sz w:val="22"/>
        </w:rPr>
        <w:t>approximately 34</w:t>
      </w:r>
      <w:r w:rsidR="009E3601">
        <w:rPr>
          <w:rFonts w:ascii="Calibri" w:hAnsi="Calibri" w:cs="Calibri"/>
          <w:sz w:val="22"/>
        </w:rPr>
        <w:t xml:space="preserve"> per cent</w:t>
      </w:r>
      <w:r w:rsidR="00CE6510" w:rsidRPr="00F2205B">
        <w:rPr>
          <w:rFonts w:ascii="Calibri" w:hAnsi="Calibri" w:cs="Calibri"/>
          <w:sz w:val="22"/>
        </w:rPr>
        <w:t xml:space="preserve"> of </w:t>
      </w:r>
      <w:r w:rsidR="00DD7FB6" w:rsidRPr="00F2205B">
        <w:rPr>
          <w:rFonts w:ascii="Calibri" w:hAnsi="Calibri" w:cs="Calibri"/>
          <w:sz w:val="22"/>
        </w:rPr>
        <w:t xml:space="preserve">Australian </w:t>
      </w:r>
      <w:r w:rsidR="00CE6510" w:rsidRPr="00F2205B">
        <w:rPr>
          <w:rFonts w:ascii="Calibri" w:hAnsi="Calibri" w:cs="Calibri"/>
          <w:sz w:val="22"/>
        </w:rPr>
        <w:t>households in 2024 and 33</w:t>
      </w:r>
      <w:r w:rsidR="009E3601">
        <w:rPr>
          <w:rFonts w:ascii="Calibri" w:hAnsi="Calibri" w:cs="Calibri"/>
          <w:sz w:val="22"/>
        </w:rPr>
        <w:t xml:space="preserve"> per cent</w:t>
      </w:r>
      <w:r w:rsidR="00CE6510" w:rsidRPr="00F2205B">
        <w:rPr>
          <w:rFonts w:ascii="Calibri" w:hAnsi="Calibri" w:cs="Calibri"/>
          <w:sz w:val="22"/>
        </w:rPr>
        <w:t xml:space="preserve"> of households in 2025 (Foodbank Hunger Report</w:t>
      </w:r>
      <w:r w:rsidR="00BC1046">
        <w:rPr>
          <w:rFonts w:ascii="Calibri" w:hAnsi="Calibri" w:cs="Calibri"/>
          <w:sz w:val="22"/>
        </w:rPr>
        <w:t>,</w:t>
      </w:r>
      <w:r w:rsidR="00CE6510" w:rsidRPr="00F2205B">
        <w:rPr>
          <w:rFonts w:ascii="Calibri" w:hAnsi="Calibri" w:cs="Calibri"/>
          <w:sz w:val="22"/>
        </w:rPr>
        <w:t xml:space="preserve"> 2024</w:t>
      </w:r>
      <w:r w:rsidR="00BC1046">
        <w:rPr>
          <w:rFonts w:ascii="Calibri" w:hAnsi="Calibri" w:cs="Calibri"/>
          <w:sz w:val="22"/>
        </w:rPr>
        <w:t>;</w:t>
      </w:r>
      <w:r w:rsidR="00CE6510" w:rsidRPr="00F2205B">
        <w:rPr>
          <w:rFonts w:ascii="Calibri" w:hAnsi="Calibri" w:cs="Calibri"/>
          <w:sz w:val="22"/>
        </w:rPr>
        <w:t xml:space="preserve"> Foodbank Hunger Report</w:t>
      </w:r>
      <w:r w:rsidR="00BC1046">
        <w:rPr>
          <w:rFonts w:ascii="Calibri" w:hAnsi="Calibri" w:cs="Calibri"/>
          <w:sz w:val="22"/>
        </w:rPr>
        <w:t>,</w:t>
      </w:r>
      <w:r w:rsidR="00CE6510" w:rsidRPr="00F2205B">
        <w:rPr>
          <w:rFonts w:ascii="Calibri" w:hAnsi="Calibri" w:cs="Calibri"/>
          <w:sz w:val="22"/>
        </w:rPr>
        <w:t xml:space="preserve"> 2025). </w:t>
      </w:r>
    </w:p>
    <w:p w14:paraId="6D379955" w14:textId="77777777" w:rsidR="009A4875" w:rsidRDefault="009A4875" w:rsidP="00944D7F">
      <w:pPr>
        <w:pStyle w:val="Heading2"/>
      </w:pPr>
    </w:p>
    <w:p w14:paraId="710C58B3" w14:textId="5331A4C6" w:rsidR="00054D14" w:rsidRPr="00D54411" w:rsidRDefault="00054D14" w:rsidP="00944D7F">
      <w:pPr>
        <w:pStyle w:val="Heading2"/>
      </w:pPr>
      <w:r w:rsidRPr="00D54411">
        <w:t xml:space="preserve">Effects of </w:t>
      </w:r>
      <w:r w:rsidR="009E3601" w:rsidRPr="00D54411">
        <w:t>f</w:t>
      </w:r>
      <w:r w:rsidRPr="00D54411">
        <w:t xml:space="preserve">ood </w:t>
      </w:r>
      <w:r w:rsidR="009E3601" w:rsidRPr="00D54411">
        <w:t>i</w:t>
      </w:r>
      <w:r w:rsidRPr="00D54411">
        <w:t>nsecurity</w:t>
      </w:r>
    </w:p>
    <w:p w14:paraId="38EE6322" w14:textId="77777777" w:rsidR="009A4875" w:rsidRDefault="009A4875" w:rsidP="00F2205B">
      <w:pPr>
        <w:spacing w:after="0" w:line="240" w:lineRule="auto"/>
        <w:jc w:val="both"/>
        <w:rPr>
          <w:rFonts w:ascii="Calibri" w:hAnsi="Calibri" w:cs="Calibri"/>
          <w:sz w:val="22"/>
        </w:rPr>
      </w:pPr>
    </w:p>
    <w:p w14:paraId="01B3D0DA" w14:textId="6ACE9674" w:rsidR="00054D14" w:rsidRPr="00F2205B" w:rsidRDefault="00054D14" w:rsidP="00F2205B">
      <w:pPr>
        <w:spacing w:after="0" w:line="240" w:lineRule="auto"/>
        <w:jc w:val="both"/>
        <w:rPr>
          <w:rFonts w:ascii="Calibri" w:hAnsi="Calibri" w:cs="Calibri"/>
          <w:sz w:val="22"/>
        </w:rPr>
      </w:pPr>
      <w:r w:rsidRPr="00F2205B">
        <w:rPr>
          <w:rFonts w:ascii="Calibri" w:hAnsi="Calibri" w:cs="Calibri"/>
          <w:sz w:val="22"/>
        </w:rPr>
        <w:t xml:space="preserve">Food insecure people frequently suffer from malnutrition, which has wide-ranging effects on different </w:t>
      </w:r>
      <w:r w:rsidR="00BC1046">
        <w:rPr>
          <w:rFonts w:ascii="Calibri" w:hAnsi="Calibri" w:cs="Calibri"/>
          <w:sz w:val="22"/>
        </w:rPr>
        <w:t>individuals</w:t>
      </w:r>
      <w:r w:rsidRPr="00F2205B">
        <w:rPr>
          <w:rFonts w:ascii="Calibri" w:hAnsi="Calibri" w:cs="Calibri"/>
          <w:sz w:val="22"/>
        </w:rPr>
        <w:t>. Primary concerns of food insecurity are diet</w:t>
      </w:r>
      <w:r w:rsidR="00D7690B">
        <w:rPr>
          <w:rFonts w:ascii="Calibri" w:hAnsi="Calibri" w:cs="Calibri"/>
          <w:sz w:val="22"/>
        </w:rPr>
        <w:t>-</w:t>
      </w:r>
      <w:r w:rsidRPr="00F2205B">
        <w:rPr>
          <w:rFonts w:ascii="Calibri" w:hAnsi="Calibri" w:cs="Calibri"/>
          <w:sz w:val="22"/>
        </w:rPr>
        <w:t xml:space="preserve">related risks such as obesity, diabetes, and heart disease. There are also tertiary health impacts including poorer oral health, bone and joint problems, </w:t>
      </w:r>
      <w:r w:rsidR="00D7690B">
        <w:rPr>
          <w:rFonts w:ascii="Calibri" w:hAnsi="Calibri" w:cs="Calibri"/>
          <w:sz w:val="22"/>
        </w:rPr>
        <w:t xml:space="preserve">and </w:t>
      </w:r>
      <w:r w:rsidRPr="00F2205B">
        <w:rPr>
          <w:rFonts w:ascii="Calibri" w:hAnsi="Calibri" w:cs="Calibri"/>
          <w:sz w:val="22"/>
        </w:rPr>
        <w:t xml:space="preserve">mental health disorders, including depression, anxiety and mood disorders (Fry </w:t>
      </w:r>
      <w:r w:rsidR="009E3601">
        <w:rPr>
          <w:rFonts w:ascii="Calibri" w:hAnsi="Calibri" w:cs="Calibri"/>
          <w:sz w:val="22"/>
        </w:rPr>
        <w:t>et al.</w:t>
      </w:r>
      <w:r w:rsidR="00D7690B">
        <w:rPr>
          <w:rFonts w:ascii="Calibri" w:hAnsi="Calibri" w:cs="Calibri"/>
          <w:sz w:val="22"/>
        </w:rPr>
        <w:t xml:space="preserve">, </w:t>
      </w:r>
      <w:r w:rsidRPr="00F2205B">
        <w:rPr>
          <w:rFonts w:ascii="Calibri" w:hAnsi="Calibri" w:cs="Calibri"/>
          <w:sz w:val="22"/>
        </w:rPr>
        <w:t xml:space="preserve">2024). All of this leads to increased mortality, with food insecure adults dying an average of 9 years prematurely (Men </w:t>
      </w:r>
      <w:r w:rsidR="009E3601">
        <w:rPr>
          <w:rFonts w:ascii="Calibri" w:hAnsi="Calibri" w:cs="Calibri"/>
          <w:sz w:val="22"/>
        </w:rPr>
        <w:t>et al.</w:t>
      </w:r>
      <w:r w:rsidR="00D7690B">
        <w:rPr>
          <w:rFonts w:ascii="Calibri" w:hAnsi="Calibri" w:cs="Calibri"/>
          <w:sz w:val="22"/>
        </w:rPr>
        <w:t xml:space="preserve">, </w:t>
      </w:r>
      <w:r w:rsidRPr="00F2205B">
        <w:rPr>
          <w:rFonts w:ascii="Calibri" w:hAnsi="Calibri" w:cs="Calibri"/>
          <w:sz w:val="22"/>
        </w:rPr>
        <w:t xml:space="preserve">2020). </w:t>
      </w:r>
    </w:p>
    <w:p w14:paraId="2854FF28" w14:textId="77777777" w:rsidR="009A4875" w:rsidRDefault="009A4875" w:rsidP="00F2205B">
      <w:pPr>
        <w:spacing w:after="0" w:line="240" w:lineRule="auto"/>
        <w:jc w:val="both"/>
        <w:rPr>
          <w:rFonts w:ascii="Calibri" w:hAnsi="Calibri" w:cs="Calibri"/>
          <w:sz w:val="22"/>
        </w:rPr>
      </w:pPr>
    </w:p>
    <w:p w14:paraId="6A5FFE8E" w14:textId="69F334B5" w:rsidR="00054D14" w:rsidRPr="00F2205B" w:rsidRDefault="00054D14" w:rsidP="00F2205B">
      <w:pPr>
        <w:spacing w:after="0" w:line="240" w:lineRule="auto"/>
        <w:jc w:val="both"/>
        <w:rPr>
          <w:rFonts w:ascii="Calibri" w:hAnsi="Calibri" w:cs="Calibri"/>
          <w:sz w:val="22"/>
        </w:rPr>
      </w:pPr>
      <w:r w:rsidRPr="00F2205B">
        <w:rPr>
          <w:rFonts w:ascii="Calibri" w:hAnsi="Calibri" w:cs="Calibri"/>
          <w:sz w:val="22"/>
        </w:rPr>
        <w:t>These effects are amplified when present in children, who are approximately 50</w:t>
      </w:r>
      <w:r w:rsidR="009E3601">
        <w:rPr>
          <w:rFonts w:ascii="Calibri" w:hAnsi="Calibri" w:cs="Calibri"/>
          <w:sz w:val="22"/>
        </w:rPr>
        <w:t xml:space="preserve"> per cent</w:t>
      </w:r>
      <w:r w:rsidRPr="00F2205B">
        <w:rPr>
          <w:rFonts w:ascii="Calibri" w:hAnsi="Calibri" w:cs="Calibri"/>
          <w:sz w:val="22"/>
        </w:rPr>
        <w:t xml:space="preserve"> more likely to be food insecure than </w:t>
      </w:r>
      <w:r w:rsidR="00EF49A0" w:rsidRPr="00F2205B">
        <w:rPr>
          <w:rFonts w:ascii="Calibri" w:hAnsi="Calibri" w:cs="Calibri"/>
          <w:sz w:val="22"/>
        </w:rPr>
        <w:t>a</w:t>
      </w:r>
      <w:r w:rsidRPr="00F2205B">
        <w:rPr>
          <w:rFonts w:ascii="Calibri" w:hAnsi="Calibri" w:cs="Calibri"/>
          <w:sz w:val="22"/>
        </w:rPr>
        <w:t>dults (Foodbank</w:t>
      </w:r>
      <w:r w:rsidR="00792D0E">
        <w:rPr>
          <w:rFonts w:ascii="Calibri" w:hAnsi="Calibri" w:cs="Calibri"/>
          <w:sz w:val="22"/>
        </w:rPr>
        <w:t xml:space="preserve"> Australia,</w:t>
      </w:r>
      <w:r w:rsidRPr="00F2205B">
        <w:rPr>
          <w:rFonts w:ascii="Calibri" w:hAnsi="Calibri" w:cs="Calibri"/>
          <w:sz w:val="22"/>
        </w:rPr>
        <w:t xml:space="preserve"> 2018). In addition to </w:t>
      </w:r>
      <w:r w:rsidR="00EF49A0" w:rsidRPr="00F2205B">
        <w:rPr>
          <w:rFonts w:ascii="Calibri" w:hAnsi="Calibri" w:cs="Calibri"/>
          <w:sz w:val="22"/>
        </w:rPr>
        <w:t xml:space="preserve">the </w:t>
      </w:r>
      <w:r w:rsidRPr="00F2205B">
        <w:rPr>
          <w:rFonts w:ascii="Calibri" w:hAnsi="Calibri" w:cs="Calibri"/>
          <w:sz w:val="22"/>
        </w:rPr>
        <w:t xml:space="preserve">effects listed above, children are more likely to experience long-term issues with obesity due to consumption of energy-dense foods and a disproportionately high intake of carbohydrates and </w:t>
      </w:r>
      <w:r w:rsidR="00000D9E">
        <w:rPr>
          <w:rFonts w:ascii="Calibri" w:hAnsi="Calibri" w:cs="Calibri"/>
          <w:sz w:val="22"/>
        </w:rPr>
        <w:t xml:space="preserve">low intake </w:t>
      </w:r>
      <w:r w:rsidR="00BA2B23">
        <w:rPr>
          <w:rFonts w:ascii="Calibri" w:hAnsi="Calibri" w:cs="Calibri"/>
          <w:sz w:val="22"/>
        </w:rPr>
        <w:t>of</w:t>
      </w:r>
      <w:r w:rsidRPr="00F2205B">
        <w:rPr>
          <w:rFonts w:ascii="Calibri" w:hAnsi="Calibri" w:cs="Calibri"/>
          <w:sz w:val="22"/>
        </w:rPr>
        <w:t xml:space="preserve"> protein (Gill </w:t>
      </w:r>
      <w:r w:rsidR="009E3601">
        <w:rPr>
          <w:rFonts w:ascii="Calibri" w:hAnsi="Calibri" w:cs="Calibri"/>
          <w:sz w:val="22"/>
        </w:rPr>
        <w:t>et al.</w:t>
      </w:r>
      <w:r w:rsidR="00792D0E">
        <w:rPr>
          <w:rFonts w:ascii="Calibri" w:hAnsi="Calibri" w:cs="Calibri"/>
          <w:sz w:val="22"/>
        </w:rPr>
        <w:t xml:space="preserve">, </w:t>
      </w:r>
      <w:r w:rsidRPr="00F2205B">
        <w:rPr>
          <w:rFonts w:ascii="Calibri" w:hAnsi="Calibri" w:cs="Calibri"/>
          <w:sz w:val="22"/>
        </w:rPr>
        <w:t xml:space="preserve">2009). Malnourishment in childhood is linked to negative impacts </w:t>
      </w:r>
      <w:r w:rsidR="00BA2B23">
        <w:rPr>
          <w:rFonts w:ascii="Calibri" w:hAnsi="Calibri" w:cs="Calibri"/>
          <w:sz w:val="22"/>
        </w:rPr>
        <w:t>on</w:t>
      </w:r>
      <w:r w:rsidRPr="00F2205B">
        <w:rPr>
          <w:rFonts w:ascii="Calibri" w:hAnsi="Calibri" w:cs="Calibri"/>
          <w:sz w:val="22"/>
        </w:rPr>
        <w:t xml:space="preserve"> long term social and </w:t>
      </w:r>
      <w:r w:rsidRPr="00F2205B">
        <w:rPr>
          <w:rFonts w:ascii="Calibri" w:hAnsi="Calibri" w:cs="Calibri"/>
          <w:sz w:val="22"/>
        </w:rPr>
        <w:lastRenderedPageBreak/>
        <w:t>emotional wellbeing, and academic achievement, increasing the likelihood of further food insecurity issues entering adulthood (Australian Institute of Family Studies</w:t>
      </w:r>
      <w:r w:rsidR="001C1845">
        <w:rPr>
          <w:rFonts w:ascii="Calibri" w:hAnsi="Calibri" w:cs="Calibri"/>
          <w:sz w:val="22"/>
        </w:rPr>
        <w:t>,</w:t>
      </w:r>
      <w:r w:rsidRPr="00F2205B">
        <w:rPr>
          <w:rFonts w:ascii="Calibri" w:hAnsi="Calibri" w:cs="Calibri"/>
          <w:sz w:val="22"/>
        </w:rPr>
        <w:t xml:space="preserve"> 2019).</w:t>
      </w:r>
    </w:p>
    <w:p w14:paraId="681FA766" w14:textId="77777777" w:rsidR="009A4875" w:rsidRDefault="009A4875" w:rsidP="00F2205B">
      <w:pPr>
        <w:spacing w:after="0" w:line="240" w:lineRule="auto"/>
        <w:jc w:val="both"/>
        <w:rPr>
          <w:rFonts w:ascii="Calibri" w:hAnsi="Calibri" w:cs="Calibri"/>
          <w:sz w:val="22"/>
        </w:rPr>
      </w:pPr>
    </w:p>
    <w:p w14:paraId="7FB572BD" w14:textId="59631923" w:rsidR="00054D14" w:rsidRDefault="00054D14" w:rsidP="00F2205B">
      <w:pPr>
        <w:spacing w:after="0" w:line="240" w:lineRule="auto"/>
        <w:jc w:val="both"/>
        <w:rPr>
          <w:rFonts w:ascii="Calibri" w:hAnsi="Calibri" w:cs="Calibri"/>
          <w:sz w:val="22"/>
        </w:rPr>
      </w:pPr>
      <w:r w:rsidRPr="00F2205B">
        <w:rPr>
          <w:rFonts w:ascii="Calibri" w:hAnsi="Calibri" w:cs="Calibri"/>
          <w:sz w:val="22"/>
        </w:rPr>
        <w:t xml:space="preserve">Food insecurity </w:t>
      </w:r>
      <w:r w:rsidR="001C1845">
        <w:rPr>
          <w:rFonts w:ascii="Calibri" w:hAnsi="Calibri" w:cs="Calibri"/>
          <w:sz w:val="22"/>
        </w:rPr>
        <w:t xml:space="preserve">also </w:t>
      </w:r>
      <w:r w:rsidRPr="00F2205B">
        <w:rPr>
          <w:rFonts w:ascii="Calibri" w:hAnsi="Calibri" w:cs="Calibri"/>
          <w:sz w:val="22"/>
        </w:rPr>
        <w:t xml:space="preserve">has a cyclical nature, due to the increased costs of living for those suffering from its effects. These </w:t>
      </w:r>
      <w:r w:rsidR="001C1845">
        <w:rPr>
          <w:rFonts w:ascii="Calibri" w:hAnsi="Calibri" w:cs="Calibri"/>
          <w:sz w:val="22"/>
        </w:rPr>
        <w:t>individuals</w:t>
      </w:r>
      <w:r w:rsidRPr="00F2205B">
        <w:rPr>
          <w:rFonts w:ascii="Calibri" w:hAnsi="Calibri" w:cs="Calibri"/>
          <w:sz w:val="22"/>
        </w:rPr>
        <w:t xml:space="preserve"> are more likely to require mental health support, incur increased health</w:t>
      </w:r>
      <w:r w:rsidR="00786D67">
        <w:rPr>
          <w:rFonts w:ascii="Calibri" w:hAnsi="Calibri" w:cs="Calibri"/>
          <w:sz w:val="22"/>
        </w:rPr>
        <w:t xml:space="preserve"> c</w:t>
      </w:r>
      <w:r w:rsidRPr="00F2205B">
        <w:rPr>
          <w:rFonts w:ascii="Calibri" w:hAnsi="Calibri" w:cs="Calibri"/>
          <w:sz w:val="22"/>
        </w:rPr>
        <w:t xml:space="preserve">are costs and require more visits to hospitals and emergency (Men </w:t>
      </w:r>
      <w:r w:rsidR="009E3601">
        <w:rPr>
          <w:rFonts w:ascii="Calibri" w:hAnsi="Calibri" w:cs="Calibri"/>
          <w:sz w:val="22"/>
        </w:rPr>
        <w:t>et al.</w:t>
      </w:r>
      <w:r w:rsidR="00D54411">
        <w:rPr>
          <w:rFonts w:ascii="Calibri" w:hAnsi="Calibri" w:cs="Calibri"/>
          <w:sz w:val="22"/>
        </w:rPr>
        <w:t xml:space="preserve">, </w:t>
      </w:r>
      <w:r w:rsidRPr="00F2205B">
        <w:rPr>
          <w:rFonts w:ascii="Calibri" w:hAnsi="Calibri" w:cs="Calibri"/>
          <w:sz w:val="22"/>
        </w:rPr>
        <w:t>2020). Additionally, the effects often lead to reduced employment prospects and lower incomes. These additional costs and reduced incomes increase the likelihood that people that are food insecure will remain that way long-term.</w:t>
      </w:r>
    </w:p>
    <w:p w14:paraId="002D62CF" w14:textId="77777777" w:rsidR="00A72CC3" w:rsidRPr="00F2205B" w:rsidRDefault="00A72CC3" w:rsidP="00F2205B">
      <w:pPr>
        <w:spacing w:after="0" w:line="240" w:lineRule="auto"/>
        <w:jc w:val="both"/>
        <w:rPr>
          <w:rFonts w:ascii="Calibri" w:hAnsi="Calibri" w:cs="Calibri"/>
          <w:sz w:val="22"/>
        </w:rPr>
      </w:pPr>
    </w:p>
    <w:p w14:paraId="460697CB" w14:textId="26040B36" w:rsidR="00FB3DAD" w:rsidRPr="00F2205B" w:rsidRDefault="00FB3DAD" w:rsidP="00944D7F">
      <w:pPr>
        <w:pStyle w:val="Heading2"/>
      </w:pPr>
      <w:r w:rsidRPr="00F2205B">
        <w:t xml:space="preserve">Economic </w:t>
      </w:r>
      <w:r w:rsidR="009E3601">
        <w:t>i</w:t>
      </w:r>
      <w:r w:rsidRPr="00F2205B">
        <w:t xml:space="preserve">mpacts of </w:t>
      </w:r>
      <w:r w:rsidR="009E3601">
        <w:t>f</w:t>
      </w:r>
      <w:r w:rsidRPr="00F2205B">
        <w:t xml:space="preserve">ood </w:t>
      </w:r>
      <w:r w:rsidR="009E3601">
        <w:t>i</w:t>
      </w:r>
      <w:r w:rsidRPr="00F2205B">
        <w:t>nsecurity</w:t>
      </w:r>
    </w:p>
    <w:p w14:paraId="17344A59" w14:textId="77777777" w:rsidR="009A4875" w:rsidRDefault="009A4875" w:rsidP="00F2205B">
      <w:pPr>
        <w:spacing w:after="0" w:line="240" w:lineRule="auto"/>
        <w:jc w:val="both"/>
        <w:rPr>
          <w:rFonts w:ascii="Calibri" w:hAnsi="Calibri" w:cs="Calibri"/>
          <w:sz w:val="22"/>
        </w:rPr>
      </w:pPr>
    </w:p>
    <w:p w14:paraId="562C9D7E" w14:textId="75011887" w:rsidR="00FB3DAD" w:rsidRPr="00F2205B" w:rsidRDefault="00FB3DAD" w:rsidP="00F2205B">
      <w:pPr>
        <w:spacing w:after="0" w:line="240" w:lineRule="auto"/>
        <w:jc w:val="both"/>
        <w:rPr>
          <w:rFonts w:ascii="Calibri" w:hAnsi="Calibri" w:cs="Calibri"/>
          <w:sz w:val="22"/>
        </w:rPr>
      </w:pPr>
      <w:r w:rsidRPr="00F2205B">
        <w:rPr>
          <w:rFonts w:ascii="Calibri" w:hAnsi="Calibri" w:cs="Calibri"/>
          <w:sz w:val="22"/>
        </w:rPr>
        <w:t xml:space="preserve">The overall social cost of food insecurity in Australia is an area that </w:t>
      </w:r>
      <w:r w:rsidR="00BA2B23">
        <w:rPr>
          <w:rFonts w:ascii="Calibri" w:hAnsi="Calibri" w:cs="Calibri"/>
          <w:sz w:val="22"/>
        </w:rPr>
        <w:t xml:space="preserve">little is known about and </w:t>
      </w:r>
      <w:r w:rsidRPr="00F2205B">
        <w:rPr>
          <w:rFonts w:ascii="Calibri" w:hAnsi="Calibri" w:cs="Calibri"/>
          <w:sz w:val="22"/>
        </w:rPr>
        <w:t xml:space="preserve">would benefit from further study, however there are some specific outcomes that can be analysed, </w:t>
      </w:r>
      <w:r w:rsidR="00D77F83">
        <w:rPr>
          <w:rFonts w:ascii="Calibri" w:hAnsi="Calibri" w:cs="Calibri"/>
          <w:sz w:val="22"/>
        </w:rPr>
        <w:t>and global</w:t>
      </w:r>
      <w:r w:rsidRPr="00F2205B">
        <w:rPr>
          <w:rFonts w:ascii="Calibri" w:hAnsi="Calibri" w:cs="Calibri"/>
          <w:sz w:val="22"/>
        </w:rPr>
        <w:t xml:space="preserve"> research that can be drawn from.</w:t>
      </w:r>
    </w:p>
    <w:p w14:paraId="5B8A2025" w14:textId="77777777" w:rsidR="009A4875" w:rsidRDefault="009A4875" w:rsidP="00F2205B">
      <w:pPr>
        <w:spacing w:after="0" w:line="240" w:lineRule="auto"/>
        <w:jc w:val="both"/>
        <w:rPr>
          <w:rFonts w:ascii="Calibri" w:hAnsi="Calibri" w:cs="Calibri"/>
          <w:sz w:val="22"/>
        </w:rPr>
      </w:pPr>
    </w:p>
    <w:p w14:paraId="7C611A94" w14:textId="344FA1DE" w:rsidR="00FB3DAD" w:rsidRPr="00F2205B" w:rsidRDefault="00FB3DAD" w:rsidP="00F2205B">
      <w:pPr>
        <w:spacing w:after="0" w:line="240" w:lineRule="auto"/>
        <w:jc w:val="both"/>
        <w:rPr>
          <w:rFonts w:ascii="Calibri" w:hAnsi="Calibri" w:cs="Calibri"/>
          <w:sz w:val="22"/>
        </w:rPr>
      </w:pPr>
      <w:r w:rsidRPr="00F2205B">
        <w:rPr>
          <w:rFonts w:ascii="Calibri" w:hAnsi="Calibri" w:cs="Calibri"/>
          <w:sz w:val="22"/>
        </w:rPr>
        <w:t xml:space="preserve">In addition to the individual impacts, food insecurity has downstream impacts throughout the economy. </w:t>
      </w:r>
      <w:r w:rsidR="008B66F4" w:rsidRPr="00F2205B">
        <w:rPr>
          <w:rFonts w:ascii="Calibri" w:hAnsi="Calibri" w:cs="Calibri"/>
          <w:sz w:val="22"/>
        </w:rPr>
        <w:t>M</w:t>
      </w:r>
      <w:r w:rsidRPr="00F2205B">
        <w:rPr>
          <w:rFonts w:ascii="Calibri" w:hAnsi="Calibri" w:cs="Calibri"/>
          <w:sz w:val="22"/>
        </w:rPr>
        <w:t xml:space="preserve">alnutrition leads directly to increased costs to governments, primarily through medical treatment. </w:t>
      </w:r>
      <w:r w:rsidR="00860A80">
        <w:rPr>
          <w:rFonts w:ascii="Calibri" w:hAnsi="Calibri" w:cs="Calibri"/>
          <w:sz w:val="22"/>
        </w:rPr>
        <w:t>M</w:t>
      </w:r>
      <w:r w:rsidRPr="00F2205B">
        <w:rPr>
          <w:rFonts w:ascii="Calibri" w:hAnsi="Calibri" w:cs="Calibri"/>
          <w:sz w:val="22"/>
        </w:rPr>
        <w:t>alnutrition also reduce</w:t>
      </w:r>
      <w:r w:rsidR="00860A80">
        <w:rPr>
          <w:rFonts w:ascii="Calibri" w:hAnsi="Calibri" w:cs="Calibri"/>
          <w:sz w:val="22"/>
        </w:rPr>
        <w:t>s</w:t>
      </w:r>
      <w:r w:rsidRPr="00F2205B">
        <w:rPr>
          <w:rFonts w:ascii="Calibri" w:hAnsi="Calibri" w:cs="Calibri"/>
          <w:sz w:val="22"/>
        </w:rPr>
        <w:t xml:space="preserve"> education outcomes, and impact</w:t>
      </w:r>
      <w:r w:rsidR="00860A80">
        <w:rPr>
          <w:rFonts w:ascii="Calibri" w:hAnsi="Calibri" w:cs="Calibri"/>
          <w:sz w:val="22"/>
        </w:rPr>
        <w:t>s</w:t>
      </w:r>
      <w:r w:rsidRPr="00F2205B">
        <w:rPr>
          <w:rFonts w:ascii="Calibri" w:hAnsi="Calibri" w:cs="Calibri"/>
          <w:sz w:val="22"/>
        </w:rPr>
        <w:t xml:space="preserve"> productivity of affected people. </w:t>
      </w:r>
    </w:p>
    <w:p w14:paraId="648130B5" w14:textId="77777777" w:rsidR="009A4875" w:rsidRDefault="009A4875" w:rsidP="00F2205B">
      <w:pPr>
        <w:spacing w:after="0" w:line="240" w:lineRule="auto"/>
        <w:jc w:val="both"/>
        <w:rPr>
          <w:rFonts w:ascii="Calibri" w:hAnsi="Calibri" w:cs="Calibri"/>
          <w:sz w:val="22"/>
        </w:rPr>
      </w:pPr>
    </w:p>
    <w:p w14:paraId="22F4D859" w14:textId="3E1AA95A" w:rsidR="00DE6AFE" w:rsidRPr="00F2205B" w:rsidRDefault="00DE6AFE" w:rsidP="00F2205B">
      <w:pPr>
        <w:spacing w:after="0" w:line="240" w:lineRule="auto"/>
        <w:jc w:val="both"/>
        <w:rPr>
          <w:rFonts w:ascii="Calibri" w:hAnsi="Calibri" w:cs="Calibri"/>
          <w:sz w:val="22"/>
        </w:rPr>
      </w:pPr>
      <w:r w:rsidRPr="00F2205B">
        <w:rPr>
          <w:rFonts w:ascii="Calibri" w:hAnsi="Calibri" w:cs="Calibri"/>
          <w:sz w:val="22"/>
        </w:rPr>
        <w:t>The costs to Victoria</w:t>
      </w:r>
      <w:r w:rsidR="0075517E">
        <w:rPr>
          <w:rFonts w:ascii="Calibri" w:hAnsi="Calibri" w:cs="Calibri"/>
          <w:sz w:val="22"/>
        </w:rPr>
        <w:t>’</w:t>
      </w:r>
      <w:r w:rsidRPr="00F2205B">
        <w:rPr>
          <w:rFonts w:ascii="Calibri" w:hAnsi="Calibri" w:cs="Calibri"/>
          <w:sz w:val="22"/>
        </w:rPr>
        <w:t>s healthcare system due to malnutrition are difficult to determine</w:t>
      </w:r>
      <w:r w:rsidR="0067378A" w:rsidRPr="00F2205B">
        <w:rPr>
          <w:rFonts w:ascii="Calibri" w:hAnsi="Calibri" w:cs="Calibri"/>
          <w:sz w:val="22"/>
        </w:rPr>
        <w:t xml:space="preserve">, however there are some </w:t>
      </w:r>
      <w:r w:rsidR="00E571B4">
        <w:rPr>
          <w:rFonts w:ascii="Calibri" w:hAnsi="Calibri" w:cs="Calibri"/>
          <w:sz w:val="22"/>
        </w:rPr>
        <w:t>studies</w:t>
      </w:r>
      <w:r w:rsidR="0067378A" w:rsidRPr="00F2205B">
        <w:rPr>
          <w:rFonts w:ascii="Calibri" w:hAnsi="Calibri" w:cs="Calibri"/>
          <w:sz w:val="22"/>
        </w:rPr>
        <w:t xml:space="preserve"> that can be drawn upon. </w:t>
      </w:r>
      <w:r w:rsidR="00FB3DAD" w:rsidRPr="00F2205B">
        <w:rPr>
          <w:rFonts w:ascii="Calibri" w:hAnsi="Calibri" w:cs="Calibri"/>
          <w:sz w:val="22"/>
        </w:rPr>
        <w:t xml:space="preserve">Rowell and Jackson (2011) found </w:t>
      </w:r>
      <w:r w:rsidR="0067378A" w:rsidRPr="00F2205B">
        <w:rPr>
          <w:rFonts w:ascii="Calibri" w:hAnsi="Calibri" w:cs="Calibri"/>
          <w:sz w:val="22"/>
        </w:rPr>
        <w:t>that under</w:t>
      </w:r>
      <w:r w:rsidR="00B6137E">
        <w:rPr>
          <w:rFonts w:ascii="Calibri" w:hAnsi="Calibri" w:cs="Calibri"/>
          <w:sz w:val="22"/>
        </w:rPr>
        <w:t>-</w:t>
      </w:r>
      <w:r w:rsidR="0067378A" w:rsidRPr="00F2205B">
        <w:rPr>
          <w:rFonts w:ascii="Calibri" w:hAnsi="Calibri" w:cs="Calibri"/>
          <w:sz w:val="22"/>
        </w:rPr>
        <w:t>nutrition, that is where people do</w:t>
      </w:r>
      <w:r w:rsidR="0075517E">
        <w:rPr>
          <w:rFonts w:ascii="Calibri" w:hAnsi="Calibri" w:cs="Calibri"/>
          <w:sz w:val="22"/>
        </w:rPr>
        <w:t xml:space="preserve"> </w:t>
      </w:r>
      <w:r w:rsidR="0067378A" w:rsidRPr="00F2205B">
        <w:rPr>
          <w:rFonts w:ascii="Calibri" w:hAnsi="Calibri" w:cs="Calibri"/>
          <w:sz w:val="22"/>
        </w:rPr>
        <w:t>n</w:t>
      </w:r>
      <w:r w:rsidR="0075517E">
        <w:rPr>
          <w:rFonts w:ascii="Calibri" w:hAnsi="Calibri" w:cs="Calibri"/>
          <w:sz w:val="22"/>
        </w:rPr>
        <w:t>o</w:t>
      </w:r>
      <w:r w:rsidR="0067378A" w:rsidRPr="00F2205B">
        <w:rPr>
          <w:rFonts w:ascii="Calibri" w:hAnsi="Calibri" w:cs="Calibri"/>
          <w:sz w:val="22"/>
        </w:rPr>
        <w:t>t receive enough calories for sustenance</w:t>
      </w:r>
      <w:r w:rsidR="00FB3DAD" w:rsidRPr="00F2205B">
        <w:rPr>
          <w:rFonts w:ascii="Calibri" w:hAnsi="Calibri" w:cs="Calibri"/>
          <w:sz w:val="22"/>
        </w:rPr>
        <w:t>, cost</w:t>
      </w:r>
      <w:r w:rsidR="00B6137E">
        <w:rPr>
          <w:rFonts w:ascii="Calibri" w:hAnsi="Calibri" w:cs="Calibri"/>
          <w:sz w:val="22"/>
        </w:rPr>
        <w:t>s</w:t>
      </w:r>
      <w:r w:rsidR="00FB3DAD" w:rsidRPr="00F2205B">
        <w:rPr>
          <w:rFonts w:ascii="Calibri" w:hAnsi="Calibri" w:cs="Calibri"/>
          <w:sz w:val="22"/>
        </w:rPr>
        <w:t xml:space="preserve"> approximately $10.7 million annually</w:t>
      </w:r>
      <w:r w:rsidR="0067378A" w:rsidRPr="00F2205B">
        <w:rPr>
          <w:rFonts w:ascii="Calibri" w:hAnsi="Calibri" w:cs="Calibri"/>
          <w:sz w:val="22"/>
        </w:rPr>
        <w:t xml:space="preserve"> in healthcare costs</w:t>
      </w:r>
      <w:r w:rsidR="00FB3DAD" w:rsidRPr="00F2205B">
        <w:rPr>
          <w:rFonts w:ascii="Calibri" w:hAnsi="Calibri" w:cs="Calibri"/>
          <w:sz w:val="22"/>
        </w:rPr>
        <w:t>.</w:t>
      </w:r>
      <w:r w:rsidR="0067378A" w:rsidRPr="00F2205B">
        <w:rPr>
          <w:rFonts w:ascii="Calibri" w:hAnsi="Calibri" w:cs="Calibri"/>
          <w:sz w:val="22"/>
        </w:rPr>
        <w:t xml:space="preserve"> In 2008, Access </w:t>
      </w:r>
      <w:r w:rsidR="005F1B3B" w:rsidRPr="00F2205B">
        <w:rPr>
          <w:rFonts w:ascii="Calibri" w:hAnsi="Calibri" w:cs="Calibri"/>
          <w:sz w:val="22"/>
        </w:rPr>
        <w:t>E</w:t>
      </w:r>
      <w:r w:rsidR="0067378A" w:rsidRPr="00F2205B">
        <w:rPr>
          <w:rFonts w:ascii="Calibri" w:hAnsi="Calibri" w:cs="Calibri"/>
          <w:sz w:val="22"/>
        </w:rPr>
        <w:t xml:space="preserve">conomics found that </w:t>
      </w:r>
      <w:r w:rsidR="005F1B3B" w:rsidRPr="00F2205B">
        <w:rPr>
          <w:rFonts w:ascii="Calibri" w:hAnsi="Calibri" w:cs="Calibri"/>
          <w:sz w:val="22"/>
        </w:rPr>
        <w:t>o</w:t>
      </w:r>
      <w:r w:rsidR="0067378A" w:rsidRPr="00F2205B">
        <w:rPr>
          <w:rFonts w:ascii="Calibri" w:hAnsi="Calibri" w:cs="Calibri"/>
          <w:sz w:val="22"/>
        </w:rPr>
        <w:t>besity cost Victoria $485 million in increased healthcare costs (Access Economics</w:t>
      </w:r>
      <w:r w:rsidR="00B6137E">
        <w:rPr>
          <w:rFonts w:ascii="Calibri" w:hAnsi="Calibri" w:cs="Calibri"/>
          <w:sz w:val="22"/>
        </w:rPr>
        <w:t>,</w:t>
      </w:r>
      <w:r w:rsidR="0067378A" w:rsidRPr="00F2205B">
        <w:rPr>
          <w:rFonts w:ascii="Calibri" w:hAnsi="Calibri" w:cs="Calibri"/>
          <w:sz w:val="22"/>
        </w:rPr>
        <w:t xml:space="preserve"> 2008). While this </w:t>
      </w:r>
      <w:r w:rsidR="005F1B3B" w:rsidRPr="00F2205B">
        <w:rPr>
          <w:rFonts w:ascii="Calibri" w:hAnsi="Calibri" w:cs="Calibri"/>
          <w:sz w:val="22"/>
        </w:rPr>
        <w:t>total</w:t>
      </w:r>
      <w:r w:rsidR="0067378A" w:rsidRPr="00F2205B">
        <w:rPr>
          <w:rFonts w:ascii="Calibri" w:hAnsi="Calibri" w:cs="Calibri"/>
          <w:sz w:val="22"/>
        </w:rPr>
        <w:t xml:space="preserve"> figure cannot be </w:t>
      </w:r>
      <w:r w:rsidR="000F3CAE">
        <w:rPr>
          <w:rFonts w:ascii="Calibri" w:hAnsi="Calibri" w:cs="Calibri"/>
          <w:sz w:val="22"/>
        </w:rPr>
        <w:t xml:space="preserve">attributed </w:t>
      </w:r>
      <w:r w:rsidR="0067378A" w:rsidRPr="00F2205B">
        <w:rPr>
          <w:rFonts w:ascii="Calibri" w:hAnsi="Calibri" w:cs="Calibri"/>
          <w:sz w:val="22"/>
        </w:rPr>
        <w:t xml:space="preserve">to food insecurity, there is evidence that food insecurity represents a portion of the reasons for obesity rates (Gill </w:t>
      </w:r>
      <w:r w:rsidR="009E3601">
        <w:rPr>
          <w:rFonts w:ascii="Calibri" w:hAnsi="Calibri" w:cs="Calibri"/>
          <w:sz w:val="22"/>
        </w:rPr>
        <w:t>et al.</w:t>
      </w:r>
      <w:r w:rsidR="003F5EF6">
        <w:rPr>
          <w:rFonts w:ascii="Calibri" w:hAnsi="Calibri" w:cs="Calibri"/>
          <w:sz w:val="22"/>
        </w:rPr>
        <w:t xml:space="preserve">, </w:t>
      </w:r>
      <w:r w:rsidR="0067378A" w:rsidRPr="00F2205B">
        <w:rPr>
          <w:rFonts w:ascii="Calibri" w:hAnsi="Calibri" w:cs="Calibri"/>
          <w:sz w:val="22"/>
        </w:rPr>
        <w:t>2009</w:t>
      </w:r>
      <w:r w:rsidR="003F5EF6">
        <w:rPr>
          <w:rFonts w:ascii="Calibri" w:hAnsi="Calibri" w:cs="Calibri"/>
          <w:sz w:val="22"/>
        </w:rPr>
        <w:t>;</w:t>
      </w:r>
      <w:r w:rsidR="0029545C" w:rsidRPr="00F2205B">
        <w:rPr>
          <w:rFonts w:ascii="Calibri" w:hAnsi="Calibri" w:cs="Calibri"/>
          <w:sz w:val="22"/>
        </w:rPr>
        <w:t xml:space="preserve"> </w:t>
      </w:r>
      <w:r w:rsidR="0029545C" w:rsidRPr="00F2205B">
        <w:rPr>
          <w:rFonts w:ascii="Calibri" w:hAnsi="Calibri" w:cs="Calibri"/>
          <w:sz w:val="22"/>
          <w:lang w:val="en-US"/>
        </w:rPr>
        <w:t>Victorian Agency for Health Information</w:t>
      </w:r>
      <w:r w:rsidR="003F5EF6">
        <w:rPr>
          <w:rFonts w:ascii="Calibri" w:hAnsi="Calibri" w:cs="Calibri"/>
          <w:sz w:val="22"/>
          <w:lang w:val="en-US"/>
        </w:rPr>
        <w:t>,</w:t>
      </w:r>
      <w:r w:rsidR="0029545C" w:rsidRPr="00F2205B">
        <w:rPr>
          <w:rFonts w:ascii="Calibri" w:hAnsi="Calibri" w:cs="Calibri"/>
          <w:sz w:val="22"/>
          <w:lang w:val="en-US"/>
        </w:rPr>
        <w:t xml:space="preserve"> 2017</w:t>
      </w:r>
      <w:r w:rsidR="0067378A" w:rsidRPr="00F2205B">
        <w:rPr>
          <w:rFonts w:ascii="Calibri" w:hAnsi="Calibri" w:cs="Calibri"/>
          <w:sz w:val="22"/>
        </w:rPr>
        <w:t xml:space="preserve">). </w:t>
      </w:r>
    </w:p>
    <w:p w14:paraId="02B42FED" w14:textId="77777777" w:rsidR="009A4875" w:rsidRDefault="009A4875" w:rsidP="00F2205B">
      <w:pPr>
        <w:spacing w:after="0" w:line="240" w:lineRule="auto"/>
        <w:jc w:val="both"/>
        <w:rPr>
          <w:rFonts w:ascii="Calibri" w:hAnsi="Calibri" w:cs="Calibri"/>
          <w:sz w:val="22"/>
        </w:rPr>
      </w:pPr>
    </w:p>
    <w:p w14:paraId="251024ED" w14:textId="49339F33" w:rsidR="00DE6AFE" w:rsidRPr="00F2205B" w:rsidRDefault="0067378A" w:rsidP="00F2205B">
      <w:pPr>
        <w:spacing w:after="0" w:line="240" w:lineRule="auto"/>
        <w:jc w:val="both"/>
        <w:rPr>
          <w:rFonts w:ascii="Calibri" w:hAnsi="Calibri" w:cs="Calibri"/>
          <w:sz w:val="22"/>
        </w:rPr>
      </w:pPr>
      <w:r w:rsidRPr="00F2205B">
        <w:rPr>
          <w:rFonts w:ascii="Calibri" w:hAnsi="Calibri" w:cs="Calibri"/>
          <w:sz w:val="22"/>
        </w:rPr>
        <w:t>The increased costs are</w:t>
      </w:r>
      <w:r w:rsidR="00FB3DAD" w:rsidRPr="00F2205B">
        <w:rPr>
          <w:rFonts w:ascii="Calibri" w:hAnsi="Calibri" w:cs="Calibri"/>
          <w:sz w:val="22"/>
        </w:rPr>
        <w:t xml:space="preserve"> partially driven by hospital treatment costs for malnourished people being approximately 20</w:t>
      </w:r>
      <w:r w:rsidR="009E3601">
        <w:rPr>
          <w:rFonts w:ascii="Calibri" w:hAnsi="Calibri" w:cs="Calibri"/>
          <w:sz w:val="22"/>
        </w:rPr>
        <w:t xml:space="preserve"> per cent</w:t>
      </w:r>
      <w:r w:rsidR="00FB3DAD" w:rsidRPr="00F2205B">
        <w:rPr>
          <w:rFonts w:ascii="Calibri" w:hAnsi="Calibri" w:cs="Calibri"/>
          <w:sz w:val="22"/>
        </w:rPr>
        <w:t xml:space="preserve"> higher </w:t>
      </w:r>
      <w:r w:rsidR="0095498A">
        <w:rPr>
          <w:rFonts w:ascii="Calibri" w:hAnsi="Calibri" w:cs="Calibri"/>
          <w:sz w:val="22"/>
        </w:rPr>
        <w:t xml:space="preserve">than for well-nourished people, </w:t>
      </w:r>
      <w:r w:rsidR="00FB3DAD" w:rsidRPr="00F2205B">
        <w:rPr>
          <w:rFonts w:ascii="Calibri" w:hAnsi="Calibri" w:cs="Calibri"/>
          <w:sz w:val="22"/>
        </w:rPr>
        <w:t xml:space="preserve">for treating similar </w:t>
      </w:r>
      <w:r w:rsidR="00DE6AFE" w:rsidRPr="00F2205B">
        <w:rPr>
          <w:rFonts w:ascii="Calibri" w:hAnsi="Calibri" w:cs="Calibri"/>
          <w:sz w:val="22"/>
        </w:rPr>
        <w:t xml:space="preserve">issues. </w:t>
      </w:r>
      <w:r w:rsidRPr="00F2205B">
        <w:rPr>
          <w:rFonts w:ascii="Calibri" w:hAnsi="Calibri" w:cs="Calibri"/>
          <w:sz w:val="22"/>
        </w:rPr>
        <w:t>Additionally</w:t>
      </w:r>
      <w:r w:rsidR="00DE6AFE" w:rsidRPr="00F2205B">
        <w:rPr>
          <w:rFonts w:ascii="Calibri" w:hAnsi="Calibri" w:cs="Calibri"/>
          <w:sz w:val="22"/>
        </w:rPr>
        <w:t xml:space="preserve">, these patients are more likely to be re-admitted due to poorer recovery rates, and increased difficulty of meeting the demands of rehabilitation programs, both to recover from medical procedures, and in treating addiction. </w:t>
      </w:r>
    </w:p>
    <w:p w14:paraId="5D35E178" w14:textId="77777777" w:rsidR="009A4875" w:rsidRDefault="009A4875" w:rsidP="00F2205B">
      <w:pPr>
        <w:spacing w:after="0" w:line="240" w:lineRule="auto"/>
        <w:jc w:val="both"/>
        <w:rPr>
          <w:rFonts w:ascii="Calibri" w:hAnsi="Calibri" w:cs="Calibri"/>
          <w:sz w:val="22"/>
        </w:rPr>
      </w:pPr>
    </w:p>
    <w:p w14:paraId="7CFB37FB" w14:textId="4D4923DF" w:rsidR="0067378A" w:rsidRPr="00F2205B" w:rsidRDefault="0067378A" w:rsidP="00F2205B">
      <w:pPr>
        <w:spacing w:after="0" w:line="240" w:lineRule="auto"/>
        <w:jc w:val="both"/>
        <w:rPr>
          <w:rFonts w:ascii="Calibri" w:hAnsi="Calibri" w:cs="Calibri"/>
          <w:sz w:val="22"/>
        </w:rPr>
      </w:pPr>
      <w:r w:rsidRPr="00F2205B">
        <w:rPr>
          <w:rFonts w:ascii="Calibri" w:hAnsi="Calibri" w:cs="Calibri"/>
          <w:sz w:val="22"/>
        </w:rPr>
        <w:t>Malnourishment has additional non-treasury economic costs. These are mostly represented by lower productivity and lower workforce participation.</w:t>
      </w:r>
      <w:r w:rsidR="0029545C" w:rsidRPr="00F2205B">
        <w:rPr>
          <w:rFonts w:ascii="Calibri" w:hAnsi="Calibri" w:cs="Calibri"/>
          <w:sz w:val="22"/>
        </w:rPr>
        <w:t xml:space="preserve"> </w:t>
      </w:r>
      <w:r w:rsidR="006E5E07" w:rsidRPr="00F2205B">
        <w:rPr>
          <w:rFonts w:ascii="Calibri" w:hAnsi="Calibri" w:cs="Calibri"/>
          <w:sz w:val="22"/>
        </w:rPr>
        <w:t xml:space="preserve">The </w:t>
      </w:r>
      <w:r w:rsidR="0029545C" w:rsidRPr="00F2205B">
        <w:rPr>
          <w:rFonts w:ascii="Calibri" w:hAnsi="Calibri" w:cs="Calibri"/>
          <w:sz w:val="22"/>
        </w:rPr>
        <w:t xml:space="preserve">Access </w:t>
      </w:r>
      <w:r w:rsidR="006E5E07" w:rsidRPr="00F2205B">
        <w:rPr>
          <w:rFonts w:ascii="Calibri" w:hAnsi="Calibri" w:cs="Calibri"/>
          <w:sz w:val="22"/>
        </w:rPr>
        <w:t>E</w:t>
      </w:r>
      <w:r w:rsidR="0029545C" w:rsidRPr="00F2205B">
        <w:rPr>
          <w:rFonts w:ascii="Calibri" w:hAnsi="Calibri" w:cs="Calibri"/>
          <w:sz w:val="22"/>
        </w:rPr>
        <w:t xml:space="preserve">conomics report (2008) included a breakdown of further impacts of obesity on the economy. While the </w:t>
      </w:r>
      <w:r w:rsidR="006E5E07" w:rsidRPr="00F2205B">
        <w:rPr>
          <w:rFonts w:ascii="Calibri" w:hAnsi="Calibri" w:cs="Calibri"/>
          <w:sz w:val="22"/>
        </w:rPr>
        <w:t>o</w:t>
      </w:r>
      <w:r w:rsidR="0029545C" w:rsidRPr="00F2205B">
        <w:rPr>
          <w:rFonts w:ascii="Calibri" w:hAnsi="Calibri" w:cs="Calibri"/>
          <w:sz w:val="22"/>
        </w:rPr>
        <w:t>bese community and the food insecure community are not correlated perfectly, there is overlap</w:t>
      </w:r>
      <w:r w:rsidR="00A605DE" w:rsidRPr="00F2205B">
        <w:rPr>
          <w:rFonts w:ascii="Calibri" w:hAnsi="Calibri" w:cs="Calibri"/>
          <w:sz w:val="22"/>
        </w:rPr>
        <w:t xml:space="preserve"> in the populations,</w:t>
      </w:r>
      <w:r w:rsidR="0029545C" w:rsidRPr="00F2205B">
        <w:rPr>
          <w:rFonts w:ascii="Calibri" w:hAnsi="Calibri" w:cs="Calibri"/>
          <w:sz w:val="22"/>
        </w:rPr>
        <w:t xml:space="preserve"> and the effects of undernutrition have similar impacts</w:t>
      </w:r>
      <w:r w:rsidR="00A605DE" w:rsidRPr="00F2205B">
        <w:rPr>
          <w:rFonts w:ascii="Calibri" w:hAnsi="Calibri" w:cs="Calibri"/>
          <w:sz w:val="22"/>
        </w:rPr>
        <w:t xml:space="preserve"> on life outcomes as obesity</w:t>
      </w:r>
      <w:r w:rsidR="0029545C" w:rsidRPr="00F2205B">
        <w:rPr>
          <w:rFonts w:ascii="Calibri" w:hAnsi="Calibri" w:cs="Calibri"/>
          <w:sz w:val="22"/>
        </w:rPr>
        <w:t xml:space="preserve"> (Bradley </w:t>
      </w:r>
      <w:r w:rsidR="009E3601">
        <w:rPr>
          <w:rFonts w:ascii="Calibri" w:hAnsi="Calibri" w:cs="Calibri"/>
          <w:sz w:val="22"/>
        </w:rPr>
        <w:t>et al.</w:t>
      </w:r>
      <w:r w:rsidR="006E46DD">
        <w:rPr>
          <w:rFonts w:ascii="Calibri" w:hAnsi="Calibri" w:cs="Calibri"/>
          <w:sz w:val="22"/>
        </w:rPr>
        <w:t xml:space="preserve">, </w:t>
      </w:r>
      <w:r w:rsidR="0029545C" w:rsidRPr="00F2205B">
        <w:rPr>
          <w:rFonts w:ascii="Calibri" w:hAnsi="Calibri" w:cs="Calibri"/>
          <w:sz w:val="22"/>
        </w:rPr>
        <w:t xml:space="preserve">2023). </w:t>
      </w:r>
      <w:r w:rsidR="00A605DE" w:rsidRPr="00F2205B">
        <w:rPr>
          <w:rFonts w:ascii="Calibri" w:hAnsi="Calibri" w:cs="Calibri"/>
          <w:sz w:val="22"/>
        </w:rPr>
        <w:t xml:space="preserve">The Access </w:t>
      </w:r>
      <w:r w:rsidR="006E5E07" w:rsidRPr="00F2205B">
        <w:rPr>
          <w:rFonts w:ascii="Calibri" w:hAnsi="Calibri" w:cs="Calibri"/>
          <w:sz w:val="22"/>
        </w:rPr>
        <w:t>E</w:t>
      </w:r>
      <w:r w:rsidR="00A605DE" w:rsidRPr="00F2205B">
        <w:rPr>
          <w:rFonts w:ascii="Calibri" w:hAnsi="Calibri" w:cs="Calibri"/>
          <w:sz w:val="22"/>
        </w:rPr>
        <w:t xml:space="preserve">conomics report estimated the total economic impact in Victoria was $2.05 billion per year from decreased productivity for impacted individuals, </w:t>
      </w:r>
      <w:r w:rsidR="002F1846" w:rsidRPr="00F2205B">
        <w:rPr>
          <w:rFonts w:ascii="Calibri" w:hAnsi="Calibri" w:cs="Calibri"/>
          <w:sz w:val="22"/>
        </w:rPr>
        <w:t>t</w:t>
      </w:r>
      <w:r w:rsidR="00A605DE" w:rsidRPr="00F2205B">
        <w:rPr>
          <w:rFonts w:ascii="Calibri" w:hAnsi="Calibri" w:cs="Calibri"/>
          <w:sz w:val="22"/>
        </w:rPr>
        <w:t xml:space="preserve">he cost of carers that could otherwise be allocated elsewhere, </w:t>
      </w:r>
      <w:r w:rsidR="009705CD" w:rsidRPr="00F2205B">
        <w:rPr>
          <w:rFonts w:ascii="Calibri" w:hAnsi="Calibri" w:cs="Calibri"/>
          <w:sz w:val="22"/>
        </w:rPr>
        <w:t>welfare payments</w:t>
      </w:r>
      <w:r w:rsidR="009705CD">
        <w:rPr>
          <w:rFonts w:ascii="Calibri" w:hAnsi="Calibri" w:cs="Calibri"/>
          <w:sz w:val="22"/>
        </w:rPr>
        <w:t>,</w:t>
      </w:r>
      <w:r w:rsidR="009705CD" w:rsidRPr="00F2205B">
        <w:rPr>
          <w:rFonts w:ascii="Calibri" w:hAnsi="Calibri" w:cs="Calibri"/>
          <w:sz w:val="22"/>
        </w:rPr>
        <w:t xml:space="preserve"> </w:t>
      </w:r>
      <w:r w:rsidR="00A605DE" w:rsidRPr="00F2205B">
        <w:rPr>
          <w:rFonts w:ascii="Calibri" w:hAnsi="Calibri" w:cs="Calibri"/>
          <w:sz w:val="22"/>
        </w:rPr>
        <w:t xml:space="preserve">and lost taxation </w:t>
      </w:r>
      <w:r w:rsidR="009705CD">
        <w:rPr>
          <w:rFonts w:ascii="Calibri" w:hAnsi="Calibri" w:cs="Calibri"/>
          <w:sz w:val="22"/>
        </w:rPr>
        <w:t>revenue</w:t>
      </w:r>
      <w:r w:rsidR="00A605DE" w:rsidRPr="00F2205B">
        <w:rPr>
          <w:rFonts w:ascii="Calibri" w:hAnsi="Calibri" w:cs="Calibri"/>
          <w:sz w:val="22"/>
        </w:rPr>
        <w:t xml:space="preserve">. This increased to </w:t>
      </w:r>
      <w:r w:rsidR="00D33411" w:rsidRPr="00F2205B">
        <w:rPr>
          <w:rFonts w:ascii="Calibri" w:hAnsi="Calibri" w:cs="Calibri"/>
          <w:sz w:val="22"/>
        </w:rPr>
        <w:t>$</w:t>
      </w:r>
      <w:r w:rsidR="00A605DE" w:rsidRPr="00F2205B">
        <w:rPr>
          <w:rFonts w:ascii="Calibri" w:hAnsi="Calibri" w:cs="Calibri"/>
          <w:sz w:val="22"/>
        </w:rPr>
        <w:t xml:space="preserve">14.4 billion per year if decreased quality of life for individuals is </w:t>
      </w:r>
      <w:r w:rsidR="00D33411" w:rsidRPr="00F2205B">
        <w:rPr>
          <w:rFonts w:ascii="Calibri" w:hAnsi="Calibri" w:cs="Calibri"/>
          <w:sz w:val="22"/>
        </w:rPr>
        <w:t>included</w:t>
      </w:r>
      <w:r w:rsidR="00A605DE" w:rsidRPr="00F2205B">
        <w:rPr>
          <w:rFonts w:ascii="Calibri" w:hAnsi="Calibri" w:cs="Calibri"/>
          <w:sz w:val="22"/>
        </w:rPr>
        <w:t>.</w:t>
      </w:r>
    </w:p>
    <w:p w14:paraId="602E08EA" w14:textId="77777777" w:rsidR="009A4875" w:rsidRDefault="009A4875" w:rsidP="00F2205B">
      <w:pPr>
        <w:spacing w:after="0" w:line="240" w:lineRule="auto"/>
        <w:jc w:val="both"/>
        <w:rPr>
          <w:rFonts w:ascii="Calibri" w:hAnsi="Calibri" w:cs="Calibri"/>
          <w:sz w:val="22"/>
        </w:rPr>
      </w:pPr>
    </w:p>
    <w:p w14:paraId="7A60FB75" w14:textId="2844EF45" w:rsidR="00D44A5E" w:rsidRPr="00F2205B" w:rsidRDefault="00502272" w:rsidP="00F2205B">
      <w:pPr>
        <w:spacing w:after="0" w:line="240" w:lineRule="auto"/>
        <w:jc w:val="both"/>
        <w:rPr>
          <w:rFonts w:ascii="Calibri" w:hAnsi="Calibri" w:cs="Calibri"/>
          <w:sz w:val="22"/>
        </w:rPr>
      </w:pPr>
      <w:r w:rsidRPr="00F2205B">
        <w:rPr>
          <w:rFonts w:ascii="Calibri" w:hAnsi="Calibri" w:cs="Calibri"/>
          <w:sz w:val="22"/>
        </w:rPr>
        <w:t>Unfortunately,</w:t>
      </w:r>
      <w:r w:rsidR="00D44A5E" w:rsidRPr="00F2205B">
        <w:rPr>
          <w:rFonts w:ascii="Calibri" w:hAnsi="Calibri" w:cs="Calibri"/>
          <w:sz w:val="22"/>
        </w:rPr>
        <w:t xml:space="preserve"> the economic impacts of malnutrition and food insecurity are poorly understood, and further research to determine the potential gains from mitigation would be recommended to aid government in determining </w:t>
      </w:r>
      <w:r w:rsidR="0053305E">
        <w:rPr>
          <w:rFonts w:ascii="Calibri" w:hAnsi="Calibri" w:cs="Calibri"/>
          <w:sz w:val="22"/>
        </w:rPr>
        <w:t xml:space="preserve">the net benefit </w:t>
      </w:r>
      <w:r w:rsidR="00D44A5E" w:rsidRPr="00F2205B">
        <w:rPr>
          <w:rFonts w:ascii="Calibri" w:hAnsi="Calibri" w:cs="Calibri"/>
          <w:sz w:val="22"/>
        </w:rPr>
        <w:t xml:space="preserve">of </w:t>
      </w:r>
      <w:r w:rsidR="00AB1B2F">
        <w:rPr>
          <w:rFonts w:ascii="Calibri" w:hAnsi="Calibri" w:cs="Calibri"/>
          <w:sz w:val="22"/>
        </w:rPr>
        <w:t xml:space="preserve">appropriate </w:t>
      </w:r>
      <w:r w:rsidR="00D44A5E" w:rsidRPr="00F2205B">
        <w:rPr>
          <w:rFonts w:ascii="Calibri" w:hAnsi="Calibri" w:cs="Calibri"/>
          <w:sz w:val="22"/>
        </w:rPr>
        <w:t>interventions</w:t>
      </w:r>
      <w:r w:rsidR="002F1846" w:rsidRPr="00F2205B">
        <w:rPr>
          <w:rFonts w:ascii="Calibri" w:hAnsi="Calibri" w:cs="Calibri"/>
          <w:sz w:val="22"/>
        </w:rPr>
        <w:t>.</w:t>
      </w:r>
    </w:p>
    <w:p w14:paraId="1320C0B1" w14:textId="77777777" w:rsidR="009A4875" w:rsidRDefault="009A4875" w:rsidP="00F2205B">
      <w:pPr>
        <w:spacing w:after="0" w:line="240" w:lineRule="auto"/>
        <w:jc w:val="both"/>
        <w:rPr>
          <w:rFonts w:ascii="Calibri" w:hAnsi="Calibri" w:cs="Calibri"/>
          <w:sz w:val="22"/>
        </w:rPr>
      </w:pPr>
    </w:p>
    <w:p w14:paraId="6B88886A" w14:textId="2D7F0B4A" w:rsidR="00FB3DAD" w:rsidRPr="00F2205B" w:rsidRDefault="0067378A" w:rsidP="00F2205B">
      <w:pPr>
        <w:spacing w:after="0" w:line="240" w:lineRule="auto"/>
        <w:jc w:val="both"/>
        <w:rPr>
          <w:rFonts w:ascii="Calibri" w:hAnsi="Calibri" w:cs="Calibri"/>
          <w:sz w:val="22"/>
        </w:rPr>
      </w:pPr>
      <w:r w:rsidRPr="00F2205B">
        <w:rPr>
          <w:rFonts w:ascii="Calibri" w:hAnsi="Calibri" w:cs="Calibri"/>
          <w:sz w:val="22"/>
        </w:rPr>
        <w:t xml:space="preserve">The direct and indirect economic costs of food insecurity underpin the </w:t>
      </w:r>
      <w:r w:rsidR="00ED1762">
        <w:rPr>
          <w:rFonts w:ascii="Calibri" w:hAnsi="Calibri" w:cs="Calibri"/>
          <w:sz w:val="22"/>
        </w:rPr>
        <w:t>justification</w:t>
      </w:r>
      <w:r w:rsidR="00ED1762" w:rsidRPr="00F2205B">
        <w:rPr>
          <w:rFonts w:ascii="Calibri" w:hAnsi="Calibri" w:cs="Calibri"/>
          <w:sz w:val="22"/>
        </w:rPr>
        <w:t xml:space="preserve"> </w:t>
      </w:r>
      <w:r w:rsidR="00ED1762">
        <w:rPr>
          <w:rFonts w:ascii="Calibri" w:hAnsi="Calibri" w:cs="Calibri"/>
          <w:sz w:val="22"/>
        </w:rPr>
        <w:t xml:space="preserve">for </w:t>
      </w:r>
      <w:r w:rsidRPr="00F2205B">
        <w:rPr>
          <w:rFonts w:ascii="Calibri" w:hAnsi="Calibri" w:cs="Calibri"/>
          <w:sz w:val="22"/>
        </w:rPr>
        <w:t>finding appropriate methods to address the issues</w:t>
      </w:r>
      <w:r w:rsidR="00A605DE" w:rsidRPr="00F2205B">
        <w:rPr>
          <w:rFonts w:ascii="Calibri" w:hAnsi="Calibri" w:cs="Calibri"/>
          <w:sz w:val="22"/>
        </w:rPr>
        <w:t xml:space="preserve"> </w:t>
      </w:r>
      <w:r w:rsidR="007C5B3F">
        <w:rPr>
          <w:rFonts w:ascii="Calibri" w:hAnsi="Calibri" w:cs="Calibri"/>
          <w:sz w:val="22"/>
        </w:rPr>
        <w:t>a</w:t>
      </w:r>
      <w:r w:rsidR="00E571B4">
        <w:rPr>
          <w:rFonts w:ascii="Calibri" w:hAnsi="Calibri" w:cs="Calibri"/>
          <w:sz w:val="22"/>
        </w:rPr>
        <w:t>nd the consequent reduction</w:t>
      </w:r>
      <w:r w:rsidR="007C5B3F">
        <w:rPr>
          <w:rFonts w:ascii="Calibri" w:hAnsi="Calibri" w:cs="Calibri"/>
          <w:sz w:val="22"/>
        </w:rPr>
        <w:t xml:space="preserve"> </w:t>
      </w:r>
      <w:r w:rsidR="00437080">
        <w:rPr>
          <w:rFonts w:ascii="Calibri" w:hAnsi="Calibri" w:cs="Calibri"/>
          <w:sz w:val="22"/>
        </w:rPr>
        <w:t>in the costs incurred</w:t>
      </w:r>
      <w:r w:rsidR="00545E0D">
        <w:rPr>
          <w:rFonts w:ascii="Calibri" w:hAnsi="Calibri" w:cs="Calibri"/>
          <w:sz w:val="22"/>
        </w:rPr>
        <w:t xml:space="preserve">. </w:t>
      </w:r>
      <w:r w:rsidR="00D33411" w:rsidRPr="00F2205B">
        <w:rPr>
          <w:rFonts w:ascii="Calibri" w:hAnsi="Calibri" w:cs="Calibri"/>
          <w:sz w:val="22"/>
        </w:rPr>
        <w:lastRenderedPageBreak/>
        <w:t>However,</w:t>
      </w:r>
      <w:r w:rsidR="00A605DE" w:rsidRPr="00F2205B">
        <w:rPr>
          <w:rFonts w:ascii="Calibri" w:hAnsi="Calibri" w:cs="Calibri"/>
          <w:sz w:val="22"/>
        </w:rPr>
        <w:t xml:space="preserve"> food insecurity is difficult to directly address due to its complexity, and </w:t>
      </w:r>
      <w:r w:rsidR="00D632D6" w:rsidRPr="00F2205B">
        <w:rPr>
          <w:rFonts w:ascii="Calibri" w:hAnsi="Calibri" w:cs="Calibri"/>
          <w:sz w:val="22"/>
        </w:rPr>
        <w:t>the</w:t>
      </w:r>
      <w:r w:rsidR="00A605DE" w:rsidRPr="00F2205B">
        <w:rPr>
          <w:rFonts w:ascii="Calibri" w:hAnsi="Calibri" w:cs="Calibri"/>
          <w:sz w:val="22"/>
        </w:rPr>
        <w:t xml:space="preserve"> significant </w:t>
      </w:r>
      <w:r w:rsidR="005B6F7B" w:rsidRPr="00F2205B">
        <w:rPr>
          <w:rFonts w:ascii="Calibri" w:hAnsi="Calibri" w:cs="Calibri"/>
          <w:sz w:val="22"/>
        </w:rPr>
        <w:t>number</w:t>
      </w:r>
      <w:r w:rsidR="00A605DE" w:rsidRPr="00F2205B">
        <w:rPr>
          <w:rFonts w:ascii="Calibri" w:hAnsi="Calibri" w:cs="Calibri"/>
          <w:sz w:val="22"/>
        </w:rPr>
        <w:t xml:space="preserve"> of </w:t>
      </w:r>
      <w:r w:rsidR="00D632D6" w:rsidRPr="00F2205B">
        <w:rPr>
          <w:rFonts w:ascii="Calibri" w:hAnsi="Calibri" w:cs="Calibri"/>
          <w:sz w:val="22"/>
        </w:rPr>
        <w:t xml:space="preserve">potential </w:t>
      </w:r>
      <w:r w:rsidR="00A605DE" w:rsidRPr="00F2205B">
        <w:rPr>
          <w:rFonts w:ascii="Calibri" w:hAnsi="Calibri" w:cs="Calibri"/>
          <w:sz w:val="22"/>
        </w:rPr>
        <w:t xml:space="preserve">interventions </w:t>
      </w:r>
      <w:r w:rsidR="00D632D6" w:rsidRPr="00F2205B">
        <w:rPr>
          <w:rFonts w:ascii="Calibri" w:hAnsi="Calibri" w:cs="Calibri"/>
          <w:sz w:val="22"/>
        </w:rPr>
        <w:t>to be considered</w:t>
      </w:r>
      <w:r w:rsidR="00A605DE" w:rsidRPr="00F2205B">
        <w:rPr>
          <w:rFonts w:ascii="Calibri" w:hAnsi="Calibri" w:cs="Calibri"/>
          <w:sz w:val="22"/>
        </w:rPr>
        <w:t>.</w:t>
      </w:r>
      <w:r w:rsidR="005B6F7B" w:rsidRPr="00F2205B">
        <w:rPr>
          <w:rFonts w:ascii="Calibri" w:hAnsi="Calibri" w:cs="Calibri"/>
          <w:sz w:val="22"/>
        </w:rPr>
        <w:t xml:space="preserve"> </w:t>
      </w:r>
    </w:p>
    <w:p w14:paraId="4092F3B8" w14:textId="77777777" w:rsidR="009A4875" w:rsidRDefault="009A4875" w:rsidP="00944D7F">
      <w:pPr>
        <w:pStyle w:val="Heading2"/>
      </w:pPr>
      <w:bookmarkStart w:id="1" w:name="_Toc214802082"/>
    </w:p>
    <w:p w14:paraId="333439DD" w14:textId="40FC4183" w:rsidR="00462CC1" w:rsidRPr="00F2205B" w:rsidRDefault="00462CC1" w:rsidP="00944D7F">
      <w:pPr>
        <w:pStyle w:val="Heading2"/>
      </w:pPr>
      <w:r w:rsidRPr="00F2205B">
        <w:t xml:space="preserve">Drivers of </w:t>
      </w:r>
      <w:r w:rsidR="009E3601">
        <w:t>f</w:t>
      </w:r>
      <w:r w:rsidRPr="00F2205B">
        <w:t xml:space="preserve">ood </w:t>
      </w:r>
      <w:r w:rsidR="009E3601">
        <w:t>i</w:t>
      </w:r>
      <w:r w:rsidRPr="00F2205B">
        <w:t>nsecurity</w:t>
      </w:r>
      <w:bookmarkEnd w:id="1"/>
    </w:p>
    <w:p w14:paraId="76F0CEE1" w14:textId="77777777" w:rsidR="009A4875" w:rsidRDefault="009A4875" w:rsidP="00F2205B">
      <w:pPr>
        <w:spacing w:after="0" w:line="240" w:lineRule="auto"/>
        <w:jc w:val="both"/>
        <w:rPr>
          <w:rFonts w:ascii="Calibri" w:hAnsi="Calibri" w:cs="Calibri"/>
          <w:sz w:val="22"/>
        </w:rPr>
      </w:pPr>
    </w:p>
    <w:p w14:paraId="174B6F0F" w14:textId="526D2805" w:rsidR="00462CC1" w:rsidRPr="00F2205B" w:rsidRDefault="009301C3" w:rsidP="00F2205B">
      <w:pPr>
        <w:spacing w:after="0" w:line="240" w:lineRule="auto"/>
        <w:jc w:val="both"/>
        <w:rPr>
          <w:rFonts w:ascii="Calibri" w:hAnsi="Calibri" w:cs="Calibri"/>
          <w:sz w:val="22"/>
        </w:rPr>
      </w:pPr>
      <w:r w:rsidRPr="00F2205B">
        <w:rPr>
          <w:rFonts w:ascii="Calibri" w:hAnsi="Calibri" w:cs="Calibri"/>
          <w:sz w:val="22"/>
        </w:rPr>
        <w:t xml:space="preserve">The causes of food insecurity in Australia are complex and interconnected, often linked to poverty, unemployment, and rising living costs. </w:t>
      </w:r>
      <w:r w:rsidR="00874166" w:rsidRPr="00F2205B">
        <w:rPr>
          <w:rFonts w:ascii="Calibri" w:hAnsi="Calibri" w:cs="Calibri"/>
          <w:sz w:val="22"/>
        </w:rPr>
        <w:t>Economic inequality is one of the primary drivers of food insecurity, affecting people in poorer socioeconomic environments at significantly higher rates</w:t>
      </w:r>
      <w:r w:rsidR="008F6113" w:rsidRPr="00F2205B">
        <w:rPr>
          <w:rFonts w:ascii="Calibri" w:hAnsi="Calibri" w:cs="Calibri"/>
          <w:sz w:val="22"/>
        </w:rPr>
        <w:t xml:space="preserve"> (Ramsey </w:t>
      </w:r>
      <w:r w:rsidR="009E3601">
        <w:rPr>
          <w:rFonts w:ascii="Calibri" w:hAnsi="Calibri" w:cs="Calibri"/>
          <w:sz w:val="22"/>
        </w:rPr>
        <w:t>et al.</w:t>
      </w:r>
      <w:r w:rsidR="002644C3">
        <w:rPr>
          <w:rFonts w:ascii="Calibri" w:hAnsi="Calibri" w:cs="Calibri"/>
          <w:sz w:val="22"/>
        </w:rPr>
        <w:t xml:space="preserve">, </w:t>
      </w:r>
      <w:r w:rsidR="008F6113" w:rsidRPr="00F2205B">
        <w:rPr>
          <w:rFonts w:ascii="Calibri" w:hAnsi="Calibri" w:cs="Calibri"/>
          <w:sz w:val="22"/>
        </w:rPr>
        <w:t>2012)</w:t>
      </w:r>
      <w:r w:rsidRPr="00F2205B">
        <w:rPr>
          <w:rFonts w:ascii="Calibri" w:hAnsi="Calibri" w:cs="Calibri"/>
          <w:sz w:val="22"/>
        </w:rPr>
        <w:t xml:space="preserve">. </w:t>
      </w:r>
      <w:r w:rsidR="00462CC1" w:rsidRPr="00F2205B">
        <w:rPr>
          <w:rFonts w:ascii="Calibri" w:hAnsi="Calibri" w:cs="Calibri"/>
          <w:sz w:val="22"/>
        </w:rPr>
        <w:t>Individuals living on low incomes, including those reliant on social welfare, casual or insecure employment, or facing high housing costs, often struggle to afford nutritious food. The rising cost of living, particularly in urban areas, exacerbates this issue, forcing people to make difficult choices between food and other essentials such as rent, utilities, and healthcare</w:t>
      </w:r>
      <w:r w:rsidR="002644C3">
        <w:rPr>
          <w:rFonts w:ascii="Calibri" w:hAnsi="Calibri" w:cs="Calibri"/>
          <w:sz w:val="22"/>
        </w:rPr>
        <w:t xml:space="preserve"> (Foodbank Australia, 2025)</w:t>
      </w:r>
      <w:r w:rsidR="00462CC1" w:rsidRPr="00F2205B">
        <w:rPr>
          <w:rFonts w:ascii="Calibri" w:hAnsi="Calibri" w:cs="Calibri"/>
          <w:sz w:val="22"/>
        </w:rPr>
        <w:t>.</w:t>
      </w:r>
    </w:p>
    <w:p w14:paraId="489A9B5D" w14:textId="77777777" w:rsidR="009A4875" w:rsidRDefault="009A4875" w:rsidP="00F2205B">
      <w:pPr>
        <w:spacing w:after="0" w:line="240" w:lineRule="auto"/>
        <w:jc w:val="both"/>
        <w:rPr>
          <w:rFonts w:ascii="Calibri" w:hAnsi="Calibri" w:cs="Calibri"/>
          <w:sz w:val="22"/>
        </w:rPr>
      </w:pPr>
    </w:p>
    <w:p w14:paraId="06492696" w14:textId="0F3D9570" w:rsidR="004F0E9B" w:rsidRPr="00F2205B" w:rsidRDefault="00462CC1" w:rsidP="00F2205B">
      <w:pPr>
        <w:spacing w:after="0" w:line="240" w:lineRule="auto"/>
        <w:jc w:val="both"/>
        <w:rPr>
          <w:rFonts w:ascii="Calibri" w:hAnsi="Calibri" w:cs="Calibri"/>
          <w:sz w:val="22"/>
        </w:rPr>
      </w:pPr>
      <w:r w:rsidRPr="00F2205B">
        <w:rPr>
          <w:rFonts w:ascii="Calibri" w:hAnsi="Calibri" w:cs="Calibri"/>
          <w:sz w:val="22"/>
        </w:rPr>
        <w:t xml:space="preserve">Social factors also play a significant role. </w:t>
      </w:r>
      <w:r w:rsidR="00054D14" w:rsidRPr="00F2205B">
        <w:rPr>
          <w:rFonts w:ascii="Calibri" w:hAnsi="Calibri" w:cs="Calibri"/>
          <w:sz w:val="22"/>
        </w:rPr>
        <w:t xml:space="preserve">The Australian Institute of </w:t>
      </w:r>
      <w:r w:rsidR="00A92B29" w:rsidRPr="00F2205B">
        <w:rPr>
          <w:rFonts w:ascii="Calibri" w:hAnsi="Calibri" w:cs="Calibri"/>
          <w:sz w:val="22"/>
        </w:rPr>
        <w:t>F</w:t>
      </w:r>
      <w:r w:rsidR="00054D14" w:rsidRPr="00F2205B">
        <w:rPr>
          <w:rFonts w:ascii="Calibri" w:hAnsi="Calibri" w:cs="Calibri"/>
          <w:sz w:val="22"/>
        </w:rPr>
        <w:t xml:space="preserve">amily </w:t>
      </w:r>
      <w:r w:rsidR="00A92B29" w:rsidRPr="00F2205B">
        <w:rPr>
          <w:rFonts w:ascii="Calibri" w:hAnsi="Calibri" w:cs="Calibri"/>
          <w:sz w:val="22"/>
        </w:rPr>
        <w:t>S</w:t>
      </w:r>
      <w:r w:rsidR="00054D14" w:rsidRPr="00F2205B">
        <w:rPr>
          <w:rFonts w:ascii="Calibri" w:hAnsi="Calibri" w:cs="Calibri"/>
          <w:sz w:val="22"/>
        </w:rPr>
        <w:t>tudies (2011) shows that c</w:t>
      </w:r>
      <w:r w:rsidRPr="00F2205B">
        <w:rPr>
          <w:rFonts w:ascii="Calibri" w:hAnsi="Calibri" w:cs="Calibri"/>
          <w:sz w:val="22"/>
        </w:rPr>
        <w:t xml:space="preserve">ertain </w:t>
      </w:r>
      <w:r w:rsidR="00054D14" w:rsidRPr="00F2205B">
        <w:rPr>
          <w:rFonts w:ascii="Calibri" w:hAnsi="Calibri" w:cs="Calibri"/>
          <w:sz w:val="22"/>
        </w:rPr>
        <w:t>marginalised groups</w:t>
      </w:r>
      <w:r w:rsidRPr="00F2205B">
        <w:rPr>
          <w:rFonts w:ascii="Calibri" w:hAnsi="Calibri" w:cs="Calibri"/>
          <w:sz w:val="22"/>
        </w:rPr>
        <w:t xml:space="preserve"> are disproportionately affected, including</w:t>
      </w:r>
      <w:r w:rsidR="004F0E9B" w:rsidRPr="00F2205B">
        <w:rPr>
          <w:rFonts w:ascii="Calibri" w:hAnsi="Calibri" w:cs="Calibri"/>
          <w:sz w:val="22"/>
        </w:rPr>
        <w:t>:</w:t>
      </w:r>
    </w:p>
    <w:p w14:paraId="16700D70" w14:textId="77777777" w:rsidR="004F0E9B" w:rsidRPr="00F2205B" w:rsidRDefault="00462CC1"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 xml:space="preserve">Indigenous Australians, </w:t>
      </w:r>
    </w:p>
    <w:p w14:paraId="5E9C4B40" w14:textId="0057AD83" w:rsidR="004F0E9B" w:rsidRPr="00F2205B" w:rsidRDefault="00DD7FB6"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P</w:t>
      </w:r>
      <w:r w:rsidR="00462CC1" w:rsidRPr="00F2205B">
        <w:rPr>
          <w:rFonts w:ascii="Calibri" w:hAnsi="Calibri" w:cs="Calibri"/>
          <w:sz w:val="22"/>
        </w:rPr>
        <w:t xml:space="preserve">eople with disabilities, </w:t>
      </w:r>
    </w:p>
    <w:p w14:paraId="54ACE723" w14:textId="503B0A5E" w:rsidR="004F0E9B" w:rsidRPr="00F2205B" w:rsidRDefault="004F0E9B"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Elderly people</w:t>
      </w:r>
      <w:r w:rsidR="003E3981" w:rsidRPr="00F2205B">
        <w:rPr>
          <w:rFonts w:ascii="Calibri" w:hAnsi="Calibri" w:cs="Calibri"/>
          <w:sz w:val="22"/>
        </w:rPr>
        <w:t>,</w:t>
      </w:r>
    </w:p>
    <w:p w14:paraId="7AE43E57" w14:textId="17B0FE0E" w:rsidR="004F0E9B" w:rsidRPr="00F2205B" w:rsidRDefault="004F0E9B"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Children</w:t>
      </w:r>
      <w:r w:rsidR="003E3981" w:rsidRPr="00F2205B">
        <w:rPr>
          <w:rFonts w:ascii="Calibri" w:hAnsi="Calibri" w:cs="Calibri"/>
          <w:sz w:val="22"/>
        </w:rPr>
        <w:t>,</w:t>
      </w:r>
    </w:p>
    <w:p w14:paraId="6860D089" w14:textId="3EA82274" w:rsidR="004F0E9B" w:rsidRPr="00F2205B" w:rsidRDefault="00DD7FB6"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S</w:t>
      </w:r>
      <w:r w:rsidR="00462CC1" w:rsidRPr="00F2205B">
        <w:rPr>
          <w:rFonts w:ascii="Calibri" w:hAnsi="Calibri" w:cs="Calibri"/>
          <w:sz w:val="22"/>
        </w:rPr>
        <w:t>ingle-parent families</w:t>
      </w:r>
      <w:r w:rsidR="004F0E9B" w:rsidRPr="00F2205B">
        <w:rPr>
          <w:rFonts w:ascii="Calibri" w:hAnsi="Calibri" w:cs="Calibri"/>
          <w:sz w:val="22"/>
        </w:rPr>
        <w:t>, and</w:t>
      </w:r>
    </w:p>
    <w:p w14:paraId="00F088BF" w14:textId="533E87E5" w:rsidR="004F0E9B" w:rsidRPr="00F2205B" w:rsidRDefault="00DD7FB6" w:rsidP="00F2205B">
      <w:pPr>
        <w:pStyle w:val="ListParagraph"/>
        <w:numPr>
          <w:ilvl w:val="0"/>
          <w:numId w:val="12"/>
        </w:numPr>
        <w:spacing w:after="0" w:line="240" w:lineRule="auto"/>
        <w:ind w:left="0" w:firstLine="0"/>
        <w:jc w:val="both"/>
        <w:rPr>
          <w:rFonts w:ascii="Calibri" w:hAnsi="Calibri" w:cs="Calibri"/>
          <w:sz w:val="22"/>
        </w:rPr>
      </w:pPr>
      <w:r w:rsidRPr="00F2205B">
        <w:rPr>
          <w:rFonts w:ascii="Calibri" w:hAnsi="Calibri" w:cs="Calibri"/>
          <w:sz w:val="22"/>
        </w:rPr>
        <w:t>N</w:t>
      </w:r>
      <w:r w:rsidR="00462CC1" w:rsidRPr="00F2205B">
        <w:rPr>
          <w:rFonts w:ascii="Calibri" w:hAnsi="Calibri" w:cs="Calibri"/>
          <w:sz w:val="22"/>
        </w:rPr>
        <w:t>ewly arrived migrants.</w:t>
      </w:r>
    </w:p>
    <w:p w14:paraId="3AFE077A" w14:textId="77777777" w:rsidR="009A4875" w:rsidRDefault="009A4875" w:rsidP="00F2205B">
      <w:pPr>
        <w:spacing w:after="0" w:line="240" w:lineRule="auto"/>
        <w:jc w:val="both"/>
        <w:rPr>
          <w:rFonts w:ascii="Calibri" w:hAnsi="Calibri" w:cs="Calibri"/>
          <w:sz w:val="22"/>
        </w:rPr>
      </w:pPr>
    </w:p>
    <w:p w14:paraId="43F04507" w14:textId="6E472908" w:rsidR="00462CC1" w:rsidRPr="00F2205B" w:rsidRDefault="00462CC1" w:rsidP="00F2205B">
      <w:pPr>
        <w:spacing w:after="0" w:line="240" w:lineRule="auto"/>
        <w:jc w:val="both"/>
        <w:rPr>
          <w:rFonts w:ascii="Calibri" w:hAnsi="Calibri" w:cs="Calibri"/>
          <w:sz w:val="22"/>
        </w:rPr>
      </w:pPr>
      <w:r w:rsidRPr="00F2205B">
        <w:rPr>
          <w:rFonts w:ascii="Calibri" w:hAnsi="Calibri" w:cs="Calibri"/>
          <w:sz w:val="22"/>
        </w:rPr>
        <w:t>Geographic isolation further compounds food insecurity in rural and remote communities, where food prices are often significantly higher and access to fresh produce is limited.</w:t>
      </w:r>
    </w:p>
    <w:p w14:paraId="26F93301" w14:textId="77777777" w:rsidR="009A4875" w:rsidRDefault="009A4875" w:rsidP="00F2205B">
      <w:pPr>
        <w:spacing w:after="0" w:line="240" w:lineRule="auto"/>
        <w:jc w:val="both"/>
        <w:rPr>
          <w:rFonts w:ascii="Calibri" w:hAnsi="Calibri" w:cs="Calibri"/>
          <w:sz w:val="22"/>
        </w:rPr>
      </w:pPr>
    </w:p>
    <w:p w14:paraId="7394E852" w14:textId="76E81E93" w:rsidR="00462CC1" w:rsidRPr="00F2205B" w:rsidRDefault="00462CC1" w:rsidP="00F2205B">
      <w:pPr>
        <w:spacing w:after="0" w:line="240" w:lineRule="auto"/>
        <w:jc w:val="both"/>
        <w:rPr>
          <w:rFonts w:ascii="Calibri" w:hAnsi="Calibri" w:cs="Calibri"/>
          <w:sz w:val="22"/>
        </w:rPr>
      </w:pPr>
      <w:r w:rsidRPr="00F2205B">
        <w:rPr>
          <w:rFonts w:ascii="Calibri" w:hAnsi="Calibri" w:cs="Calibri"/>
          <w:sz w:val="22"/>
        </w:rPr>
        <w:t>Environmental challenges such as drought</w:t>
      </w:r>
      <w:r w:rsidR="00545E0D">
        <w:rPr>
          <w:rFonts w:ascii="Calibri" w:hAnsi="Calibri" w:cs="Calibri"/>
          <w:sz w:val="22"/>
        </w:rPr>
        <w:t>s</w:t>
      </w:r>
      <w:r w:rsidRPr="00F2205B">
        <w:rPr>
          <w:rFonts w:ascii="Calibri" w:hAnsi="Calibri" w:cs="Calibri"/>
          <w:sz w:val="22"/>
        </w:rPr>
        <w:t xml:space="preserve">, floods, </w:t>
      </w:r>
      <w:r w:rsidR="00545E0D">
        <w:rPr>
          <w:rFonts w:ascii="Calibri" w:hAnsi="Calibri" w:cs="Calibri"/>
          <w:sz w:val="22"/>
        </w:rPr>
        <w:t xml:space="preserve">frosts </w:t>
      </w:r>
      <w:r w:rsidRPr="00F2205B">
        <w:rPr>
          <w:rFonts w:ascii="Calibri" w:hAnsi="Calibri" w:cs="Calibri"/>
          <w:sz w:val="22"/>
        </w:rPr>
        <w:t>and bushfires — all of which are becoming more frequent and severe due to climate change — impact food production and distribution. These disruptions not only reduce food availability</w:t>
      </w:r>
      <w:r w:rsidR="00DD7FB6" w:rsidRPr="00F2205B">
        <w:rPr>
          <w:rFonts w:ascii="Calibri" w:hAnsi="Calibri" w:cs="Calibri"/>
          <w:sz w:val="22"/>
        </w:rPr>
        <w:t xml:space="preserve">, </w:t>
      </w:r>
      <w:r w:rsidRPr="00F2205B">
        <w:rPr>
          <w:rFonts w:ascii="Calibri" w:hAnsi="Calibri" w:cs="Calibri"/>
          <w:sz w:val="22"/>
        </w:rPr>
        <w:t>but also lead to higher prices, making healthy food less accessible for vulnerable populations.</w:t>
      </w:r>
    </w:p>
    <w:p w14:paraId="7ACACDD7" w14:textId="77777777" w:rsidR="009A4875" w:rsidRDefault="009A4875" w:rsidP="00F2205B">
      <w:pPr>
        <w:spacing w:after="0" w:line="240" w:lineRule="auto"/>
        <w:jc w:val="both"/>
        <w:rPr>
          <w:rFonts w:ascii="Calibri" w:hAnsi="Calibri" w:cs="Calibri"/>
          <w:sz w:val="22"/>
        </w:rPr>
      </w:pPr>
    </w:p>
    <w:p w14:paraId="32A17645" w14:textId="41267106" w:rsidR="00462CC1" w:rsidRPr="00F2205B" w:rsidRDefault="00462CC1" w:rsidP="00F2205B">
      <w:pPr>
        <w:spacing w:after="0" w:line="240" w:lineRule="auto"/>
        <w:jc w:val="both"/>
        <w:rPr>
          <w:rFonts w:ascii="Calibri" w:hAnsi="Calibri" w:cs="Calibri"/>
          <w:sz w:val="22"/>
        </w:rPr>
      </w:pPr>
      <w:r w:rsidRPr="00F2205B">
        <w:rPr>
          <w:rFonts w:ascii="Calibri" w:hAnsi="Calibri" w:cs="Calibri"/>
          <w:sz w:val="22"/>
        </w:rPr>
        <w:t xml:space="preserve">Additionally, systemic issues in food distribution and waste contribute to the problem. Despite Australia producing enough food to feed its population, inefficiencies in the food supply chain and a reliance on market-based distribution often leave those in need without adequate support. </w:t>
      </w:r>
    </w:p>
    <w:p w14:paraId="452DC3AC" w14:textId="77777777" w:rsidR="009A4875" w:rsidRDefault="009A4875" w:rsidP="00F2205B">
      <w:pPr>
        <w:spacing w:after="0" w:line="240" w:lineRule="auto"/>
        <w:jc w:val="both"/>
        <w:rPr>
          <w:rFonts w:ascii="Calibri" w:hAnsi="Calibri" w:cs="Calibri"/>
          <w:sz w:val="22"/>
        </w:rPr>
      </w:pPr>
    </w:p>
    <w:p w14:paraId="7742FEDE" w14:textId="5147A911" w:rsidR="00462CC1" w:rsidRPr="00F2205B" w:rsidRDefault="00462CC1" w:rsidP="00F2205B">
      <w:pPr>
        <w:spacing w:after="0" w:line="240" w:lineRule="auto"/>
        <w:jc w:val="both"/>
        <w:rPr>
          <w:rFonts w:ascii="Calibri" w:hAnsi="Calibri" w:cs="Calibri"/>
          <w:sz w:val="22"/>
        </w:rPr>
      </w:pPr>
      <w:r w:rsidRPr="00F2205B">
        <w:rPr>
          <w:rFonts w:ascii="Calibri" w:hAnsi="Calibri" w:cs="Calibri"/>
          <w:sz w:val="22"/>
        </w:rPr>
        <w:t xml:space="preserve">Addressing </w:t>
      </w:r>
      <w:r w:rsidR="009C60FE" w:rsidRPr="00F2205B">
        <w:rPr>
          <w:rFonts w:ascii="Calibri" w:hAnsi="Calibri" w:cs="Calibri"/>
          <w:sz w:val="22"/>
        </w:rPr>
        <w:t>the</w:t>
      </w:r>
      <w:r w:rsidR="0064281A" w:rsidRPr="00F2205B">
        <w:rPr>
          <w:rFonts w:ascii="Calibri" w:hAnsi="Calibri" w:cs="Calibri"/>
          <w:sz w:val="22"/>
        </w:rPr>
        <w:t xml:space="preserve">se drivers of food insecurity </w:t>
      </w:r>
      <w:r w:rsidRPr="00F2205B">
        <w:rPr>
          <w:rFonts w:ascii="Calibri" w:hAnsi="Calibri" w:cs="Calibri"/>
          <w:sz w:val="22"/>
        </w:rPr>
        <w:t>requires coordinated efforts across government, community organizations, and industry, with a focus on both short-term relief and long-term structural change.</w:t>
      </w:r>
      <w:r w:rsidR="005B6F7B" w:rsidRPr="00F2205B">
        <w:rPr>
          <w:rFonts w:ascii="Calibri" w:hAnsi="Calibri" w:cs="Calibri"/>
          <w:sz w:val="22"/>
        </w:rPr>
        <w:t xml:space="preserve"> </w:t>
      </w:r>
    </w:p>
    <w:p w14:paraId="4AB25DBB" w14:textId="77777777" w:rsidR="009A4875" w:rsidRDefault="009A4875" w:rsidP="00F2205B">
      <w:pPr>
        <w:spacing w:after="0" w:line="240" w:lineRule="auto"/>
        <w:jc w:val="both"/>
        <w:rPr>
          <w:rFonts w:ascii="Calibri" w:hAnsi="Calibri" w:cs="Calibri"/>
          <w:sz w:val="22"/>
        </w:rPr>
      </w:pPr>
    </w:p>
    <w:p w14:paraId="15E4B9CE" w14:textId="5A2F90E7" w:rsidR="004C3626" w:rsidRPr="00F2205B" w:rsidRDefault="004C3626" w:rsidP="00F2205B">
      <w:pPr>
        <w:spacing w:after="0" w:line="240" w:lineRule="auto"/>
        <w:jc w:val="both"/>
        <w:rPr>
          <w:rFonts w:ascii="Calibri" w:hAnsi="Calibri" w:cs="Calibri"/>
          <w:sz w:val="22"/>
        </w:rPr>
      </w:pPr>
      <w:r w:rsidRPr="00F2205B">
        <w:rPr>
          <w:rFonts w:ascii="Calibri" w:hAnsi="Calibri" w:cs="Calibri"/>
          <w:sz w:val="22"/>
        </w:rPr>
        <w:t xml:space="preserve">The food industry in its current state could be considered two separate markets, one of primary food production and distribution, and one of food relief. Both of these markets are experiencing some level of market failure, through negative </w:t>
      </w:r>
      <w:r w:rsidR="003E068C" w:rsidRPr="00F2205B">
        <w:rPr>
          <w:rFonts w:ascii="Calibri" w:hAnsi="Calibri" w:cs="Calibri"/>
          <w:sz w:val="22"/>
        </w:rPr>
        <w:t xml:space="preserve">externalities </w:t>
      </w:r>
      <w:r w:rsidRPr="00F2205B">
        <w:rPr>
          <w:rFonts w:ascii="Calibri" w:hAnsi="Calibri" w:cs="Calibri"/>
          <w:sz w:val="22"/>
        </w:rPr>
        <w:t>in food production, positive externalities in food relief, high market concentration, and significant use of common resources (Rocha</w:t>
      </w:r>
      <w:r w:rsidR="009A0B4E">
        <w:rPr>
          <w:rFonts w:ascii="Calibri" w:hAnsi="Calibri" w:cs="Calibri"/>
          <w:sz w:val="22"/>
        </w:rPr>
        <w:t>,</w:t>
      </w:r>
      <w:r w:rsidRPr="00F2205B">
        <w:rPr>
          <w:rFonts w:ascii="Calibri" w:hAnsi="Calibri" w:cs="Calibri"/>
          <w:sz w:val="22"/>
        </w:rPr>
        <w:t xml:space="preserve"> 2006).</w:t>
      </w:r>
    </w:p>
    <w:p w14:paraId="405336CD" w14:textId="77777777" w:rsidR="009A4875" w:rsidRDefault="009A4875" w:rsidP="00F2205B">
      <w:pPr>
        <w:spacing w:after="0" w:line="240" w:lineRule="auto"/>
        <w:jc w:val="both"/>
        <w:rPr>
          <w:rFonts w:ascii="Calibri" w:hAnsi="Calibri" w:cs="Calibri"/>
          <w:sz w:val="22"/>
        </w:rPr>
      </w:pPr>
    </w:p>
    <w:p w14:paraId="54DC7F14" w14:textId="72AC30AA" w:rsidR="004C3626" w:rsidRPr="00F2205B" w:rsidRDefault="005B6F7B" w:rsidP="00F2205B">
      <w:pPr>
        <w:spacing w:after="0" w:line="240" w:lineRule="auto"/>
        <w:jc w:val="both"/>
        <w:rPr>
          <w:rFonts w:ascii="Calibri" w:hAnsi="Calibri" w:cs="Calibri"/>
          <w:sz w:val="22"/>
        </w:rPr>
      </w:pPr>
      <w:r w:rsidRPr="00F2205B">
        <w:rPr>
          <w:rFonts w:ascii="Calibri" w:hAnsi="Calibri" w:cs="Calibri"/>
          <w:sz w:val="22"/>
        </w:rPr>
        <w:t xml:space="preserve">The </w:t>
      </w:r>
      <w:r w:rsidRPr="00971492">
        <w:rPr>
          <w:rFonts w:ascii="Calibri" w:hAnsi="Calibri" w:cs="Calibri"/>
          <w:i/>
          <w:iCs/>
          <w:sz w:val="22"/>
        </w:rPr>
        <w:t xml:space="preserve">Victorian </w:t>
      </w:r>
      <w:r w:rsidR="003D55AE" w:rsidRPr="00971492">
        <w:rPr>
          <w:rFonts w:ascii="Calibri" w:hAnsi="Calibri" w:cs="Calibri"/>
          <w:i/>
          <w:iCs/>
          <w:sz w:val="22"/>
        </w:rPr>
        <w:t>G</w:t>
      </w:r>
      <w:r w:rsidRPr="00971492">
        <w:rPr>
          <w:rFonts w:ascii="Calibri" w:hAnsi="Calibri" w:cs="Calibri"/>
          <w:i/>
          <w:iCs/>
          <w:sz w:val="22"/>
        </w:rPr>
        <w:t xml:space="preserve">uide to </w:t>
      </w:r>
      <w:r w:rsidR="003D55AE" w:rsidRPr="00971492">
        <w:rPr>
          <w:rFonts w:ascii="Calibri" w:hAnsi="Calibri" w:cs="Calibri"/>
          <w:i/>
          <w:iCs/>
          <w:sz w:val="22"/>
        </w:rPr>
        <w:t>R</w:t>
      </w:r>
      <w:r w:rsidRPr="00971492">
        <w:rPr>
          <w:rFonts w:ascii="Calibri" w:hAnsi="Calibri" w:cs="Calibri"/>
          <w:i/>
          <w:iCs/>
          <w:sz w:val="22"/>
        </w:rPr>
        <w:t>egulation</w:t>
      </w:r>
      <w:r w:rsidRPr="00F2205B">
        <w:rPr>
          <w:rFonts w:ascii="Calibri" w:hAnsi="Calibri" w:cs="Calibri"/>
          <w:sz w:val="22"/>
        </w:rPr>
        <w:t xml:space="preserve"> (</w:t>
      </w:r>
      <w:r w:rsidR="004D0548">
        <w:rPr>
          <w:rFonts w:ascii="Calibri" w:hAnsi="Calibri" w:cs="Calibri"/>
          <w:sz w:val="22"/>
        </w:rPr>
        <w:t xml:space="preserve">Better Regulation Victoria, </w:t>
      </w:r>
      <w:r w:rsidRPr="00F2205B">
        <w:rPr>
          <w:rFonts w:ascii="Calibri" w:hAnsi="Calibri" w:cs="Calibri"/>
          <w:sz w:val="22"/>
        </w:rPr>
        <w:t>202</w:t>
      </w:r>
      <w:r w:rsidR="00EC7520" w:rsidRPr="00F2205B">
        <w:rPr>
          <w:rFonts w:ascii="Calibri" w:hAnsi="Calibri" w:cs="Calibri"/>
          <w:sz w:val="22"/>
        </w:rPr>
        <w:t>4</w:t>
      </w:r>
      <w:r w:rsidRPr="00F2205B">
        <w:rPr>
          <w:rFonts w:ascii="Calibri" w:hAnsi="Calibri" w:cs="Calibri"/>
          <w:sz w:val="22"/>
        </w:rPr>
        <w:t>)</w:t>
      </w:r>
      <w:r w:rsidR="004C3626" w:rsidRPr="00F2205B">
        <w:rPr>
          <w:rFonts w:ascii="Calibri" w:hAnsi="Calibri" w:cs="Calibri"/>
          <w:sz w:val="22"/>
        </w:rPr>
        <w:t xml:space="preserve"> is</w:t>
      </w:r>
      <w:r w:rsidRPr="00F2205B">
        <w:rPr>
          <w:rFonts w:ascii="Calibri" w:hAnsi="Calibri" w:cs="Calibri"/>
          <w:sz w:val="22"/>
        </w:rPr>
        <w:t xml:space="preserve"> used as a </w:t>
      </w:r>
      <w:r w:rsidR="004C3626" w:rsidRPr="00F2205B">
        <w:rPr>
          <w:rFonts w:ascii="Calibri" w:hAnsi="Calibri" w:cs="Calibri"/>
          <w:sz w:val="22"/>
        </w:rPr>
        <w:t>guide for policy makers within the</w:t>
      </w:r>
      <w:r w:rsidR="00EC7520" w:rsidRPr="00F2205B">
        <w:rPr>
          <w:rFonts w:ascii="Calibri" w:hAnsi="Calibri" w:cs="Calibri"/>
          <w:sz w:val="22"/>
        </w:rPr>
        <w:t xml:space="preserve"> Victorian</w:t>
      </w:r>
      <w:r w:rsidR="004C3626" w:rsidRPr="00F2205B">
        <w:rPr>
          <w:rFonts w:ascii="Calibri" w:hAnsi="Calibri" w:cs="Calibri"/>
          <w:sz w:val="22"/>
        </w:rPr>
        <w:t xml:space="preserve"> public service for determining how and when policy interventions may be required. The guide</w:t>
      </w:r>
      <w:r w:rsidRPr="00F2205B">
        <w:rPr>
          <w:rFonts w:ascii="Calibri" w:hAnsi="Calibri" w:cs="Calibri"/>
          <w:sz w:val="22"/>
        </w:rPr>
        <w:t xml:space="preserve"> outlines that policy makers should refrain from interfering in functioning markets</w:t>
      </w:r>
      <w:r w:rsidR="004C3626" w:rsidRPr="00F2205B">
        <w:rPr>
          <w:rFonts w:ascii="Calibri" w:hAnsi="Calibri" w:cs="Calibri"/>
          <w:sz w:val="22"/>
        </w:rPr>
        <w:t xml:space="preserve">, pointing towards specific market failures as part of the rationale for intervention. </w:t>
      </w:r>
    </w:p>
    <w:p w14:paraId="2D618C80" w14:textId="77777777" w:rsidR="009A4875" w:rsidRDefault="009A4875" w:rsidP="00F2205B">
      <w:pPr>
        <w:spacing w:after="0" w:line="240" w:lineRule="auto"/>
        <w:jc w:val="both"/>
        <w:rPr>
          <w:rFonts w:ascii="Calibri" w:hAnsi="Calibri" w:cs="Calibri"/>
          <w:sz w:val="22"/>
        </w:rPr>
      </w:pPr>
    </w:p>
    <w:p w14:paraId="33DB8B93" w14:textId="42DA03A8" w:rsidR="0064281A" w:rsidRPr="00F2205B" w:rsidRDefault="004C3626" w:rsidP="00F2205B">
      <w:pPr>
        <w:spacing w:after="0" w:line="240" w:lineRule="auto"/>
        <w:jc w:val="both"/>
        <w:rPr>
          <w:rFonts w:ascii="Calibri" w:hAnsi="Calibri" w:cs="Calibri"/>
          <w:sz w:val="22"/>
        </w:rPr>
      </w:pPr>
      <w:r w:rsidRPr="00F2205B">
        <w:rPr>
          <w:rFonts w:ascii="Calibri" w:hAnsi="Calibri" w:cs="Calibri"/>
          <w:sz w:val="22"/>
        </w:rPr>
        <w:t xml:space="preserve">The increase in people accessing food relief through the </w:t>
      </w:r>
      <w:r w:rsidR="00545E0D">
        <w:rPr>
          <w:rFonts w:ascii="Calibri" w:hAnsi="Calibri" w:cs="Calibri"/>
          <w:sz w:val="22"/>
        </w:rPr>
        <w:t xml:space="preserve">last </w:t>
      </w:r>
      <w:r w:rsidRPr="00F2205B">
        <w:rPr>
          <w:rFonts w:ascii="Calibri" w:hAnsi="Calibri" w:cs="Calibri"/>
          <w:sz w:val="22"/>
        </w:rPr>
        <w:t xml:space="preserve">decade may indicate that these market failures are escalating. The Victorian government has </w:t>
      </w:r>
      <w:r w:rsidR="005B753B" w:rsidRPr="00F2205B">
        <w:rPr>
          <w:rFonts w:ascii="Calibri" w:hAnsi="Calibri" w:cs="Calibri"/>
          <w:sz w:val="22"/>
        </w:rPr>
        <w:t xml:space="preserve">a </w:t>
      </w:r>
      <w:r w:rsidRPr="00F2205B">
        <w:rPr>
          <w:rFonts w:ascii="Calibri" w:hAnsi="Calibri" w:cs="Calibri"/>
          <w:sz w:val="22"/>
        </w:rPr>
        <w:t xml:space="preserve">clear rational for further intervention in the </w:t>
      </w:r>
      <w:r w:rsidRPr="00F2205B">
        <w:rPr>
          <w:rFonts w:ascii="Calibri" w:hAnsi="Calibri" w:cs="Calibri"/>
          <w:sz w:val="22"/>
        </w:rPr>
        <w:lastRenderedPageBreak/>
        <w:t>industry.</w:t>
      </w:r>
      <w:r w:rsidR="00136140">
        <w:rPr>
          <w:rFonts w:ascii="Calibri" w:hAnsi="Calibri" w:cs="Calibri"/>
          <w:sz w:val="22"/>
        </w:rPr>
        <w:t xml:space="preserve"> </w:t>
      </w:r>
      <w:r w:rsidR="009C39C2" w:rsidRPr="00F2205B">
        <w:rPr>
          <w:rFonts w:ascii="Calibri" w:hAnsi="Calibri" w:cs="Calibri"/>
          <w:sz w:val="22"/>
        </w:rPr>
        <w:t>Victorians</w:t>
      </w:r>
      <w:r w:rsidR="00054D14" w:rsidRPr="00F2205B">
        <w:rPr>
          <w:rFonts w:ascii="Calibri" w:hAnsi="Calibri" w:cs="Calibri"/>
          <w:sz w:val="22"/>
        </w:rPr>
        <w:t xml:space="preserve"> in need are currently supported by the food relief sector, which consists of not-for profits and local charities. Any changes to the Victorian policy landscape should consider how these entities are affected.</w:t>
      </w:r>
    </w:p>
    <w:p w14:paraId="4FF6D9C1" w14:textId="77777777" w:rsidR="009A4875" w:rsidRDefault="009A4875" w:rsidP="00944D7F">
      <w:pPr>
        <w:pStyle w:val="Heading2"/>
      </w:pPr>
    </w:p>
    <w:p w14:paraId="355FAD07" w14:textId="66BBBDDE" w:rsidR="009D6C26" w:rsidRPr="00CB465C" w:rsidRDefault="009D6C26" w:rsidP="00944D7F">
      <w:pPr>
        <w:pStyle w:val="Heading2"/>
      </w:pPr>
      <w:r w:rsidRPr="00CB465C">
        <w:t xml:space="preserve">Victoria’s </w:t>
      </w:r>
      <w:r w:rsidR="00A71434">
        <w:t>fo</w:t>
      </w:r>
      <w:r w:rsidRPr="00CB465C">
        <w:t xml:space="preserve">od </w:t>
      </w:r>
      <w:r w:rsidR="00A71434">
        <w:t>r</w:t>
      </w:r>
      <w:r w:rsidRPr="00CB465C">
        <w:t xml:space="preserve">elief </w:t>
      </w:r>
      <w:r w:rsidR="00A71434">
        <w:t>s</w:t>
      </w:r>
      <w:r w:rsidR="004204C7" w:rsidRPr="00CB465C">
        <w:t>e</w:t>
      </w:r>
      <w:r w:rsidRPr="00CB465C">
        <w:t>ctor</w:t>
      </w:r>
    </w:p>
    <w:p w14:paraId="18D848E1" w14:textId="77777777" w:rsidR="009A4875" w:rsidRDefault="009A4875" w:rsidP="00F2205B">
      <w:pPr>
        <w:spacing w:after="0" w:line="240" w:lineRule="auto"/>
        <w:jc w:val="both"/>
        <w:rPr>
          <w:rFonts w:ascii="Calibri" w:hAnsi="Calibri" w:cs="Calibri"/>
          <w:sz w:val="22"/>
        </w:rPr>
      </w:pPr>
    </w:p>
    <w:p w14:paraId="327DA562" w14:textId="4C0C8F0A" w:rsidR="009D6C26" w:rsidRPr="00F2205B" w:rsidRDefault="009D6C26" w:rsidP="00F2205B">
      <w:pPr>
        <w:spacing w:after="0" w:line="240" w:lineRule="auto"/>
        <w:jc w:val="both"/>
        <w:rPr>
          <w:rFonts w:ascii="Calibri" w:hAnsi="Calibri" w:cs="Calibri"/>
          <w:sz w:val="22"/>
        </w:rPr>
      </w:pPr>
      <w:r w:rsidRPr="00F2205B">
        <w:rPr>
          <w:rFonts w:ascii="Calibri" w:hAnsi="Calibri" w:cs="Calibri"/>
          <w:sz w:val="22"/>
        </w:rPr>
        <w:t>Food charities in Australia provide vital support to individuals and families experiencing hardship, tackle food waste, and build stronger, more resilient communities.</w:t>
      </w:r>
    </w:p>
    <w:p w14:paraId="46311220" w14:textId="77777777" w:rsidR="009A4875" w:rsidRDefault="009A4875" w:rsidP="00F2205B">
      <w:pPr>
        <w:spacing w:after="0" w:line="240" w:lineRule="auto"/>
        <w:jc w:val="both"/>
        <w:rPr>
          <w:rFonts w:ascii="Calibri" w:hAnsi="Calibri" w:cs="Calibri"/>
          <w:sz w:val="22"/>
        </w:rPr>
      </w:pPr>
    </w:p>
    <w:p w14:paraId="193E7127" w14:textId="0C17E129" w:rsidR="009D6C26" w:rsidRPr="00F2205B" w:rsidRDefault="009D6C26" w:rsidP="00F2205B">
      <w:pPr>
        <w:spacing w:after="0" w:line="240" w:lineRule="auto"/>
        <w:jc w:val="both"/>
        <w:rPr>
          <w:rFonts w:ascii="Calibri" w:hAnsi="Calibri" w:cs="Calibri"/>
          <w:sz w:val="22"/>
        </w:rPr>
      </w:pPr>
      <w:r w:rsidRPr="00F2205B">
        <w:rPr>
          <w:rFonts w:ascii="Calibri" w:hAnsi="Calibri" w:cs="Calibri"/>
          <w:sz w:val="22"/>
        </w:rPr>
        <w:t>Organisations such as Foodbank</w:t>
      </w:r>
      <w:r w:rsidR="00944228">
        <w:rPr>
          <w:rFonts w:ascii="Calibri" w:hAnsi="Calibri" w:cs="Calibri"/>
          <w:sz w:val="22"/>
        </w:rPr>
        <w:t xml:space="preserve"> (</w:t>
      </w:r>
      <w:r w:rsidR="00B538C0" w:rsidRPr="00B538C0">
        <w:rPr>
          <w:rFonts w:ascii="Calibri" w:hAnsi="Calibri" w:cs="Calibri"/>
          <w:sz w:val="22"/>
        </w:rPr>
        <w:t>https://www.foodbank.org.au/vic/</w:t>
      </w:r>
      <w:r w:rsidR="00DB3C07">
        <w:rPr>
          <w:rFonts w:ascii="Calibri" w:hAnsi="Calibri" w:cs="Calibri"/>
          <w:sz w:val="22"/>
        </w:rPr>
        <w:t>)</w:t>
      </w:r>
      <w:r w:rsidRPr="00F2205B">
        <w:rPr>
          <w:rFonts w:ascii="Calibri" w:hAnsi="Calibri" w:cs="Calibri"/>
          <w:sz w:val="22"/>
        </w:rPr>
        <w:t>, OzHarvest</w:t>
      </w:r>
      <w:r w:rsidR="00DB3C07">
        <w:rPr>
          <w:rFonts w:ascii="Calibri" w:hAnsi="Calibri" w:cs="Calibri"/>
          <w:sz w:val="22"/>
        </w:rPr>
        <w:t xml:space="preserve"> (</w:t>
      </w:r>
      <w:r w:rsidR="00DB3C07" w:rsidRPr="00DB3C07">
        <w:rPr>
          <w:rFonts w:ascii="Calibri" w:hAnsi="Calibri" w:cs="Calibri"/>
          <w:sz w:val="22"/>
        </w:rPr>
        <w:t>https://www.ozharvest.org/</w:t>
      </w:r>
      <w:r w:rsidR="005A787B">
        <w:rPr>
          <w:rFonts w:ascii="Calibri" w:hAnsi="Calibri" w:cs="Calibri"/>
          <w:sz w:val="22"/>
        </w:rPr>
        <w:t>)</w:t>
      </w:r>
      <w:r w:rsidRPr="00F2205B">
        <w:rPr>
          <w:rFonts w:ascii="Calibri" w:hAnsi="Calibri" w:cs="Calibri"/>
          <w:sz w:val="22"/>
        </w:rPr>
        <w:t xml:space="preserve">, and SecondBite </w:t>
      </w:r>
      <w:r w:rsidR="005A787B">
        <w:rPr>
          <w:rFonts w:ascii="Calibri" w:hAnsi="Calibri" w:cs="Calibri"/>
          <w:sz w:val="22"/>
        </w:rPr>
        <w:t>(</w:t>
      </w:r>
      <w:hyperlink r:id="rId8" w:history="1">
        <w:r w:rsidR="00D649EF" w:rsidRPr="00501B0A">
          <w:rPr>
            <w:rStyle w:val="Hyperlink"/>
            <w:rFonts w:ascii="Calibri" w:hAnsi="Calibri" w:cs="Calibri"/>
            <w:sz w:val="22"/>
          </w:rPr>
          <w:t>https://secondbite.org/</w:t>
        </w:r>
      </w:hyperlink>
      <w:r w:rsidR="00D649EF">
        <w:rPr>
          <w:rFonts w:ascii="Calibri" w:hAnsi="Calibri" w:cs="Calibri"/>
          <w:sz w:val="22"/>
        </w:rPr>
        <w:t xml:space="preserve">), </w:t>
      </w:r>
      <w:r w:rsidR="00D649EF" w:rsidRPr="00D649EF">
        <w:rPr>
          <w:rFonts w:ascii="Calibri" w:hAnsi="Calibri" w:cs="Calibri"/>
          <w:sz w:val="22"/>
        </w:rPr>
        <w:t xml:space="preserve"> </w:t>
      </w:r>
      <w:r w:rsidRPr="00F2205B">
        <w:rPr>
          <w:rFonts w:ascii="Calibri" w:hAnsi="Calibri" w:cs="Calibri"/>
          <w:sz w:val="22"/>
        </w:rPr>
        <w:t xml:space="preserve">collect edible but unsellable food from supermarkets, farms, manufacturers, and restaurants, and distribute it to a network of local charities, community kitchens, and school programs. These organisations help divert </w:t>
      </w:r>
      <w:r w:rsidR="009C39C2" w:rsidRPr="00F2205B">
        <w:rPr>
          <w:rFonts w:ascii="Calibri" w:hAnsi="Calibri" w:cs="Calibri"/>
          <w:sz w:val="22"/>
        </w:rPr>
        <w:t xml:space="preserve">over 80 </w:t>
      </w:r>
      <w:r w:rsidRPr="00F2205B">
        <w:rPr>
          <w:rFonts w:ascii="Calibri" w:hAnsi="Calibri" w:cs="Calibri"/>
          <w:sz w:val="22"/>
        </w:rPr>
        <w:t>million</w:t>
      </w:r>
      <w:r w:rsidR="009C39C2" w:rsidRPr="00F2205B">
        <w:rPr>
          <w:rFonts w:ascii="Calibri" w:hAnsi="Calibri" w:cs="Calibri"/>
          <w:sz w:val="22"/>
        </w:rPr>
        <w:t xml:space="preserve"> </w:t>
      </w:r>
      <w:r w:rsidRPr="00F2205B">
        <w:rPr>
          <w:rFonts w:ascii="Calibri" w:hAnsi="Calibri" w:cs="Calibri"/>
          <w:sz w:val="22"/>
        </w:rPr>
        <w:t>kilograms of food from landfill each year</w:t>
      </w:r>
      <w:r w:rsidR="009C39C2" w:rsidRPr="00F2205B">
        <w:rPr>
          <w:rFonts w:ascii="Calibri" w:hAnsi="Calibri" w:cs="Calibri"/>
          <w:sz w:val="22"/>
        </w:rPr>
        <w:t xml:space="preserve"> (</w:t>
      </w:r>
      <w:r w:rsidR="009C39C2" w:rsidRPr="00F2205B">
        <w:rPr>
          <w:rFonts w:ascii="Calibri" w:hAnsi="Calibri" w:cs="Calibri"/>
          <w:sz w:val="22"/>
          <w:lang w:val="en-US"/>
        </w:rPr>
        <w:t>End Food Waste Australia</w:t>
      </w:r>
      <w:r w:rsidR="002C2B94">
        <w:rPr>
          <w:rFonts w:ascii="Calibri" w:hAnsi="Calibri" w:cs="Calibri"/>
          <w:sz w:val="22"/>
          <w:lang w:val="en-US"/>
        </w:rPr>
        <w:t>,</w:t>
      </w:r>
      <w:r w:rsidR="009C39C2" w:rsidRPr="00F2205B">
        <w:rPr>
          <w:rFonts w:ascii="Calibri" w:hAnsi="Calibri" w:cs="Calibri"/>
          <w:sz w:val="22"/>
          <w:lang w:val="en-US"/>
        </w:rPr>
        <w:t xml:space="preserve"> 2020)</w:t>
      </w:r>
      <w:r w:rsidRPr="00F2205B">
        <w:rPr>
          <w:rFonts w:ascii="Calibri" w:hAnsi="Calibri" w:cs="Calibri"/>
          <w:sz w:val="22"/>
        </w:rPr>
        <w:t>, addressing both environmental and social challenges</w:t>
      </w:r>
      <w:r w:rsidR="0064281A" w:rsidRPr="00F2205B">
        <w:rPr>
          <w:rFonts w:ascii="Calibri" w:hAnsi="Calibri" w:cs="Calibri"/>
          <w:sz w:val="22"/>
        </w:rPr>
        <w:t xml:space="preserve"> driving food insecurity in Australia.</w:t>
      </w:r>
    </w:p>
    <w:p w14:paraId="55270AC5" w14:textId="77777777" w:rsidR="009A4875" w:rsidRDefault="009A4875" w:rsidP="00F2205B">
      <w:pPr>
        <w:spacing w:after="0" w:line="240" w:lineRule="auto"/>
        <w:jc w:val="both"/>
        <w:rPr>
          <w:rFonts w:ascii="Calibri" w:hAnsi="Calibri" w:cs="Calibri"/>
          <w:sz w:val="22"/>
        </w:rPr>
      </w:pPr>
    </w:p>
    <w:p w14:paraId="2DC68EC3" w14:textId="7A08804A" w:rsidR="009D6C26" w:rsidRPr="00F2205B" w:rsidRDefault="009D6C26" w:rsidP="00F2205B">
      <w:pPr>
        <w:spacing w:after="0" w:line="240" w:lineRule="auto"/>
        <w:jc w:val="both"/>
        <w:rPr>
          <w:rFonts w:ascii="Calibri" w:hAnsi="Calibri" w:cs="Calibri"/>
          <w:sz w:val="22"/>
        </w:rPr>
      </w:pPr>
      <w:r w:rsidRPr="00F2205B">
        <w:rPr>
          <w:rFonts w:ascii="Calibri" w:hAnsi="Calibri" w:cs="Calibri"/>
          <w:sz w:val="22"/>
        </w:rPr>
        <w:t>Smaller grassroots charities and community groups</w:t>
      </w:r>
      <w:r w:rsidR="00F07845">
        <w:rPr>
          <w:rFonts w:ascii="Calibri" w:hAnsi="Calibri" w:cs="Calibri"/>
          <w:sz w:val="22"/>
        </w:rPr>
        <w:t>, not connected to the larger food relief organisations,</w:t>
      </w:r>
      <w:r w:rsidRPr="00F2205B">
        <w:rPr>
          <w:rFonts w:ascii="Calibri" w:hAnsi="Calibri" w:cs="Calibri"/>
          <w:sz w:val="22"/>
        </w:rPr>
        <w:t xml:space="preserve"> also play a vital role</w:t>
      </w:r>
      <w:r w:rsidR="0064281A" w:rsidRPr="00F2205B">
        <w:rPr>
          <w:rFonts w:ascii="Calibri" w:hAnsi="Calibri" w:cs="Calibri"/>
          <w:sz w:val="22"/>
        </w:rPr>
        <w:t xml:space="preserve"> in</w:t>
      </w:r>
      <w:r w:rsidR="004C3626" w:rsidRPr="00F2205B">
        <w:rPr>
          <w:rFonts w:ascii="Calibri" w:hAnsi="Calibri" w:cs="Calibri"/>
          <w:sz w:val="22"/>
        </w:rPr>
        <w:t xml:space="preserve"> supporting communities</w:t>
      </w:r>
      <w:r w:rsidRPr="00F2205B">
        <w:rPr>
          <w:rFonts w:ascii="Calibri" w:hAnsi="Calibri" w:cs="Calibri"/>
          <w:sz w:val="22"/>
        </w:rPr>
        <w:t xml:space="preserve">. Local food pantries, soup kitchens, and </w:t>
      </w:r>
      <w:r w:rsidR="00B756F3">
        <w:rPr>
          <w:rFonts w:ascii="Calibri" w:hAnsi="Calibri" w:cs="Calibri"/>
          <w:sz w:val="22"/>
        </w:rPr>
        <w:t>community</w:t>
      </w:r>
      <w:r w:rsidRPr="00F2205B">
        <w:rPr>
          <w:rFonts w:ascii="Calibri" w:hAnsi="Calibri" w:cs="Calibri"/>
          <w:sz w:val="22"/>
        </w:rPr>
        <w:t xml:space="preserve"> houses often provide direct, face-to-face assistance</w:t>
      </w:r>
      <w:r w:rsidR="004C3626" w:rsidRPr="00F2205B">
        <w:rPr>
          <w:rFonts w:ascii="Calibri" w:hAnsi="Calibri" w:cs="Calibri"/>
          <w:sz w:val="22"/>
        </w:rPr>
        <w:t xml:space="preserve"> to people in need</w:t>
      </w:r>
      <w:r w:rsidRPr="00F2205B">
        <w:rPr>
          <w:rFonts w:ascii="Calibri" w:hAnsi="Calibri" w:cs="Calibri"/>
          <w:sz w:val="22"/>
        </w:rPr>
        <w:t>. These services not only offer meals and groceries but also foster a sense of belonging and dignity for people in crisis.</w:t>
      </w:r>
    </w:p>
    <w:p w14:paraId="6A0DC8A5" w14:textId="77777777" w:rsidR="009A4875" w:rsidRDefault="009A4875" w:rsidP="00F2205B">
      <w:pPr>
        <w:spacing w:after="0" w:line="240" w:lineRule="auto"/>
        <w:jc w:val="both"/>
        <w:rPr>
          <w:rFonts w:ascii="Calibri" w:hAnsi="Calibri" w:cs="Calibri"/>
          <w:sz w:val="22"/>
        </w:rPr>
      </w:pPr>
    </w:p>
    <w:p w14:paraId="7D40F580" w14:textId="2DD75E06" w:rsidR="0054675C" w:rsidRPr="00F2205B" w:rsidRDefault="0054675C" w:rsidP="009A4875">
      <w:pPr>
        <w:pStyle w:val="Heading1"/>
      </w:pPr>
      <w:bookmarkStart w:id="2" w:name="_Toc214802080"/>
      <w:r w:rsidRPr="00F2205B">
        <w:t xml:space="preserve">Inquiry into </w:t>
      </w:r>
      <w:r w:rsidR="004204C7" w:rsidRPr="00F2205B">
        <w:t>F</w:t>
      </w:r>
      <w:r w:rsidRPr="00F2205B">
        <w:t xml:space="preserve">ood </w:t>
      </w:r>
      <w:r w:rsidR="004204C7" w:rsidRPr="00F2205B">
        <w:t>S</w:t>
      </w:r>
      <w:r w:rsidRPr="00F2205B">
        <w:t>ecurity in Victoria</w:t>
      </w:r>
      <w:bookmarkEnd w:id="2"/>
    </w:p>
    <w:p w14:paraId="6B28D32B" w14:textId="77777777" w:rsidR="009A4875" w:rsidRDefault="009A4875" w:rsidP="00F2205B">
      <w:pPr>
        <w:spacing w:after="0" w:line="240" w:lineRule="auto"/>
        <w:jc w:val="both"/>
        <w:rPr>
          <w:rFonts w:ascii="Calibri" w:hAnsi="Calibri" w:cs="Calibri"/>
          <w:sz w:val="22"/>
        </w:rPr>
      </w:pPr>
    </w:p>
    <w:p w14:paraId="53D026AC" w14:textId="12805C86" w:rsidR="0054675C" w:rsidRPr="00F2205B" w:rsidRDefault="00A7638F" w:rsidP="00F2205B">
      <w:pPr>
        <w:spacing w:after="0" w:line="240" w:lineRule="auto"/>
        <w:jc w:val="both"/>
        <w:rPr>
          <w:rFonts w:ascii="Calibri" w:hAnsi="Calibri" w:cs="Calibri"/>
          <w:sz w:val="22"/>
        </w:rPr>
      </w:pPr>
      <w:r w:rsidRPr="00F2205B">
        <w:rPr>
          <w:rFonts w:ascii="Calibri" w:hAnsi="Calibri" w:cs="Calibri"/>
          <w:sz w:val="22"/>
        </w:rPr>
        <w:t xml:space="preserve">Given that food insecurity through the first half of the decade has been at an all-time high (Walsh </w:t>
      </w:r>
      <w:r>
        <w:rPr>
          <w:rFonts w:ascii="Calibri" w:hAnsi="Calibri" w:cs="Calibri"/>
          <w:sz w:val="22"/>
        </w:rPr>
        <w:t xml:space="preserve">et al., </w:t>
      </w:r>
      <w:r w:rsidRPr="00F2205B">
        <w:rPr>
          <w:rFonts w:ascii="Calibri" w:hAnsi="Calibri" w:cs="Calibri"/>
          <w:sz w:val="22"/>
        </w:rPr>
        <w:t>202</w:t>
      </w:r>
      <w:r w:rsidR="00B756F3">
        <w:rPr>
          <w:rFonts w:ascii="Calibri" w:hAnsi="Calibri" w:cs="Calibri"/>
          <w:sz w:val="22"/>
        </w:rPr>
        <w:t>4</w:t>
      </w:r>
      <w:r w:rsidRPr="00F2205B">
        <w:rPr>
          <w:rFonts w:ascii="Calibri" w:hAnsi="Calibri" w:cs="Calibri"/>
          <w:sz w:val="22"/>
        </w:rPr>
        <w:t xml:space="preserve">), </w:t>
      </w:r>
      <w:r w:rsidR="006B770E">
        <w:rPr>
          <w:rFonts w:ascii="Calibri" w:hAnsi="Calibri" w:cs="Calibri"/>
          <w:sz w:val="22"/>
        </w:rPr>
        <w:t>o</w:t>
      </w:r>
      <w:r w:rsidR="0054675C" w:rsidRPr="00F2205B">
        <w:rPr>
          <w:rFonts w:ascii="Calibri" w:hAnsi="Calibri" w:cs="Calibri"/>
          <w:sz w:val="22"/>
        </w:rPr>
        <w:t xml:space="preserve">n 29 November </w:t>
      </w:r>
      <w:r w:rsidR="002A5F05" w:rsidRPr="00F2205B">
        <w:rPr>
          <w:rFonts w:ascii="Calibri" w:hAnsi="Calibri" w:cs="Calibri"/>
          <w:sz w:val="22"/>
        </w:rPr>
        <w:t>2023, the</w:t>
      </w:r>
      <w:r w:rsidR="0054675C" w:rsidRPr="00F2205B">
        <w:rPr>
          <w:rFonts w:ascii="Calibri" w:hAnsi="Calibri" w:cs="Calibri"/>
          <w:sz w:val="22"/>
        </w:rPr>
        <w:t xml:space="preserve"> Legislative </w:t>
      </w:r>
      <w:r w:rsidR="00504A05" w:rsidRPr="00F2205B">
        <w:rPr>
          <w:rFonts w:ascii="Calibri" w:hAnsi="Calibri" w:cs="Calibri"/>
          <w:sz w:val="22"/>
        </w:rPr>
        <w:t>C</w:t>
      </w:r>
      <w:r w:rsidR="0054675C" w:rsidRPr="00F2205B">
        <w:rPr>
          <w:rFonts w:ascii="Calibri" w:hAnsi="Calibri" w:cs="Calibri"/>
          <w:sz w:val="22"/>
        </w:rPr>
        <w:t xml:space="preserve">ouncil of Victoria required the Legal and Social Issues Committee to review food </w:t>
      </w:r>
      <w:r w:rsidR="003D5FC5">
        <w:rPr>
          <w:rFonts w:ascii="Calibri" w:hAnsi="Calibri" w:cs="Calibri"/>
          <w:sz w:val="22"/>
        </w:rPr>
        <w:t>i</w:t>
      </w:r>
      <w:r w:rsidR="0054675C" w:rsidRPr="00F2205B">
        <w:rPr>
          <w:rFonts w:ascii="Calibri" w:hAnsi="Calibri" w:cs="Calibri"/>
          <w:sz w:val="22"/>
        </w:rPr>
        <w:t>nsecurity in Victoria</w:t>
      </w:r>
      <w:r w:rsidR="002A5F05" w:rsidRPr="00F2205B">
        <w:rPr>
          <w:rFonts w:ascii="Calibri" w:hAnsi="Calibri" w:cs="Calibri"/>
          <w:sz w:val="22"/>
        </w:rPr>
        <w:t xml:space="preserve"> (Legislative Council Legal and Social Issues Committee</w:t>
      </w:r>
      <w:r w:rsidR="00B756F3">
        <w:rPr>
          <w:rFonts w:ascii="Calibri" w:hAnsi="Calibri" w:cs="Calibri"/>
          <w:sz w:val="22"/>
        </w:rPr>
        <w:t>,</w:t>
      </w:r>
      <w:r w:rsidR="002A5F05" w:rsidRPr="00F2205B">
        <w:rPr>
          <w:rFonts w:ascii="Calibri" w:hAnsi="Calibri" w:cs="Calibri"/>
          <w:sz w:val="22"/>
        </w:rPr>
        <w:t xml:space="preserve"> 2023). The </w:t>
      </w:r>
      <w:r w:rsidR="0098162D" w:rsidRPr="00F2205B">
        <w:rPr>
          <w:rFonts w:ascii="Calibri" w:hAnsi="Calibri" w:cs="Calibri"/>
          <w:sz w:val="22"/>
        </w:rPr>
        <w:t>inquiry</w:t>
      </w:r>
      <w:r w:rsidR="0054675C" w:rsidRPr="00F2205B">
        <w:rPr>
          <w:rFonts w:ascii="Calibri" w:hAnsi="Calibri" w:cs="Calibri"/>
          <w:sz w:val="22"/>
        </w:rPr>
        <w:t xml:space="preserve"> wa</w:t>
      </w:r>
      <w:r w:rsidR="0025516B" w:rsidRPr="00F2205B">
        <w:rPr>
          <w:rFonts w:ascii="Calibri" w:hAnsi="Calibri" w:cs="Calibri"/>
          <w:sz w:val="22"/>
        </w:rPr>
        <w:t>s</w:t>
      </w:r>
      <w:r w:rsidR="0054675C" w:rsidRPr="00F2205B">
        <w:rPr>
          <w:rFonts w:ascii="Calibri" w:hAnsi="Calibri" w:cs="Calibri"/>
          <w:sz w:val="22"/>
        </w:rPr>
        <w:t xml:space="preserve"> required to include the impacts and drivers of, and solutions for, food security in Victoria, including but not limited to:</w:t>
      </w:r>
    </w:p>
    <w:p w14:paraId="73687849" w14:textId="77777777" w:rsidR="0054675C" w:rsidRPr="00F2205B" w:rsidRDefault="0054675C" w:rsidP="00F2205B">
      <w:pPr>
        <w:pStyle w:val="ListParagraph"/>
        <w:numPr>
          <w:ilvl w:val="0"/>
          <w:numId w:val="2"/>
        </w:numPr>
        <w:spacing w:after="0" w:line="240" w:lineRule="auto"/>
        <w:ind w:left="0" w:firstLine="0"/>
        <w:jc w:val="both"/>
        <w:rPr>
          <w:rFonts w:ascii="Calibri" w:hAnsi="Calibri" w:cs="Calibri"/>
          <w:sz w:val="22"/>
        </w:rPr>
      </w:pPr>
      <w:r w:rsidRPr="00F2205B">
        <w:rPr>
          <w:rFonts w:ascii="Calibri" w:hAnsi="Calibri" w:cs="Calibri"/>
          <w:sz w:val="22"/>
        </w:rPr>
        <w:t>the impact of food insecurity in Victoria, on</w:t>
      </w:r>
    </w:p>
    <w:p w14:paraId="09DB86A1" w14:textId="77777777" w:rsidR="0054675C" w:rsidRPr="00F2205B" w:rsidRDefault="0054675C" w:rsidP="009E3601">
      <w:pPr>
        <w:pStyle w:val="ListParagraph"/>
        <w:numPr>
          <w:ilvl w:val="2"/>
          <w:numId w:val="2"/>
        </w:numPr>
        <w:spacing w:after="0" w:line="240" w:lineRule="auto"/>
        <w:jc w:val="both"/>
        <w:rPr>
          <w:rFonts w:ascii="Calibri" w:hAnsi="Calibri" w:cs="Calibri"/>
          <w:sz w:val="22"/>
        </w:rPr>
      </w:pPr>
      <w:r w:rsidRPr="00F2205B">
        <w:rPr>
          <w:rFonts w:ascii="Calibri" w:hAnsi="Calibri" w:cs="Calibri"/>
          <w:sz w:val="22"/>
        </w:rPr>
        <w:t xml:space="preserve">physical and mental health; </w:t>
      </w:r>
    </w:p>
    <w:p w14:paraId="45C87693" w14:textId="77777777" w:rsidR="0054675C" w:rsidRPr="00F2205B" w:rsidRDefault="0054675C" w:rsidP="009E3601">
      <w:pPr>
        <w:pStyle w:val="ListParagraph"/>
        <w:numPr>
          <w:ilvl w:val="2"/>
          <w:numId w:val="2"/>
        </w:numPr>
        <w:spacing w:after="0" w:line="240" w:lineRule="auto"/>
        <w:jc w:val="both"/>
        <w:rPr>
          <w:rFonts w:ascii="Calibri" w:hAnsi="Calibri" w:cs="Calibri"/>
          <w:sz w:val="22"/>
        </w:rPr>
      </w:pPr>
      <w:r w:rsidRPr="00F2205B">
        <w:rPr>
          <w:rFonts w:ascii="Calibri" w:hAnsi="Calibri" w:cs="Calibri"/>
          <w:sz w:val="22"/>
        </w:rPr>
        <w:t xml:space="preserve">poverty and hardship; and </w:t>
      </w:r>
    </w:p>
    <w:p w14:paraId="3679C610" w14:textId="0BCD6EB3" w:rsidR="0054675C" w:rsidRDefault="0054675C" w:rsidP="00F2205B">
      <w:pPr>
        <w:pStyle w:val="ListParagraph"/>
        <w:numPr>
          <w:ilvl w:val="0"/>
          <w:numId w:val="2"/>
        </w:numPr>
        <w:spacing w:after="0" w:line="240" w:lineRule="auto"/>
        <w:ind w:left="0" w:firstLine="0"/>
        <w:jc w:val="both"/>
        <w:rPr>
          <w:rFonts w:ascii="Calibri" w:hAnsi="Calibri" w:cs="Calibri"/>
          <w:sz w:val="22"/>
        </w:rPr>
      </w:pPr>
      <w:r w:rsidRPr="00F2205B">
        <w:rPr>
          <w:rFonts w:ascii="Calibri" w:hAnsi="Calibri" w:cs="Calibri"/>
          <w:sz w:val="22"/>
        </w:rPr>
        <w:t>options available to lower the cost of food and improve access to affordable, nutritious and culturally appropriate food.</w:t>
      </w:r>
    </w:p>
    <w:p w14:paraId="77998593" w14:textId="77777777" w:rsidR="009E3601" w:rsidRPr="00F2205B" w:rsidRDefault="009E3601" w:rsidP="009E3601">
      <w:pPr>
        <w:pStyle w:val="ListParagraph"/>
        <w:spacing w:after="0" w:line="240" w:lineRule="auto"/>
        <w:ind w:left="0"/>
        <w:jc w:val="both"/>
        <w:rPr>
          <w:rFonts w:ascii="Calibri" w:hAnsi="Calibri" w:cs="Calibri"/>
          <w:sz w:val="22"/>
        </w:rPr>
      </w:pPr>
    </w:p>
    <w:p w14:paraId="6E6C55BE" w14:textId="08702373" w:rsidR="00E352F4" w:rsidRPr="00F2205B" w:rsidRDefault="0054675C" w:rsidP="00F2205B">
      <w:pPr>
        <w:spacing w:after="0" w:line="240" w:lineRule="auto"/>
        <w:jc w:val="both"/>
        <w:rPr>
          <w:rFonts w:ascii="Calibri" w:hAnsi="Calibri" w:cs="Calibri"/>
          <w:sz w:val="22"/>
        </w:rPr>
      </w:pPr>
      <w:r w:rsidRPr="00F2205B">
        <w:rPr>
          <w:rFonts w:ascii="Calibri" w:hAnsi="Calibri" w:cs="Calibri"/>
          <w:sz w:val="22"/>
        </w:rPr>
        <w:t>The final report</w:t>
      </w:r>
      <w:r w:rsidR="00697306" w:rsidRPr="00F2205B">
        <w:rPr>
          <w:rFonts w:ascii="Calibri" w:hAnsi="Calibri" w:cs="Calibri"/>
          <w:sz w:val="22"/>
        </w:rPr>
        <w:t xml:space="preserve"> </w:t>
      </w:r>
      <w:r w:rsidR="00697306" w:rsidRPr="000F64C2">
        <w:rPr>
          <w:rFonts w:ascii="Calibri" w:hAnsi="Calibri" w:cs="Calibri"/>
          <w:i/>
          <w:iCs/>
          <w:sz w:val="22"/>
        </w:rPr>
        <w:t xml:space="preserve">Food </w:t>
      </w:r>
      <w:r w:rsidR="00356A32" w:rsidRPr="000F64C2">
        <w:rPr>
          <w:rFonts w:ascii="Calibri" w:hAnsi="Calibri" w:cs="Calibri"/>
          <w:i/>
          <w:iCs/>
          <w:sz w:val="22"/>
        </w:rPr>
        <w:t>S</w:t>
      </w:r>
      <w:r w:rsidR="00697306" w:rsidRPr="000F64C2">
        <w:rPr>
          <w:rFonts w:ascii="Calibri" w:hAnsi="Calibri" w:cs="Calibri"/>
          <w:i/>
          <w:iCs/>
          <w:sz w:val="22"/>
        </w:rPr>
        <w:t xml:space="preserve">ecurity </w:t>
      </w:r>
      <w:r w:rsidR="00972A3C" w:rsidRPr="000F64C2">
        <w:rPr>
          <w:rFonts w:ascii="Calibri" w:hAnsi="Calibri" w:cs="Calibri"/>
          <w:i/>
          <w:iCs/>
          <w:sz w:val="22"/>
        </w:rPr>
        <w:t>in</w:t>
      </w:r>
      <w:r w:rsidR="00697306" w:rsidRPr="000F64C2">
        <w:rPr>
          <w:rFonts w:ascii="Calibri" w:hAnsi="Calibri" w:cs="Calibri"/>
          <w:i/>
          <w:iCs/>
          <w:sz w:val="22"/>
        </w:rPr>
        <w:t xml:space="preserve"> Victoria</w:t>
      </w:r>
      <w:r w:rsidR="00FE0B1A" w:rsidRPr="00F2205B">
        <w:rPr>
          <w:rFonts w:ascii="Calibri" w:hAnsi="Calibri" w:cs="Calibri"/>
          <w:sz w:val="22"/>
        </w:rPr>
        <w:t xml:space="preserve"> (</w:t>
      </w:r>
      <w:r w:rsidR="002A5F05" w:rsidRPr="00F2205B">
        <w:rPr>
          <w:rFonts w:ascii="Calibri" w:hAnsi="Calibri" w:cs="Calibri"/>
          <w:sz w:val="22"/>
        </w:rPr>
        <w:t>herein ‘</w:t>
      </w:r>
      <w:r w:rsidR="00FE0B1A" w:rsidRPr="00F2205B">
        <w:rPr>
          <w:rFonts w:ascii="Calibri" w:hAnsi="Calibri" w:cs="Calibri"/>
          <w:sz w:val="22"/>
        </w:rPr>
        <w:t>the report</w:t>
      </w:r>
      <w:r w:rsidR="002A5F05" w:rsidRPr="00F2205B">
        <w:rPr>
          <w:rFonts w:ascii="Calibri" w:hAnsi="Calibri" w:cs="Calibri"/>
          <w:sz w:val="22"/>
        </w:rPr>
        <w:t>’</w:t>
      </w:r>
      <w:r w:rsidR="00FE0B1A" w:rsidRPr="00F2205B">
        <w:rPr>
          <w:rFonts w:ascii="Calibri" w:hAnsi="Calibri" w:cs="Calibri"/>
          <w:sz w:val="22"/>
        </w:rPr>
        <w:t xml:space="preserve">) </w:t>
      </w:r>
      <w:r w:rsidR="00697306" w:rsidRPr="00F2205B">
        <w:rPr>
          <w:rFonts w:ascii="Calibri" w:hAnsi="Calibri" w:cs="Calibri"/>
          <w:sz w:val="22"/>
        </w:rPr>
        <w:t xml:space="preserve">was </w:t>
      </w:r>
      <w:r w:rsidR="00D06958" w:rsidRPr="00F2205B">
        <w:rPr>
          <w:rFonts w:ascii="Calibri" w:hAnsi="Calibri" w:cs="Calibri"/>
          <w:sz w:val="22"/>
        </w:rPr>
        <w:t>tabled on 14 November 2024 and</w:t>
      </w:r>
      <w:r w:rsidRPr="00F2205B">
        <w:rPr>
          <w:rFonts w:ascii="Calibri" w:hAnsi="Calibri" w:cs="Calibri"/>
          <w:sz w:val="22"/>
        </w:rPr>
        <w:t xml:space="preserve"> included 33 Findings and 25 </w:t>
      </w:r>
      <w:r w:rsidR="006B770E">
        <w:rPr>
          <w:rFonts w:ascii="Calibri" w:hAnsi="Calibri" w:cs="Calibri"/>
          <w:sz w:val="22"/>
        </w:rPr>
        <w:t>R</w:t>
      </w:r>
      <w:r w:rsidRPr="00F2205B">
        <w:rPr>
          <w:rFonts w:ascii="Calibri" w:hAnsi="Calibri" w:cs="Calibri"/>
          <w:sz w:val="22"/>
        </w:rPr>
        <w:t xml:space="preserve">ecommendations for the Victorian Government to alleviate food insecurity. These recommendations </w:t>
      </w:r>
      <w:r w:rsidR="00EF5F22" w:rsidRPr="00F2205B">
        <w:rPr>
          <w:rFonts w:ascii="Calibri" w:hAnsi="Calibri" w:cs="Calibri"/>
          <w:sz w:val="22"/>
        </w:rPr>
        <w:t>are broad and wide reaching</w:t>
      </w:r>
      <w:r w:rsidR="00C06253" w:rsidRPr="00F2205B">
        <w:rPr>
          <w:rFonts w:ascii="Calibri" w:hAnsi="Calibri" w:cs="Calibri"/>
          <w:sz w:val="22"/>
        </w:rPr>
        <w:t xml:space="preserve">, with the </w:t>
      </w:r>
      <w:r w:rsidR="00972A3C" w:rsidRPr="00F2205B">
        <w:rPr>
          <w:rFonts w:ascii="Calibri" w:hAnsi="Calibri" w:cs="Calibri"/>
          <w:sz w:val="22"/>
        </w:rPr>
        <w:t>goal</w:t>
      </w:r>
      <w:r w:rsidR="00C06253" w:rsidRPr="00F2205B">
        <w:rPr>
          <w:rFonts w:ascii="Calibri" w:hAnsi="Calibri" w:cs="Calibri"/>
          <w:sz w:val="22"/>
        </w:rPr>
        <w:t xml:space="preserve"> of </w:t>
      </w:r>
      <w:r w:rsidR="00FB53C9" w:rsidRPr="00F2205B">
        <w:rPr>
          <w:rFonts w:ascii="Calibri" w:hAnsi="Calibri" w:cs="Calibri"/>
          <w:sz w:val="22"/>
        </w:rPr>
        <w:t>moving from food relief to food resilience</w:t>
      </w:r>
      <w:r w:rsidR="008658ED" w:rsidRPr="00F2205B">
        <w:rPr>
          <w:rFonts w:ascii="Calibri" w:hAnsi="Calibri" w:cs="Calibri"/>
          <w:sz w:val="22"/>
        </w:rPr>
        <w:t xml:space="preserve">. </w:t>
      </w:r>
      <w:r w:rsidR="00CF1449" w:rsidRPr="00F2205B">
        <w:rPr>
          <w:rFonts w:ascii="Calibri" w:hAnsi="Calibri" w:cs="Calibri"/>
          <w:sz w:val="22"/>
        </w:rPr>
        <w:t xml:space="preserve">The report does not clearly identify what a food resilient society would look like, however </w:t>
      </w:r>
      <w:r w:rsidR="00B756F3">
        <w:rPr>
          <w:rFonts w:ascii="Calibri" w:hAnsi="Calibri" w:cs="Calibri"/>
          <w:sz w:val="22"/>
        </w:rPr>
        <w:t xml:space="preserve">it is </w:t>
      </w:r>
      <w:r w:rsidR="00CF1449" w:rsidRPr="00F2205B">
        <w:rPr>
          <w:rFonts w:ascii="Calibri" w:hAnsi="Calibri" w:cs="Calibri"/>
          <w:sz w:val="22"/>
        </w:rPr>
        <w:t>present</w:t>
      </w:r>
      <w:r w:rsidR="00B756F3">
        <w:rPr>
          <w:rFonts w:ascii="Calibri" w:hAnsi="Calibri" w:cs="Calibri"/>
          <w:sz w:val="22"/>
        </w:rPr>
        <w:t>ed</w:t>
      </w:r>
      <w:r w:rsidR="00CF1449" w:rsidRPr="00F2205B">
        <w:rPr>
          <w:rFonts w:ascii="Calibri" w:hAnsi="Calibri" w:cs="Calibri"/>
          <w:sz w:val="22"/>
        </w:rPr>
        <w:t xml:space="preserve"> in opposition to the food relief structure currently in place. The </w:t>
      </w:r>
      <w:r w:rsidR="008658ED" w:rsidRPr="00F2205B">
        <w:rPr>
          <w:rFonts w:ascii="Calibri" w:hAnsi="Calibri" w:cs="Calibri"/>
          <w:sz w:val="22"/>
        </w:rPr>
        <w:t xml:space="preserve">report divides </w:t>
      </w:r>
      <w:r w:rsidR="00972A3C" w:rsidRPr="00F2205B">
        <w:rPr>
          <w:rFonts w:ascii="Calibri" w:hAnsi="Calibri" w:cs="Calibri"/>
          <w:sz w:val="22"/>
        </w:rPr>
        <w:t>most of</w:t>
      </w:r>
      <w:r w:rsidR="008658ED" w:rsidRPr="00F2205B">
        <w:rPr>
          <w:rFonts w:ascii="Calibri" w:hAnsi="Calibri" w:cs="Calibri"/>
          <w:sz w:val="22"/>
        </w:rPr>
        <w:t xml:space="preserve"> the recommendations into two </w:t>
      </w:r>
      <w:r w:rsidR="002A5F05" w:rsidRPr="00F2205B">
        <w:rPr>
          <w:rFonts w:ascii="Calibri" w:hAnsi="Calibri" w:cs="Calibri"/>
          <w:sz w:val="22"/>
        </w:rPr>
        <w:t>categories:</w:t>
      </w:r>
      <w:r w:rsidR="008658ED" w:rsidRPr="00F2205B">
        <w:rPr>
          <w:rFonts w:ascii="Calibri" w:hAnsi="Calibri" w:cs="Calibri"/>
          <w:sz w:val="22"/>
        </w:rPr>
        <w:t xml:space="preserve"> short-term options</w:t>
      </w:r>
      <w:r w:rsidR="002A5F05" w:rsidRPr="00F2205B">
        <w:rPr>
          <w:rFonts w:ascii="Calibri" w:hAnsi="Calibri" w:cs="Calibri"/>
          <w:sz w:val="22"/>
        </w:rPr>
        <w:t xml:space="preserve"> </w:t>
      </w:r>
      <w:r w:rsidR="008658ED" w:rsidRPr="00F2205B">
        <w:rPr>
          <w:rFonts w:ascii="Calibri" w:hAnsi="Calibri" w:cs="Calibri"/>
          <w:sz w:val="22"/>
        </w:rPr>
        <w:t xml:space="preserve">and long-term options. </w:t>
      </w:r>
    </w:p>
    <w:p w14:paraId="06029D68" w14:textId="77777777" w:rsidR="009A4875" w:rsidRDefault="009A4875" w:rsidP="00F2205B">
      <w:pPr>
        <w:spacing w:after="0" w:line="240" w:lineRule="auto"/>
        <w:jc w:val="both"/>
        <w:rPr>
          <w:rFonts w:ascii="Calibri" w:hAnsi="Calibri" w:cs="Calibri"/>
          <w:sz w:val="22"/>
        </w:rPr>
      </w:pPr>
    </w:p>
    <w:p w14:paraId="1E82366A" w14:textId="3D9F9F0D" w:rsidR="000213E4" w:rsidRPr="00F2205B" w:rsidRDefault="000213E4" w:rsidP="00F2205B">
      <w:pPr>
        <w:spacing w:after="0" w:line="240" w:lineRule="auto"/>
        <w:jc w:val="both"/>
        <w:rPr>
          <w:rFonts w:ascii="Calibri" w:hAnsi="Calibri" w:cs="Calibri"/>
          <w:sz w:val="22"/>
        </w:rPr>
      </w:pPr>
      <w:r w:rsidRPr="00F2205B">
        <w:rPr>
          <w:rFonts w:ascii="Calibri" w:hAnsi="Calibri" w:cs="Calibri"/>
          <w:sz w:val="22"/>
        </w:rPr>
        <w:t>The Victorian Government responded to the inquiry on 31 July 2025, outlining which recommendations in the report the Government intended to implement, which needed further research, and which would not be adopted (</w:t>
      </w:r>
      <w:r w:rsidRPr="00F2205B">
        <w:rPr>
          <w:rFonts w:ascii="Calibri" w:hAnsi="Calibri" w:cs="Calibri"/>
          <w:sz w:val="22"/>
          <w:lang w:val="en-US"/>
        </w:rPr>
        <w:t>Victoria State Government</w:t>
      </w:r>
      <w:r w:rsidR="00EB4E5E">
        <w:rPr>
          <w:rFonts w:ascii="Calibri" w:hAnsi="Calibri" w:cs="Calibri"/>
          <w:sz w:val="22"/>
          <w:lang w:val="en-US"/>
        </w:rPr>
        <w:t>,</w:t>
      </w:r>
      <w:r w:rsidRPr="00F2205B">
        <w:rPr>
          <w:rFonts w:ascii="Calibri" w:hAnsi="Calibri" w:cs="Calibri"/>
          <w:sz w:val="22"/>
          <w:lang w:val="en-US"/>
        </w:rPr>
        <w:t xml:space="preserve"> 2025)</w:t>
      </w:r>
      <w:r w:rsidRPr="00F2205B">
        <w:rPr>
          <w:rFonts w:ascii="Calibri" w:hAnsi="Calibri" w:cs="Calibri"/>
          <w:sz w:val="22"/>
        </w:rPr>
        <w:t>.</w:t>
      </w:r>
    </w:p>
    <w:p w14:paraId="73067EAB" w14:textId="77777777" w:rsidR="009A4875" w:rsidRDefault="009A4875" w:rsidP="00F2205B">
      <w:pPr>
        <w:spacing w:after="0" w:line="240" w:lineRule="auto"/>
        <w:jc w:val="both"/>
        <w:rPr>
          <w:rFonts w:ascii="Calibri" w:hAnsi="Calibri" w:cs="Calibri"/>
          <w:sz w:val="22"/>
        </w:rPr>
      </w:pPr>
    </w:p>
    <w:p w14:paraId="62E1FA15" w14:textId="490DE3B2" w:rsidR="00FB53C9" w:rsidRDefault="00CF1449" w:rsidP="00F2205B">
      <w:pPr>
        <w:spacing w:after="0" w:line="240" w:lineRule="auto"/>
        <w:jc w:val="both"/>
        <w:rPr>
          <w:rFonts w:ascii="Calibri" w:hAnsi="Calibri" w:cs="Calibri"/>
          <w:sz w:val="22"/>
        </w:rPr>
      </w:pPr>
      <w:r w:rsidRPr="00F2205B">
        <w:rPr>
          <w:rFonts w:ascii="Calibri" w:hAnsi="Calibri" w:cs="Calibri"/>
          <w:sz w:val="22"/>
        </w:rPr>
        <w:t xml:space="preserve">Given the </w:t>
      </w:r>
      <w:r w:rsidR="00972A3C" w:rsidRPr="00F2205B">
        <w:rPr>
          <w:rFonts w:ascii="Calibri" w:hAnsi="Calibri" w:cs="Calibri"/>
          <w:sz w:val="22"/>
        </w:rPr>
        <w:t>goal</w:t>
      </w:r>
      <w:r w:rsidRPr="00F2205B">
        <w:rPr>
          <w:rFonts w:ascii="Calibri" w:hAnsi="Calibri" w:cs="Calibri"/>
          <w:sz w:val="22"/>
        </w:rPr>
        <w:t xml:space="preserve"> of moving to a food resilient society, a</w:t>
      </w:r>
      <w:r w:rsidR="00FB53C9" w:rsidRPr="00F2205B">
        <w:rPr>
          <w:rFonts w:ascii="Calibri" w:hAnsi="Calibri" w:cs="Calibri"/>
          <w:sz w:val="22"/>
        </w:rPr>
        <w:t>n alternate way to</w:t>
      </w:r>
      <w:r w:rsidRPr="00F2205B">
        <w:rPr>
          <w:rFonts w:ascii="Calibri" w:hAnsi="Calibri" w:cs="Calibri"/>
          <w:sz w:val="22"/>
        </w:rPr>
        <w:t xml:space="preserve"> view</w:t>
      </w:r>
      <w:r w:rsidR="00FB53C9" w:rsidRPr="00F2205B">
        <w:rPr>
          <w:rFonts w:ascii="Calibri" w:hAnsi="Calibri" w:cs="Calibri"/>
          <w:sz w:val="22"/>
        </w:rPr>
        <w:t xml:space="preserve"> the recommendations is to divide them </w:t>
      </w:r>
      <w:r w:rsidR="00320615" w:rsidRPr="00F2205B">
        <w:rPr>
          <w:rFonts w:ascii="Calibri" w:hAnsi="Calibri" w:cs="Calibri"/>
          <w:sz w:val="22"/>
        </w:rPr>
        <w:t>between those that strengthen the current system of food relief and support, and those that build towards a food resilient future.</w:t>
      </w:r>
    </w:p>
    <w:p w14:paraId="27590B0D" w14:textId="77777777" w:rsidR="000F64C2" w:rsidRPr="00F2205B" w:rsidRDefault="000F64C2" w:rsidP="00F2205B">
      <w:pPr>
        <w:spacing w:after="0" w:line="240" w:lineRule="auto"/>
        <w:jc w:val="both"/>
        <w:rPr>
          <w:rFonts w:ascii="Calibri" w:hAnsi="Calibri" w:cs="Calibri"/>
          <w:sz w:val="22"/>
        </w:rPr>
      </w:pPr>
    </w:p>
    <w:p w14:paraId="0251EFD0" w14:textId="5EF6C8BA" w:rsidR="00296D9F" w:rsidRPr="00ED1374" w:rsidRDefault="00320615" w:rsidP="00ED1374">
      <w:pPr>
        <w:pStyle w:val="Heading4"/>
      </w:pPr>
      <w:r w:rsidRPr="00ED1374">
        <w:t>Strengthening the current system</w:t>
      </w:r>
      <w:r w:rsidR="00CF1449" w:rsidRPr="00ED1374">
        <w:t xml:space="preserve"> of food relief</w:t>
      </w:r>
    </w:p>
    <w:p w14:paraId="7DE5B659" w14:textId="77777777" w:rsidR="000F64C2" w:rsidRPr="000F64C2" w:rsidRDefault="000F64C2" w:rsidP="000F64C2">
      <w:pPr>
        <w:spacing w:after="0" w:line="240" w:lineRule="auto"/>
      </w:pPr>
    </w:p>
    <w:p w14:paraId="422CDD12" w14:textId="59DF8AD4" w:rsidR="00296D9F" w:rsidRPr="00F2205B" w:rsidRDefault="00296D9F" w:rsidP="00F2205B">
      <w:pPr>
        <w:spacing w:after="0" w:line="240" w:lineRule="auto"/>
        <w:jc w:val="both"/>
        <w:rPr>
          <w:rFonts w:ascii="Calibri" w:hAnsi="Calibri" w:cs="Calibri"/>
          <w:sz w:val="22"/>
        </w:rPr>
      </w:pPr>
      <w:r w:rsidRPr="00F2205B">
        <w:rPr>
          <w:rFonts w:ascii="Calibri" w:hAnsi="Calibri" w:cs="Calibri"/>
          <w:sz w:val="22"/>
        </w:rPr>
        <w:lastRenderedPageBreak/>
        <w:t xml:space="preserve">The current system of food relief in Victoria relies on food relief charities to provide support to Victorians that are not having their needs met by government programs. Currently this forms </w:t>
      </w:r>
      <w:r w:rsidR="00D57883" w:rsidRPr="00F2205B">
        <w:rPr>
          <w:rFonts w:ascii="Calibri" w:hAnsi="Calibri" w:cs="Calibri"/>
          <w:sz w:val="22"/>
        </w:rPr>
        <w:t>most</w:t>
      </w:r>
      <w:r w:rsidRPr="00F2205B">
        <w:rPr>
          <w:rFonts w:ascii="Calibri" w:hAnsi="Calibri" w:cs="Calibri"/>
          <w:sz w:val="22"/>
        </w:rPr>
        <w:t xml:space="preserve"> food support in Victoria. The</w:t>
      </w:r>
      <w:r w:rsidR="006071BD">
        <w:rPr>
          <w:rFonts w:ascii="Calibri" w:hAnsi="Calibri" w:cs="Calibri"/>
          <w:sz w:val="22"/>
        </w:rPr>
        <w:t xml:space="preserve"> </w:t>
      </w:r>
      <w:r w:rsidRPr="00F2205B">
        <w:rPr>
          <w:rFonts w:ascii="Calibri" w:hAnsi="Calibri" w:cs="Calibri"/>
          <w:sz w:val="22"/>
        </w:rPr>
        <w:t>se</w:t>
      </w:r>
      <w:r w:rsidR="006071BD">
        <w:rPr>
          <w:rFonts w:ascii="Calibri" w:hAnsi="Calibri" w:cs="Calibri"/>
          <w:sz w:val="22"/>
        </w:rPr>
        <w:t>t of</w:t>
      </w:r>
      <w:r w:rsidRPr="00F2205B">
        <w:rPr>
          <w:rFonts w:ascii="Calibri" w:hAnsi="Calibri" w:cs="Calibri"/>
          <w:sz w:val="22"/>
        </w:rPr>
        <w:t xml:space="preserve"> recommendations </w:t>
      </w:r>
      <w:r w:rsidR="006071BD">
        <w:rPr>
          <w:rFonts w:ascii="Calibri" w:hAnsi="Calibri" w:cs="Calibri"/>
          <w:sz w:val="22"/>
        </w:rPr>
        <w:t xml:space="preserve">relating to this objective </w:t>
      </w:r>
      <w:r w:rsidRPr="00F2205B">
        <w:rPr>
          <w:rFonts w:ascii="Calibri" w:hAnsi="Calibri" w:cs="Calibri"/>
          <w:sz w:val="22"/>
        </w:rPr>
        <w:t xml:space="preserve">are focussed on options to remove barriers faced by these organisations and improve the services they </w:t>
      </w:r>
      <w:r w:rsidR="00D57883" w:rsidRPr="00F2205B">
        <w:rPr>
          <w:rFonts w:ascii="Calibri" w:hAnsi="Calibri" w:cs="Calibri"/>
          <w:sz w:val="22"/>
        </w:rPr>
        <w:t>can</w:t>
      </w:r>
      <w:r w:rsidRPr="00F2205B">
        <w:rPr>
          <w:rFonts w:ascii="Calibri" w:hAnsi="Calibri" w:cs="Calibri"/>
          <w:sz w:val="22"/>
        </w:rPr>
        <w:t xml:space="preserve"> offer.</w:t>
      </w:r>
      <w:r w:rsidR="002A5F05" w:rsidRPr="00F2205B">
        <w:rPr>
          <w:rFonts w:ascii="Calibri" w:hAnsi="Calibri" w:cs="Calibri"/>
          <w:sz w:val="22"/>
        </w:rPr>
        <w:t xml:space="preserve"> This category includes recommendations </w:t>
      </w:r>
      <w:r w:rsidR="00665076">
        <w:rPr>
          <w:rFonts w:ascii="Calibri" w:hAnsi="Calibri" w:cs="Calibri"/>
          <w:sz w:val="22"/>
        </w:rPr>
        <w:t>to</w:t>
      </w:r>
      <w:r w:rsidR="002A5F05" w:rsidRPr="00F2205B">
        <w:rPr>
          <w:rFonts w:ascii="Calibri" w:hAnsi="Calibri" w:cs="Calibri"/>
          <w:sz w:val="22"/>
        </w:rPr>
        <w:t>:</w:t>
      </w:r>
    </w:p>
    <w:p w14:paraId="363C384A" w14:textId="565D434D" w:rsidR="00296D9F" w:rsidRPr="00F2205B" w:rsidRDefault="00665076" w:rsidP="00F2205B">
      <w:pPr>
        <w:pStyle w:val="ListParagraph"/>
        <w:numPr>
          <w:ilvl w:val="0"/>
          <w:numId w:val="6"/>
        </w:numPr>
        <w:spacing w:after="0" w:line="240" w:lineRule="auto"/>
        <w:ind w:left="0" w:firstLine="0"/>
        <w:jc w:val="both"/>
        <w:rPr>
          <w:rFonts w:ascii="Calibri" w:hAnsi="Calibri" w:cs="Calibri"/>
          <w:sz w:val="22"/>
        </w:rPr>
      </w:pPr>
      <w:r>
        <w:rPr>
          <w:rFonts w:ascii="Calibri" w:hAnsi="Calibri" w:cs="Calibri"/>
          <w:sz w:val="22"/>
        </w:rPr>
        <w:t>Provide s</w:t>
      </w:r>
      <w:r w:rsidR="00296D9F" w:rsidRPr="00F2205B">
        <w:rPr>
          <w:rFonts w:ascii="Calibri" w:hAnsi="Calibri" w:cs="Calibri"/>
          <w:sz w:val="22"/>
        </w:rPr>
        <w:t>upport for food charity organisations</w:t>
      </w:r>
      <w:r w:rsidR="002A5F05" w:rsidRPr="00F2205B">
        <w:rPr>
          <w:rFonts w:ascii="Calibri" w:hAnsi="Calibri" w:cs="Calibri"/>
          <w:sz w:val="22"/>
        </w:rPr>
        <w:t>,</w:t>
      </w:r>
    </w:p>
    <w:p w14:paraId="3F4847F9" w14:textId="6C947AC9" w:rsidR="00296D9F" w:rsidRPr="00F2205B" w:rsidRDefault="00296D9F"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 xml:space="preserve">Advocate to </w:t>
      </w:r>
      <w:r w:rsidR="00665076">
        <w:rPr>
          <w:rFonts w:ascii="Calibri" w:hAnsi="Calibri" w:cs="Calibri"/>
          <w:sz w:val="22"/>
        </w:rPr>
        <w:t xml:space="preserve">the </w:t>
      </w:r>
      <w:r w:rsidRPr="00F2205B">
        <w:rPr>
          <w:rFonts w:ascii="Calibri" w:hAnsi="Calibri" w:cs="Calibri"/>
          <w:sz w:val="22"/>
        </w:rPr>
        <w:t>Commonwealth Government to support implementation of national food donation tax incentives</w:t>
      </w:r>
      <w:r w:rsidR="002A5F05" w:rsidRPr="00F2205B">
        <w:rPr>
          <w:rFonts w:ascii="Calibri" w:hAnsi="Calibri" w:cs="Calibri"/>
          <w:sz w:val="22"/>
        </w:rPr>
        <w:t>,</w:t>
      </w:r>
    </w:p>
    <w:p w14:paraId="52FDF42C" w14:textId="6700DDEC" w:rsidR="00296D9F" w:rsidRPr="00F2205B" w:rsidRDefault="00296D9F"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Explore penalties for food waste</w:t>
      </w:r>
      <w:r w:rsidR="002A5F05" w:rsidRPr="00F2205B">
        <w:rPr>
          <w:rFonts w:ascii="Calibri" w:hAnsi="Calibri" w:cs="Calibri"/>
          <w:sz w:val="22"/>
        </w:rPr>
        <w:t>,</w:t>
      </w:r>
    </w:p>
    <w:p w14:paraId="738D1838" w14:textId="3D3C2CF9" w:rsidR="00296D9F" w:rsidRPr="00F2205B" w:rsidRDefault="00296D9F"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Audit food relief services to create a food relief services map and identify service gaps</w:t>
      </w:r>
      <w:r w:rsidR="002A5F05" w:rsidRPr="00F2205B">
        <w:rPr>
          <w:rFonts w:ascii="Calibri" w:hAnsi="Calibri" w:cs="Calibri"/>
          <w:sz w:val="22"/>
        </w:rPr>
        <w:t>,</w:t>
      </w:r>
    </w:p>
    <w:p w14:paraId="356597B9" w14:textId="04C76FA1" w:rsidR="00B05924" w:rsidRPr="00F2205B" w:rsidRDefault="00B05924"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Establish monitoring frameworks</w:t>
      </w:r>
      <w:r w:rsidR="002A5F05" w:rsidRPr="00F2205B">
        <w:rPr>
          <w:rFonts w:ascii="Calibri" w:hAnsi="Calibri" w:cs="Calibri"/>
          <w:sz w:val="22"/>
        </w:rPr>
        <w:t>,</w:t>
      </w:r>
    </w:p>
    <w:p w14:paraId="2D59F245" w14:textId="58F21ABD" w:rsidR="00B05924" w:rsidRPr="00F2205B" w:rsidRDefault="00B05924"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Expand provision of food vouchers</w:t>
      </w:r>
      <w:r w:rsidR="002A5F05" w:rsidRPr="00F2205B">
        <w:rPr>
          <w:rFonts w:ascii="Calibri" w:hAnsi="Calibri" w:cs="Calibri"/>
          <w:sz w:val="22"/>
        </w:rPr>
        <w:t>,</w:t>
      </w:r>
    </w:p>
    <w:p w14:paraId="10AC4768" w14:textId="0751E5DD" w:rsidR="00B05924" w:rsidRPr="00F2205B" w:rsidRDefault="00B05924"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Advocat</w:t>
      </w:r>
      <w:r w:rsidR="00897DAB">
        <w:rPr>
          <w:rFonts w:ascii="Calibri" w:hAnsi="Calibri" w:cs="Calibri"/>
          <w:sz w:val="22"/>
        </w:rPr>
        <w:t>e</w:t>
      </w:r>
      <w:r w:rsidRPr="00F2205B">
        <w:rPr>
          <w:rFonts w:ascii="Calibri" w:hAnsi="Calibri" w:cs="Calibri"/>
          <w:sz w:val="22"/>
        </w:rPr>
        <w:t xml:space="preserve"> to </w:t>
      </w:r>
      <w:r w:rsidR="00897DAB">
        <w:rPr>
          <w:rFonts w:ascii="Calibri" w:hAnsi="Calibri" w:cs="Calibri"/>
          <w:sz w:val="22"/>
        </w:rPr>
        <w:t xml:space="preserve">the </w:t>
      </w:r>
      <w:r w:rsidRPr="00F2205B">
        <w:rPr>
          <w:rFonts w:ascii="Calibri" w:hAnsi="Calibri" w:cs="Calibri"/>
          <w:sz w:val="22"/>
        </w:rPr>
        <w:t>Commonwealth Government to increase income support payments</w:t>
      </w:r>
      <w:r w:rsidR="002A5F05" w:rsidRPr="00F2205B">
        <w:rPr>
          <w:rFonts w:ascii="Calibri" w:hAnsi="Calibri" w:cs="Calibri"/>
          <w:sz w:val="22"/>
        </w:rPr>
        <w:t>,</w:t>
      </w:r>
    </w:p>
    <w:p w14:paraId="3C3C10F6" w14:textId="04F03679" w:rsidR="00B05924" w:rsidRPr="00F2205B" w:rsidRDefault="00B05924"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Re-establish the Victorian Food Relief Taskforce</w:t>
      </w:r>
      <w:r w:rsidR="002A5F05" w:rsidRPr="00F2205B">
        <w:rPr>
          <w:rFonts w:ascii="Calibri" w:hAnsi="Calibri" w:cs="Calibri"/>
          <w:sz w:val="22"/>
        </w:rPr>
        <w:t>, and</w:t>
      </w:r>
    </w:p>
    <w:p w14:paraId="16744DDD" w14:textId="5AF8A70A" w:rsidR="00296D9F" w:rsidRDefault="00B05924" w:rsidP="00F2205B">
      <w:pPr>
        <w:pStyle w:val="ListParagraph"/>
        <w:numPr>
          <w:ilvl w:val="0"/>
          <w:numId w:val="6"/>
        </w:numPr>
        <w:spacing w:after="0" w:line="240" w:lineRule="auto"/>
        <w:ind w:left="0" w:firstLine="0"/>
        <w:jc w:val="both"/>
        <w:rPr>
          <w:rFonts w:ascii="Calibri" w:hAnsi="Calibri" w:cs="Calibri"/>
          <w:sz w:val="22"/>
        </w:rPr>
      </w:pPr>
      <w:r w:rsidRPr="00F2205B">
        <w:rPr>
          <w:rFonts w:ascii="Calibri" w:hAnsi="Calibri" w:cs="Calibri"/>
          <w:sz w:val="22"/>
        </w:rPr>
        <w:t>Expand regional food hubs</w:t>
      </w:r>
      <w:r w:rsidR="002A5F05" w:rsidRPr="00F2205B">
        <w:rPr>
          <w:rFonts w:ascii="Calibri" w:hAnsi="Calibri" w:cs="Calibri"/>
          <w:sz w:val="22"/>
        </w:rPr>
        <w:t>.</w:t>
      </w:r>
    </w:p>
    <w:p w14:paraId="75D0C7A4" w14:textId="77777777" w:rsidR="000F64C2" w:rsidRPr="00F2205B" w:rsidRDefault="000F64C2" w:rsidP="000F64C2">
      <w:pPr>
        <w:pStyle w:val="ListParagraph"/>
        <w:spacing w:after="0" w:line="240" w:lineRule="auto"/>
        <w:ind w:left="0"/>
        <w:jc w:val="both"/>
        <w:rPr>
          <w:rFonts w:ascii="Calibri" w:hAnsi="Calibri" w:cs="Calibri"/>
          <w:sz w:val="22"/>
        </w:rPr>
      </w:pPr>
    </w:p>
    <w:p w14:paraId="15E61E9B" w14:textId="45B6EB2E" w:rsidR="0054675C" w:rsidRDefault="00944EA1" w:rsidP="005B432F">
      <w:pPr>
        <w:pStyle w:val="Heading4"/>
      </w:pPr>
      <w:r w:rsidRPr="00F2205B">
        <w:t xml:space="preserve">Relief to </w:t>
      </w:r>
      <w:r w:rsidR="005B432F">
        <w:t>r</w:t>
      </w:r>
      <w:r w:rsidRPr="00F2205B">
        <w:t>esilience</w:t>
      </w:r>
    </w:p>
    <w:p w14:paraId="2732BF26" w14:textId="77777777" w:rsidR="000F64C2" w:rsidRPr="000F64C2" w:rsidRDefault="000F64C2" w:rsidP="000F64C2">
      <w:pPr>
        <w:spacing w:after="0" w:line="240" w:lineRule="auto"/>
      </w:pPr>
    </w:p>
    <w:p w14:paraId="3830EA43" w14:textId="6E0D02A6" w:rsidR="0054675C" w:rsidRPr="00F2205B" w:rsidRDefault="002A5F05" w:rsidP="00F2205B">
      <w:pPr>
        <w:spacing w:after="0" w:line="240" w:lineRule="auto"/>
        <w:jc w:val="both"/>
        <w:rPr>
          <w:rFonts w:ascii="Calibri" w:hAnsi="Calibri" w:cs="Calibri"/>
          <w:sz w:val="22"/>
        </w:rPr>
      </w:pPr>
      <w:r w:rsidRPr="00F2205B">
        <w:rPr>
          <w:rFonts w:ascii="Calibri" w:hAnsi="Calibri" w:cs="Calibri"/>
          <w:sz w:val="22"/>
        </w:rPr>
        <w:t>Targeting</w:t>
      </w:r>
      <w:r w:rsidR="0054675C" w:rsidRPr="00F2205B">
        <w:rPr>
          <w:rFonts w:ascii="Calibri" w:hAnsi="Calibri" w:cs="Calibri"/>
          <w:sz w:val="22"/>
        </w:rPr>
        <w:t xml:space="preserve"> the underlying issues faced by the food insecure population</w:t>
      </w:r>
      <w:r w:rsidR="00394400" w:rsidRPr="00F2205B">
        <w:rPr>
          <w:rFonts w:ascii="Calibri" w:hAnsi="Calibri" w:cs="Calibri"/>
          <w:sz w:val="22"/>
        </w:rPr>
        <w:t>,</w:t>
      </w:r>
      <w:r w:rsidR="0054675C" w:rsidRPr="00F2205B">
        <w:rPr>
          <w:rFonts w:ascii="Calibri" w:hAnsi="Calibri" w:cs="Calibri"/>
          <w:sz w:val="22"/>
        </w:rPr>
        <w:t xml:space="preserve"> </w:t>
      </w:r>
      <w:r w:rsidR="00394400" w:rsidRPr="00F2205B">
        <w:rPr>
          <w:rFonts w:ascii="Calibri" w:hAnsi="Calibri" w:cs="Calibri"/>
          <w:sz w:val="22"/>
        </w:rPr>
        <w:t>t</w:t>
      </w:r>
      <w:r w:rsidR="0054675C" w:rsidRPr="00F2205B">
        <w:rPr>
          <w:rFonts w:ascii="Calibri" w:hAnsi="Calibri" w:cs="Calibri"/>
          <w:sz w:val="22"/>
        </w:rPr>
        <w:t xml:space="preserve">his </w:t>
      </w:r>
      <w:r w:rsidR="00B411C6">
        <w:rPr>
          <w:rFonts w:ascii="Calibri" w:hAnsi="Calibri" w:cs="Calibri"/>
          <w:sz w:val="22"/>
        </w:rPr>
        <w:t>objective</w:t>
      </w:r>
      <w:r w:rsidR="0054675C" w:rsidRPr="00F2205B">
        <w:rPr>
          <w:rFonts w:ascii="Calibri" w:hAnsi="Calibri" w:cs="Calibri"/>
          <w:sz w:val="22"/>
        </w:rPr>
        <w:t xml:space="preserve"> could be considered </w:t>
      </w:r>
      <w:r w:rsidR="001E3148">
        <w:rPr>
          <w:rFonts w:ascii="Calibri" w:hAnsi="Calibri" w:cs="Calibri"/>
          <w:sz w:val="22"/>
        </w:rPr>
        <w:t>as</w:t>
      </w:r>
      <w:r w:rsidR="0054675C" w:rsidRPr="00F2205B">
        <w:rPr>
          <w:rFonts w:ascii="Calibri" w:hAnsi="Calibri" w:cs="Calibri"/>
          <w:sz w:val="22"/>
        </w:rPr>
        <w:t xml:space="preserve"> long-term solutions to solve food insecurity by tackling the root cause</w:t>
      </w:r>
      <w:r w:rsidRPr="00F2205B">
        <w:rPr>
          <w:rFonts w:ascii="Calibri" w:hAnsi="Calibri" w:cs="Calibri"/>
          <w:sz w:val="22"/>
        </w:rPr>
        <w:t>s</w:t>
      </w:r>
      <w:r w:rsidR="0054675C" w:rsidRPr="00F2205B">
        <w:rPr>
          <w:rFonts w:ascii="Calibri" w:hAnsi="Calibri" w:cs="Calibri"/>
          <w:sz w:val="22"/>
        </w:rPr>
        <w:t xml:space="preserve">. Some of these changes could take years to decades to fully implement. This category includes recommendations </w:t>
      </w:r>
      <w:r w:rsidR="00D82DFD">
        <w:rPr>
          <w:rFonts w:ascii="Calibri" w:hAnsi="Calibri" w:cs="Calibri"/>
          <w:sz w:val="22"/>
        </w:rPr>
        <w:t>about</w:t>
      </w:r>
      <w:r w:rsidR="0054675C" w:rsidRPr="00F2205B">
        <w:rPr>
          <w:rFonts w:ascii="Calibri" w:hAnsi="Calibri" w:cs="Calibri"/>
          <w:sz w:val="22"/>
        </w:rPr>
        <w:t>:</w:t>
      </w:r>
    </w:p>
    <w:p w14:paraId="4797F0E5" w14:textId="10AEE0BB" w:rsidR="0054675C" w:rsidRPr="00F2205B" w:rsidRDefault="00D82DFD" w:rsidP="00F2205B">
      <w:pPr>
        <w:pStyle w:val="ListParagraph"/>
        <w:numPr>
          <w:ilvl w:val="1"/>
          <w:numId w:val="4"/>
        </w:numPr>
        <w:spacing w:after="0" w:line="240" w:lineRule="auto"/>
        <w:ind w:left="0" w:firstLine="0"/>
        <w:jc w:val="both"/>
        <w:rPr>
          <w:rFonts w:ascii="Calibri" w:hAnsi="Calibri" w:cs="Calibri"/>
          <w:sz w:val="22"/>
        </w:rPr>
      </w:pPr>
      <w:r>
        <w:rPr>
          <w:rFonts w:ascii="Calibri" w:hAnsi="Calibri" w:cs="Calibri"/>
          <w:sz w:val="22"/>
        </w:rPr>
        <w:t>Examining p</w:t>
      </w:r>
      <w:r w:rsidR="0054675C" w:rsidRPr="00F2205B">
        <w:rPr>
          <w:rFonts w:ascii="Calibri" w:hAnsi="Calibri" w:cs="Calibri"/>
          <w:sz w:val="22"/>
        </w:rPr>
        <w:t>lace-based and community</w:t>
      </w:r>
      <w:r w:rsidR="003B2895">
        <w:rPr>
          <w:rFonts w:ascii="Calibri" w:hAnsi="Calibri" w:cs="Calibri"/>
          <w:sz w:val="22"/>
        </w:rPr>
        <w:t>-</w:t>
      </w:r>
      <w:r w:rsidR="0054675C" w:rsidRPr="00F2205B">
        <w:rPr>
          <w:rFonts w:ascii="Calibri" w:hAnsi="Calibri" w:cs="Calibri"/>
          <w:sz w:val="22"/>
        </w:rPr>
        <w:t>focussed food growth approaches</w:t>
      </w:r>
      <w:r w:rsidR="002A5F05" w:rsidRPr="00F2205B">
        <w:rPr>
          <w:rFonts w:ascii="Calibri" w:hAnsi="Calibri" w:cs="Calibri"/>
          <w:sz w:val="22"/>
        </w:rPr>
        <w:t>,</w:t>
      </w:r>
    </w:p>
    <w:p w14:paraId="2B0151E4" w14:textId="42DB8D09" w:rsidR="0054675C" w:rsidRPr="00F2205B" w:rsidRDefault="00D82DFD" w:rsidP="00F2205B">
      <w:pPr>
        <w:pStyle w:val="ListParagraph"/>
        <w:numPr>
          <w:ilvl w:val="1"/>
          <w:numId w:val="4"/>
        </w:numPr>
        <w:spacing w:after="0" w:line="240" w:lineRule="auto"/>
        <w:ind w:left="0" w:firstLine="0"/>
        <w:jc w:val="both"/>
        <w:rPr>
          <w:rFonts w:ascii="Calibri" w:hAnsi="Calibri" w:cs="Calibri"/>
          <w:sz w:val="22"/>
        </w:rPr>
      </w:pPr>
      <w:r>
        <w:rPr>
          <w:rFonts w:ascii="Calibri" w:hAnsi="Calibri" w:cs="Calibri"/>
          <w:sz w:val="22"/>
        </w:rPr>
        <w:t xml:space="preserve">Examining </w:t>
      </w:r>
      <w:r w:rsidR="0054675C" w:rsidRPr="00F2205B">
        <w:rPr>
          <w:rFonts w:ascii="Calibri" w:hAnsi="Calibri" w:cs="Calibri"/>
          <w:sz w:val="22"/>
        </w:rPr>
        <w:t>Aboriginal and first nations cultural food</w:t>
      </w:r>
      <w:r w:rsidR="002A5F05" w:rsidRPr="00F2205B">
        <w:rPr>
          <w:rFonts w:ascii="Calibri" w:hAnsi="Calibri" w:cs="Calibri"/>
          <w:sz w:val="22"/>
        </w:rPr>
        <w:t>-</w:t>
      </w:r>
      <w:r w:rsidR="0054675C" w:rsidRPr="00F2205B">
        <w:rPr>
          <w:rFonts w:ascii="Calibri" w:hAnsi="Calibri" w:cs="Calibri"/>
          <w:sz w:val="22"/>
        </w:rPr>
        <w:t>based programs</w:t>
      </w:r>
      <w:r w:rsidR="002A5F05" w:rsidRPr="00F2205B">
        <w:rPr>
          <w:rFonts w:ascii="Calibri" w:hAnsi="Calibri" w:cs="Calibri"/>
          <w:sz w:val="22"/>
        </w:rPr>
        <w:t>,</w:t>
      </w:r>
    </w:p>
    <w:p w14:paraId="6CAF635A" w14:textId="10635C61" w:rsidR="0054675C" w:rsidRPr="00F2205B" w:rsidRDefault="0054675C" w:rsidP="00F2205B">
      <w:pPr>
        <w:pStyle w:val="ListParagraph"/>
        <w:numPr>
          <w:ilvl w:val="1"/>
          <w:numId w:val="4"/>
        </w:numPr>
        <w:spacing w:after="0" w:line="240" w:lineRule="auto"/>
        <w:ind w:left="0" w:firstLine="0"/>
        <w:jc w:val="both"/>
        <w:rPr>
          <w:rFonts w:ascii="Calibri" w:hAnsi="Calibri" w:cs="Calibri"/>
          <w:sz w:val="22"/>
        </w:rPr>
      </w:pPr>
      <w:r w:rsidRPr="00F2205B">
        <w:rPr>
          <w:rFonts w:ascii="Calibri" w:hAnsi="Calibri" w:cs="Calibri"/>
          <w:sz w:val="22"/>
        </w:rPr>
        <w:t>Enshrining the right to food in the Charter of Human Rights and Responsibilities Act 2006 (Vic)</w:t>
      </w:r>
      <w:r w:rsidR="002A5F05" w:rsidRPr="00F2205B">
        <w:rPr>
          <w:rFonts w:ascii="Calibri" w:hAnsi="Calibri" w:cs="Calibri"/>
          <w:sz w:val="22"/>
        </w:rPr>
        <w:t>,</w:t>
      </w:r>
    </w:p>
    <w:p w14:paraId="1F83777F" w14:textId="12221B00" w:rsidR="0054675C" w:rsidRPr="00F2205B" w:rsidRDefault="0054675C" w:rsidP="00F2205B">
      <w:pPr>
        <w:pStyle w:val="ListParagraph"/>
        <w:numPr>
          <w:ilvl w:val="1"/>
          <w:numId w:val="4"/>
        </w:numPr>
        <w:spacing w:after="0" w:line="240" w:lineRule="auto"/>
        <w:ind w:left="0" w:firstLine="0"/>
        <w:jc w:val="both"/>
        <w:rPr>
          <w:rFonts w:ascii="Calibri" w:hAnsi="Calibri" w:cs="Calibri"/>
          <w:sz w:val="22"/>
        </w:rPr>
      </w:pPr>
      <w:r w:rsidRPr="00F2205B">
        <w:rPr>
          <w:rFonts w:ascii="Calibri" w:hAnsi="Calibri" w:cs="Calibri"/>
          <w:sz w:val="22"/>
        </w:rPr>
        <w:t>Redefining multidimensional poverty</w:t>
      </w:r>
      <w:r w:rsidR="002A5F05" w:rsidRPr="00F2205B">
        <w:rPr>
          <w:rFonts w:ascii="Calibri" w:hAnsi="Calibri" w:cs="Calibri"/>
          <w:sz w:val="22"/>
        </w:rPr>
        <w:t>,</w:t>
      </w:r>
    </w:p>
    <w:p w14:paraId="446C1515" w14:textId="7994859C" w:rsidR="0054675C" w:rsidRPr="00F2205B" w:rsidRDefault="0054675C" w:rsidP="00F2205B">
      <w:pPr>
        <w:pStyle w:val="ListParagraph"/>
        <w:numPr>
          <w:ilvl w:val="1"/>
          <w:numId w:val="4"/>
        </w:numPr>
        <w:spacing w:after="0" w:line="240" w:lineRule="auto"/>
        <w:ind w:left="0" w:firstLine="0"/>
        <w:jc w:val="both"/>
        <w:rPr>
          <w:rFonts w:ascii="Calibri" w:hAnsi="Calibri" w:cs="Calibri"/>
          <w:sz w:val="22"/>
        </w:rPr>
      </w:pPr>
      <w:r w:rsidRPr="00F2205B">
        <w:rPr>
          <w:rFonts w:ascii="Calibri" w:hAnsi="Calibri" w:cs="Calibri"/>
          <w:sz w:val="22"/>
        </w:rPr>
        <w:t>Accepting local government empowerment to develop community food systems</w:t>
      </w:r>
      <w:r w:rsidR="002A5F05" w:rsidRPr="00F2205B">
        <w:rPr>
          <w:rFonts w:ascii="Calibri" w:hAnsi="Calibri" w:cs="Calibri"/>
          <w:sz w:val="22"/>
        </w:rPr>
        <w:t>, and</w:t>
      </w:r>
    </w:p>
    <w:p w14:paraId="689C8FA3" w14:textId="30908750" w:rsidR="0054675C" w:rsidRPr="00F2205B" w:rsidRDefault="0054675C" w:rsidP="00F2205B">
      <w:pPr>
        <w:pStyle w:val="ListParagraph"/>
        <w:numPr>
          <w:ilvl w:val="0"/>
          <w:numId w:val="5"/>
        </w:numPr>
        <w:spacing w:after="0" w:line="240" w:lineRule="auto"/>
        <w:ind w:left="0" w:firstLine="0"/>
        <w:jc w:val="both"/>
        <w:rPr>
          <w:rFonts w:ascii="Calibri" w:hAnsi="Calibri" w:cs="Calibri"/>
          <w:sz w:val="22"/>
        </w:rPr>
      </w:pPr>
      <w:r w:rsidRPr="00F2205B">
        <w:rPr>
          <w:rFonts w:ascii="Calibri" w:hAnsi="Calibri" w:cs="Calibri"/>
          <w:sz w:val="22"/>
        </w:rPr>
        <w:t>Implement</w:t>
      </w:r>
      <w:r w:rsidR="000E6099">
        <w:rPr>
          <w:rFonts w:ascii="Calibri" w:hAnsi="Calibri" w:cs="Calibri"/>
          <w:sz w:val="22"/>
        </w:rPr>
        <w:t>ing</w:t>
      </w:r>
      <w:r w:rsidRPr="00F2205B">
        <w:rPr>
          <w:rFonts w:ascii="Calibri" w:hAnsi="Calibri" w:cs="Calibri"/>
          <w:sz w:val="22"/>
        </w:rPr>
        <w:t xml:space="preserve"> food programs in schools</w:t>
      </w:r>
      <w:r w:rsidR="002A5F05" w:rsidRPr="00F2205B">
        <w:rPr>
          <w:rFonts w:ascii="Calibri" w:hAnsi="Calibri" w:cs="Calibri"/>
          <w:sz w:val="22"/>
        </w:rPr>
        <w:t>.</w:t>
      </w:r>
    </w:p>
    <w:p w14:paraId="7E448680" w14:textId="77777777" w:rsidR="007854AC" w:rsidRDefault="007854AC" w:rsidP="009A4875">
      <w:pPr>
        <w:pStyle w:val="Heading1"/>
      </w:pPr>
    </w:p>
    <w:p w14:paraId="58CF1694" w14:textId="092C7833" w:rsidR="00AE240F" w:rsidRPr="00F2205B" w:rsidRDefault="00AE240F" w:rsidP="009A4875">
      <w:pPr>
        <w:pStyle w:val="Heading1"/>
      </w:pPr>
      <w:r w:rsidRPr="00F2205B">
        <w:t>Scope</w:t>
      </w:r>
      <w:r w:rsidR="00E352F4" w:rsidRPr="00F2205B">
        <w:t xml:space="preserve"> of </w:t>
      </w:r>
      <w:r w:rsidR="004204C7" w:rsidRPr="00F2205B">
        <w:t>T</w:t>
      </w:r>
      <w:r w:rsidR="00E352F4" w:rsidRPr="00F2205B">
        <w:t xml:space="preserve">his </w:t>
      </w:r>
      <w:r w:rsidR="000E6099">
        <w:t>Analysis</w:t>
      </w:r>
    </w:p>
    <w:p w14:paraId="7305A483" w14:textId="77777777" w:rsidR="007854AC" w:rsidRDefault="007854AC" w:rsidP="00F2205B">
      <w:pPr>
        <w:spacing w:after="0" w:line="240" w:lineRule="auto"/>
        <w:jc w:val="both"/>
        <w:rPr>
          <w:rFonts w:ascii="Calibri" w:hAnsi="Calibri" w:cs="Calibri"/>
          <w:sz w:val="22"/>
        </w:rPr>
      </w:pPr>
    </w:p>
    <w:p w14:paraId="386A3B82" w14:textId="2DD74D41" w:rsidR="005A0377" w:rsidRPr="00F2205B" w:rsidRDefault="00582DE1" w:rsidP="00F2205B">
      <w:pPr>
        <w:spacing w:after="0" w:line="240" w:lineRule="auto"/>
        <w:jc w:val="both"/>
        <w:rPr>
          <w:rFonts w:ascii="Calibri" w:hAnsi="Calibri" w:cs="Calibri"/>
          <w:sz w:val="22"/>
        </w:rPr>
      </w:pPr>
      <w:r>
        <w:rPr>
          <w:rFonts w:ascii="Calibri" w:hAnsi="Calibri" w:cs="Calibri"/>
          <w:sz w:val="22"/>
        </w:rPr>
        <w:t>Given the material reviewed above, t</w:t>
      </w:r>
      <w:r w:rsidR="00704439" w:rsidRPr="00F2205B">
        <w:rPr>
          <w:rFonts w:ascii="Calibri" w:hAnsi="Calibri" w:cs="Calibri"/>
          <w:sz w:val="22"/>
        </w:rPr>
        <w:t xml:space="preserve">his </w:t>
      </w:r>
      <w:r w:rsidR="000E6099">
        <w:rPr>
          <w:rFonts w:ascii="Calibri" w:hAnsi="Calibri" w:cs="Calibri"/>
          <w:sz w:val="22"/>
        </w:rPr>
        <w:t>analysis</w:t>
      </w:r>
      <w:r w:rsidR="00704439" w:rsidRPr="00F2205B">
        <w:rPr>
          <w:rFonts w:ascii="Calibri" w:hAnsi="Calibri" w:cs="Calibri"/>
          <w:sz w:val="22"/>
        </w:rPr>
        <w:t xml:space="preserve"> focusses on the recommendations that specifically affect the current food relief system and improve the capabilities of Victorian food relief charities. </w:t>
      </w:r>
      <w:r w:rsidR="004E1AFA" w:rsidRPr="00F2205B">
        <w:rPr>
          <w:rFonts w:ascii="Calibri" w:hAnsi="Calibri" w:cs="Calibri"/>
          <w:sz w:val="22"/>
        </w:rPr>
        <w:t>The</w:t>
      </w:r>
      <w:r w:rsidR="0054675C" w:rsidRPr="00F2205B">
        <w:rPr>
          <w:rFonts w:ascii="Calibri" w:hAnsi="Calibri" w:cs="Calibri"/>
          <w:sz w:val="22"/>
        </w:rPr>
        <w:t xml:space="preserve"> long</w:t>
      </w:r>
      <w:r w:rsidR="004E1AFA" w:rsidRPr="00F2205B">
        <w:rPr>
          <w:rFonts w:ascii="Calibri" w:hAnsi="Calibri" w:cs="Calibri"/>
          <w:sz w:val="22"/>
        </w:rPr>
        <w:t>-</w:t>
      </w:r>
      <w:r w:rsidR="0054675C" w:rsidRPr="00F2205B">
        <w:rPr>
          <w:rFonts w:ascii="Calibri" w:hAnsi="Calibri" w:cs="Calibri"/>
          <w:sz w:val="22"/>
        </w:rPr>
        <w:t xml:space="preserve"> and medium-term options should remain a focus for government to reduce systemic food insecurity in Victorians.</w:t>
      </w:r>
      <w:r w:rsidR="00EF3DF8" w:rsidRPr="00F2205B">
        <w:rPr>
          <w:rFonts w:ascii="Calibri" w:hAnsi="Calibri" w:cs="Calibri"/>
          <w:sz w:val="22"/>
        </w:rPr>
        <w:t xml:space="preserve"> </w:t>
      </w:r>
      <w:r w:rsidR="00704439" w:rsidRPr="00F2205B">
        <w:rPr>
          <w:rFonts w:ascii="Calibri" w:hAnsi="Calibri" w:cs="Calibri"/>
          <w:sz w:val="22"/>
        </w:rPr>
        <w:t>However, in the move towards resilience it is important for Victorians reliant on the current frameworks that they are maintained and strengthened to avoid a gap in support for those in need.</w:t>
      </w:r>
    </w:p>
    <w:p w14:paraId="21B5B25B" w14:textId="77777777" w:rsidR="007854AC" w:rsidRDefault="007854AC" w:rsidP="00F2205B">
      <w:pPr>
        <w:spacing w:after="0" w:line="240" w:lineRule="auto"/>
        <w:jc w:val="both"/>
        <w:rPr>
          <w:rFonts w:ascii="Calibri" w:hAnsi="Calibri" w:cs="Calibri"/>
          <w:sz w:val="22"/>
        </w:rPr>
      </w:pPr>
    </w:p>
    <w:p w14:paraId="4B0FC553" w14:textId="427381C7" w:rsidR="007854AC" w:rsidRDefault="00D96C36" w:rsidP="00F2205B">
      <w:pPr>
        <w:spacing w:after="0" w:line="240" w:lineRule="auto"/>
        <w:jc w:val="both"/>
        <w:rPr>
          <w:rFonts w:ascii="Calibri" w:hAnsi="Calibri" w:cs="Calibri"/>
          <w:sz w:val="22"/>
        </w:rPr>
      </w:pPr>
      <w:r>
        <w:rPr>
          <w:rFonts w:ascii="Calibri" w:hAnsi="Calibri" w:cs="Calibri"/>
          <w:sz w:val="22"/>
        </w:rPr>
        <w:t xml:space="preserve">In the remainder of this paper, </w:t>
      </w:r>
      <w:r w:rsidR="00E86A1B">
        <w:rPr>
          <w:rFonts w:ascii="Calibri" w:hAnsi="Calibri" w:cs="Calibri"/>
          <w:sz w:val="22"/>
        </w:rPr>
        <w:t>four</w:t>
      </w:r>
      <w:r w:rsidR="00763D70" w:rsidRPr="00F2205B">
        <w:rPr>
          <w:rFonts w:ascii="Calibri" w:hAnsi="Calibri" w:cs="Calibri"/>
          <w:sz w:val="22"/>
        </w:rPr>
        <w:t xml:space="preserve"> of these </w:t>
      </w:r>
      <w:r w:rsidR="00D0725A" w:rsidRPr="00F2205B">
        <w:rPr>
          <w:rFonts w:ascii="Calibri" w:hAnsi="Calibri" w:cs="Calibri"/>
          <w:sz w:val="22"/>
        </w:rPr>
        <w:t>short-term</w:t>
      </w:r>
      <w:r w:rsidR="00763D70" w:rsidRPr="00F2205B">
        <w:rPr>
          <w:rFonts w:ascii="Calibri" w:hAnsi="Calibri" w:cs="Calibri"/>
          <w:sz w:val="22"/>
        </w:rPr>
        <w:t xml:space="preserve"> recommendations</w:t>
      </w:r>
      <w:r w:rsidR="00FC5C5C">
        <w:rPr>
          <w:rFonts w:ascii="Calibri" w:hAnsi="Calibri" w:cs="Calibri"/>
          <w:sz w:val="22"/>
        </w:rPr>
        <w:t xml:space="preserve"> are evaluated</w:t>
      </w:r>
      <w:r w:rsidR="00763D70" w:rsidRPr="00F2205B">
        <w:rPr>
          <w:rFonts w:ascii="Calibri" w:hAnsi="Calibri" w:cs="Calibri"/>
          <w:sz w:val="22"/>
        </w:rPr>
        <w:t xml:space="preserve">, exploring their </w:t>
      </w:r>
      <w:r w:rsidR="00FB55FA" w:rsidRPr="00F2205B">
        <w:rPr>
          <w:rFonts w:ascii="Calibri" w:hAnsi="Calibri" w:cs="Calibri"/>
          <w:sz w:val="22"/>
        </w:rPr>
        <w:t xml:space="preserve">legitimacy from an economic perspective. </w:t>
      </w:r>
      <w:r w:rsidR="009202B6">
        <w:rPr>
          <w:rFonts w:ascii="Calibri" w:hAnsi="Calibri" w:cs="Calibri"/>
          <w:sz w:val="22"/>
        </w:rPr>
        <w:t xml:space="preserve">These four </w:t>
      </w:r>
      <w:r w:rsidR="00E86A1B" w:rsidRPr="00F2205B">
        <w:rPr>
          <w:rFonts w:ascii="Calibri" w:hAnsi="Calibri" w:cs="Calibri"/>
          <w:sz w:val="22"/>
        </w:rPr>
        <w:t xml:space="preserve">recommendations </w:t>
      </w:r>
      <w:r w:rsidR="009202B6">
        <w:rPr>
          <w:rFonts w:ascii="Calibri" w:hAnsi="Calibri" w:cs="Calibri"/>
          <w:sz w:val="22"/>
        </w:rPr>
        <w:t xml:space="preserve">are in the category </w:t>
      </w:r>
      <w:r w:rsidR="00E86A1B" w:rsidRPr="00F2205B">
        <w:rPr>
          <w:rFonts w:ascii="Calibri" w:hAnsi="Calibri" w:cs="Calibri"/>
          <w:sz w:val="22"/>
        </w:rPr>
        <w:t>that the Victorian Government has not provided explicit support for (support in full) in the response. The</w:t>
      </w:r>
      <w:r w:rsidR="002148DF">
        <w:rPr>
          <w:rFonts w:ascii="Calibri" w:hAnsi="Calibri" w:cs="Calibri"/>
          <w:sz w:val="22"/>
        </w:rPr>
        <w:t>y</w:t>
      </w:r>
      <w:r w:rsidR="00E86A1B" w:rsidRPr="00F2205B">
        <w:rPr>
          <w:rFonts w:ascii="Calibri" w:hAnsi="Calibri" w:cs="Calibri"/>
          <w:sz w:val="22"/>
        </w:rPr>
        <w:t xml:space="preserve"> all received support in principle responses from the Victorian Government, likely implicating a desire for further information before committing or rejecting the</w:t>
      </w:r>
      <w:r w:rsidR="002148DF">
        <w:rPr>
          <w:rFonts w:ascii="Calibri" w:hAnsi="Calibri" w:cs="Calibri"/>
          <w:sz w:val="22"/>
        </w:rPr>
        <w:t xml:space="preserve">m. </w:t>
      </w:r>
      <w:r w:rsidR="00E25F0C">
        <w:rPr>
          <w:rFonts w:ascii="Calibri" w:hAnsi="Calibri" w:cs="Calibri"/>
          <w:sz w:val="22"/>
        </w:rPr>
        <w:t>Thus, t</w:t>
      </w:r>
      <w:r w:rsidR="00FB55FA" w:rsidRPr="00F2205B">
        <w:rPr>
          <w:rFonts w:ascii="Calibri" w:hAnsi="Calibri" w:cs="Calibri"/>
          <w:sz w:val="22"/>
        </w:rPr>
        <w:t xml:space="preserve">he </w:t>
      </w:r>
      <w:r w:rsidR="00304689" w:rsidRPr="00F2205B">
        <w:rPr>
          <w:rFonts w:ascii="Calibri" w:hAnsi="Calibri" w:cs="Calibri"/>
          <w:sz w:val="22"/>
        </w:rPr>
        <w:t xml:space="preserve">purpose of this </w:t>
      </w:r>
      <w:r w:rsidR="00E25F0C">
        <w:rPr>
          <w:rFonts w:ascii="Calibri" w:hAnsi="Calibri" w:cs="Calibri"/>
          <w:sz w:val="22"/>
        </w:rPr>
        <w:t xml:space="preserve">evaluation </w:t>
      </w:r>
      <w:r w:rsidR="00304689" w:rsidRPr="00F2205B">
        <w:rPr>
          <w:rFonts w:ascii="Calibri" w:hAnsi="Calibri" w:cs="Calibri"/>
          <w:sz w:val="22"/>
        </w:rPr>
        <w:t xml:space="preserve">is to provide </w:t>
      </w:r>
      <w:r w:rsidR="00133E54" w:rsidRPr="00F2205B">
        <w:rPr>
          <w:rFonts w:ascii="Calibri" w:hAnsi="Calibri" w:cs="Calibri"/>
          <w:sz w:val="22"/>
        </w:rPr>
        <w:t>further exploration of the recommendations and recommend</w:t>
      </w:r>
      <w:r w:rsidR="00304689" w:rsidRPr="00F2205B">
        <w:rPr>
          <w:rFonts w:ascii="Calibri" w:hAnsi="Calibri" w:cs="Calibri"/>
          <w:sz w:val="22"/>
        </w:rPr>
        <w:t xml:space="preserve"> where further research could be considered by the Victorian Government.</w:t>
      </w:r>
      <w:r w:rsidR="00133E54" w:rsidRPr="00F2205B">
        <w:rPr>
          <w:rFonts w:ascii="Calibri" w:hAnsi="Calibri" w:cs="Calibri"/>
          <w:sz w:val="22"/>
        </w:rPr>
        <w:t xml:space="preserve"> </w:t>
      </w:r>
      <w:r w:rsidR="00E64211">
        <w:rPr>
          <w:rFonts w:ascii="Calibri" w:hAnsi="Calibri" w:cs="Calibri"/>
          <w:sz w:val="22"/>
        </w:rPr>
        <w:t>The recommendations are:</w:t>
      </w:r>
    </w:p>
    <w:p w14:paraId="414D87FE" w14:textId="77777777" w:rsidR="007854AC" w:rsidRDefault="007854AC" w:rsidP="00F2205B">
      <w:pPr>
        <w:spacing w:after="0" w:line="240" w:lineRule="auto"/>
        <w:jc w:val="both"/>
        <w:rPr>
          <w:rFonts w:ascii="Calibri" w:hAnsi="Calibri" w:cs="Calibri"/>
          <w:b/>
          <w:bCs/>
          <w:sz w:val="22"/>
        </w:rPr>
      </w:pPr>
    </w:p>
    <w:p w14:paraId="003B0CE8" w14:textId="3711CF61" w:rsidR="00133E54" w:rsidRPr="00F2205B" w:rsidRDefault="00133E54" w:rsidP="00F2205B">
      <w:pPr>
        <w:spacing w:after="0" w:line="240" w:lineRule="auto"/>
        <w:jc w:val="both"/>
        <w:rPr>
          <w:rFonts w:ascii="Calibri" w:hAnsi="Calibri" w:cs="Calibri"/>
          <w:sz w:val="22"/>
        </w:rPr>
      </w:pPr>
      <w:r w:rsidRPr="005B432F">
        <w:rPr>
          <w:rFonts w:ascii="Calibri" w:hAnsi="Calibri" w:cs="Calibri"/>
          <w:b/>
          <w:bCs/>
          <w:i/>
          <w:iCs/>
          <w:sz w:val="22"/>
        </w:rPr>
        <w:t>Recommendation 12</w:t>
      </w:r>
      <w:r w:rsidRPr="00F2205B">
        <w:rPr>
          <w:rFonts w:ascii="Calibri" w:hAnsi="Calibri" w:cs="Calibri"/>
          <w:sz w:val="22"/>
        </w:rPr>
        <w:t xml:space="preserve"> - That the Victorian Government advocate to the Commonwealth Government to support the implementation of a national food donation tax incentive.</w:t>
      </w:r>
    </w:p>
    <w:p w14:paraId="44C26322" w14:textId="77777777" w:rsidR="007854AC" w:rsidRDefault="007854AC" w:rsidP="00F2205B">
      <w:pPr>
        <w:spacing w:after="0" w:line="240" w:lineRule="auto"/>
        <w:jc w:val="both"/>
        <w:rPr>
          <w:rFonts w:ascii="Calibri" w:hAnsi="Calibri" w:cs="Calibri"/>
          <w:b/>
          <w:bCs/>
          <w:sz w:val="22"/>
        </w:rPr>
      </w:pPr>
    </w:p>
    <w:p w14:paraId="23966751" w14:textId="5666E740" w:rsidR="004370D7" w:rsidRPr="00F2205B" w:rsidRDefault="004370D7" w:rsidP="00F2205B">
      <w:pPr>
        <w:spacing w:after="0" w:line="240" w:lineRule="auto"/>
        <w:jc w:val="both"/>
        <w:rPr>
          <w:rFonts w:ascii="Calibri" w:hAnsi="Calibri" w:cs="Calibri"/>
          <w:sz w:val="22"/>
        </w:rPr>
      </w:pPr>
      <w:r w:rsidRPr="005B432F">
        <w:rPr>
          <w:rFonts w:ascii="Calibri" w:hAnsi="Calibri" w:cs="Calibri"/>
          <w:b/>
          <w:bCs/>
          <w:i/>
          <w:iCs/>
          <w:sz w:val="22"/>
        </w:rPr>
        <w:t>Recommendation 13</w:t>
      </w:r>
      <w:r w:rsidRPr="00F2205B">
        <w:rPr>
          <w:rFonts w:ascii="Calibri" w:hAnsi="Calibri" w:cs="Calibri"/>
          <w:sz w:val="22"/>
        </w:rPr>
        <w:t xml:space="preserve"> - That the Victorian Government explore potential penalties for food waste occurring along the supply chain to prevent the wastage of food that could otherwise be consumed.</w:t>
      </w:r>
    </w:p>
    <w:p w14:paraId="5C065681" w14:textId="7061E3DE" w:rsidR="004370D7" w:rsidRPr="00F2205B" w:rsidRDefault="004370D7" w:rsidP="00F2205B">
      <w:pPr>
        <w:spacing w:after="0" w:line="240" w:lineRule="auto"/>
        <w:jc w:val="both"/>
        <w:rPr>
          <w:rFonts w:ascii="Calibri" w:hAnsi="Calibri" w:cs="Calibri"/>
          <w:sz w:val="22"/>
        </w:rPr>
      </w:pPr>
      <w:r w:rsidRPr="005B432F">
        <w:rPr>
          <w:rFonts w:ascii="Calibri" w:hAnsi="Calibri" w:cs="Calibri"/>
          <w:b/>
          <w:bCs/>
          <w:i/>
          <w:iCs/>
          <w:sz w:val="22"/>
        </w:rPr>
        <w:lastRenderedPageBreak/>
        <w:t>Recommendation 20</w:t>
      </w:r>
      <w:r w:rsidRPr="00F2205B">
        <w:rPr>
          <w:rFonts w:ascii="Calibri" w:hAnsi="Calibri" w:cs="Calibri"/>
          <w:sz w:val="22"/>
        </w:rPr>
        <w:t xml:space="preserve"> - That the Victorian Government conduct a comprehensive audit of food relief services across Victoria to identify service gaps. Following the initial audit, a Food Relief Services </w:t>
      </w:r>
      <w:r w:rsidR="00F15BE8" w:rsidRPr="00F2205B">
        <w:rPr>
          <w:rFonts w:ascii="Calibri" w:hAnsi="Calibri" w:cs="Calibri"/>
          <w:sz w:val="22"/>
        </w:rPr>
        <w:t>M</w:t>
      </w:r>
      <w:r w:rsidRPr="00F2205B">
        <w:rPr>
          <w:rFonts w:ascii="Calibri" w:hAnsi="Calibri" w:cs="Calibri"/>
          <w:sz w:val="22"/>
        </w:rPr>
        <w:t>ap should be made publicly available which provides real</w:t>
      </w:r>
      <w:r w:rsidRPr="00F2205B">
        <w:rPr>
          <w:rFonts w:ascii="Calibri" w:hAnsi="Calibri" w:cs="Calibri"/>
          <w:sz w:val="22"/>
        </w:rPr>
        <w:noBreakHyphen/>
        <w:t>time information to the public on available food relief resources. This map should be regularly updated to ensure it remains a reliable tool for both service providers and people in need.</w:t>
      </w:r>
    </w:p>
    <w:p w14:paraId="1B80B31C" w14:textId="77777777" w:rsidR="007854AC" w:rsidRDefault="007854AC" w:rsidP="00F2205B">
      <w:pPr>
        <w:spacing w:after="0" w:line="240" w:lineRule="auto"/>
        <w:jc w:val="both"/>
        <w:rPr>
          <w:rFonts w:ascii="Calibri" w:hAnsi="Calibri" w:cs="Calibri"/>
          <w:b/>
          <w:bCs/>
          <w:sz w:val="22"/>
        </w:rPr>
      </w:pPr>
    </w:p>
    <w:p w14:paraId="36A2ABDC" w14:textId="36E5732F" w:rsidR="00D57883" w:rsidRDefault="004370D7" w:rsidP="00F2205B">
      <w:pPr>
        <w:spacing w:after="0" w:line="240" w:lineRule="auto"/>
        <w:jc w:val="both"/>
        <w:rPr>
          <w:rFonts w:ascii="Calibri" w:hAnsi="Calibri" w:cs="Calibri"/>
          <w:sz w:val="22"/>
        </w:rPr>
      </w:pPr>
      <w:r w:rsidRPr="005B432F">
        <w:rPr>
          <w:rFonts w:ascii="Calibri" w:hAnsi="Calibri" w:cs="Calibri"/>
          <w:b/>
          <w:bCs/>
          <w:i/>
          <w:iCs/>
          <w:sz w:val="22"/>
        </w:rPr>
        <w:t>Recommendation 21</w:t>
      </w:r>
      <w:r w:rsidRPr="00F2205B">
        <w:rPr>
          <w:rFonts w:ascii="Calibri" w:hAnsi="Calibri" w:cs="Calibri"/>
          <w:sz w:val="22"/>
        </w:rPr>
        <w:t xml:space="preserve"> - That the Victorian Government provide the food relief sector with recurrent funding to ensure it can address both current demand and future challenges.</w:t>
      </w:r>
      <w:bookmarkStart w:id="3" w:name="_Toc214802083"/>
    </w:p>
    <w:p w14:paraId="6C04098D" w14:textId="77777777" w:rsidR="003142B7" w:rsidRPr="00F2205B" w:rsidRDefault="003142B7" w:rsidP="00F2205B">
      <w:pPr>
        <w:spacing w:after="0" w:line="240" w:lineRule="auto"/>
        <w:jc w:val="both"/>
        <w:rPr>
          <w:rFonts w:ascii="Calibri" w:eastAsiaTheme="majorEastAsia" w:hAnsi="Calibri" w:cs="Calibri"/>
          <w:sz w:val="22"/>
        </w:rPr>
      </w:pPr>
    </w:p>
    <w:bookmarkEnd w:id="3"/>
    <w:p w14:paraId="21781EE6" w14:textId="3363F544" w:rsidR="00B73801" w:rsidRPr="00F2205B" w:rsidRDefault="00D57883" w:rsidP="009A4875">
      <w:pPr>
        <w:pStyle w:val="Heading1"/>
      </w:pPr>
      <w:r w:rsidRPr="00F2205B">
        <w:t xml:space="preserve">Recommendation 12 - </w:t>
      </w:r>
      <w:r w:rsidR="00BA2D5D" w:rsidRPr="00F2205B">
        <w:t>Food Donation Tax Incentives</w:t>
      </w:r>
    </w:p>
    <w:p w14:paraId="381C9229" w14:textId="77777777" w:rsidR="007854AC" w:rsidRDefault="007854AC" w:rsidP="00F2205B">
      <w:pPr>
        <w:spacing w:after="0" w:line="240" w:lineRule="auto"/>
        <w:jc w:val="both"/>
        <w:rPr>
          <w:rFonts w:ascii="Calibri" w:hAnsi="Calibri" w:cs="Calibri"/>
          <w:sz w:val="22"/>
        </w:rPr>
      </w:pPr>
    </w:p>
    <w:p w14:paraId="37D68D82" w14:textId="4CF5C17B" w:rsidR="007762B7" w:rsidRPr="00F2205B" w:rsidRDefault="00883985" w:rsidP="00F2205B">
      <w:pPr>
        <w:spacing w:after="0" w:line="240" w:lineRule="auto"/>
        <w:jc w:val="both"/>
        <w:rPr>
          <w:rFonts w:ascii="Calibri" w:hAnsi="Calibri" w:cs="Calibri"/>
          <w:sz w:val="22"/>
        </w:rPr>
      </w:pPr>
      <w:r>
        <w:rPr>
          <w:rFonts w:ascii="Calibri" w:hAnsi="Calibri" w:cs="Calibri"/>
          <w:sz w:val="22"/>
        </w:rPr>
        <w:t>In</w:t>
      </w:r>
      <w:r w:rsidR="00CF1449" w:rsidRPr="00F2205B">
        <w:rPr>
          <w:rFonts w:ascii="Calibri" w:hAnsi="Calibri" w:cs="Calibri"/>
          <w:sz w:val="22"/>
        </w:rPr>
        <w:t xml:space="preserve"> Chapter 5 of the report, the committee recommends adoption of polices to reduce food wastage in Victoria. </w:t>
      </w:r>
      <w:r w:rsidR="003142B7">
        <w:rPr>
          <w:rFonts w:ascii="Calibri" w:hAnsi="Calibri" w:cs="Calibri"/>
          <w:sz w:val="22"/>
        </w:rPr>
        <w:t xml:space="preserve">As background, </w:t>
      </w:r>
      <w:r w:rsidR="00972A3C" w:rsidRPr="00F2205B">
        <w:rPr>
          <w:rFonts w:ascii="Calibri" w:hAnsi="Calibri" w:cs="Calibri"/>
          <w:sz w:val="22"/>
        </w:rPr>
        <w:t>Sustainability</w:t>
      </w:r>
      <w:r w:rsidR="00BD61DC" w:rsidRPr="00F2205B">
        <w:rPr>
          <w:rFonts w:ascii="Calibri" w:hAnsi="Calibri" w:cs="Calibri"/>
          <w:sz w:val="22"/>
        </w:rPr>
        <w:t xml:space="preserve"> Victoria</w:t>
      </w:r>
      <w:r w:rsidR="00972A3C" w:rsidRPr="00F2205B">
        <w:rPr>
          <w:rFonts w:ascii="Calibri" w:hAnsi="Calibri" w:cs="Calibri"/>
          <w:sz w:val="22"/>
        </w:rPr>
        <w:t xml:space="preserve"> (2020) f</w:t>
      </w:r>
      <w:r w:rsidR="00BD61DC" w:rsidRPr="00F2205B">
        <w:rPr>
          <w:rFonts w:ascii="Calibri" w:hAnsi="Calibri" w:cs="Calibri"/>
          <w:sz w:val="22"/>
        </w:rPr>
        <w:t xml:space="preserve">ound that Victorians were discarding </w:t>
      </w:r>
      <w:r w:rsidR="002729C3">
        <w:rPr>
          <w:rFonts w:ascii="Calibri" w:hAnsi="Calibri" w:cs="Calibri"/>
          <w:sz w:val="22"/>
        </w:rPr>
        <w:t xml:space="preserve">some </w:t>
      </w:r>
      <w:r w:rsidR="00344A8D" w:rsidRPr="00F2205B">
        <w:rPr>
          <w:rFonts w:ascii="Calibri" w:hAnsi="Calibri" w:cs="Calibri"/>
          <w:sz w:val="22"/>
        </w:rPr>
        <w:t>2.4 million tonnes of food</w:t>
      </w:r>
      <w:r w:rsidR="00E95D44" w:rsidRPr="00F2205B">
        <w:rPr>
          <w:rFonts w:ascii="Calibri" w:hAnsi="Calibri" w:cs="Calibri"/>
          <w:sz w:val="22"/>
        </w:rPr>
        <w:t xml:space="preserve"> annually</w:t>
      </w:r>
      <w:r w:rsidR="00972A3C" w:rsidRPr="00F2205B">
        <w:rPr>
          <w:rFonts w:ascii="Calibri" w:hAnsi="Calibri" w:cs="Calibri"/>
          <w:sz w:val="22"/>
        </w:rPr>
        <w:t>.</w:t>
      </w:r>
      <w:r w:rsidR="00344A8D" w:rsidRPr="00F2205B">
        <w:rPr>
          <w:rFonts w:ascii="Calibri" w:hAnsi="Calibri" w:cs="Calibri"/>
          <w:sz w:val="22"/>
        </w:rPr>
        <w:t xml:space="preserve"> </w:t>
      </w:r>
      <w:r w:rsidR="00BD61DC" w:rsidRPr="00F2205B">
        <w:rPr>
          <w:rFonts w:ascii="Calibri" w:hAnsi="Calibri" w:cs="Calibri"/>
          <w:sz w:val="22"/>
        </w:rPr>
        <w:t>This represents</w:t>
      </w:r>
      <w:r w:rsidR="00344A8D" w:rsidRPr="00F2205B">
        <w:rPr>
          <w:rFonts w:ascii="Calibri" w:hAnsi="Calibri" w:cs="Calibri"/>
          <w:sz w:val="22"/>
        </w:rPr>
        <w:t xml:space="preserve"> </w:t>
      </w:r>
      <w:r w:rsidR="00BD61DC" w:rsidRPr="00F2205B">
        <w:rPr>
          <w:rFonts w:ascii="Calibri" w:hAnsi="Calibri" w:cs="Calibri"/>
          <w:sz w:val="22"/>
        </w:rPr>
        <w:t>an</w:t>
      </w:r>
      <w:r w:rsidR="00344A8D" w:rsidRPr="00F2205B">
        <w:rPr>
          <w:rFonts w:ascii="Calibri" w:hAnsi="Calibri" w:cs="Calibri"/>
          <w:sz w:val="22"/>
        </w:rPr>
        <w:t xml:space="preserve"> </w:t>
      </w:r>
      <w:r w:rsidR="00972A3C" w:rsidRPr="00F2205B">
        <w:rPr>
          <w:rFonts w:ascii="Calibri" w:hAnsi="Calibri" w:cs="Calibri"/>
          <w:sz w:val="22"/>
        </w:rPr>
        <w:t>economic cost</w:t>
      </w:r>
      <w:r w:rsidR="00344A8D" w:rsidRPr="00F2205B">
        <w:rPr>
          <w:rFonts w:ascii="Calibri" w:hAnsi="Calibri" w:cs="Calibri"/>
          <w:sz w:val="22"/>
        </w:rPr>
        <w:t xml:space="preserve"> of</w:t>
      </w:r>
      <w:r w:rsidR="00BD61DC" w:rsidRPr="00F2205B">
        <w:rPr>
          <w:rFonts w:ascii="Calibri" w:hAnsi="Calibri" w:cs="Calibri"/>
          <w:sz w:val="22"/>
        </w:rPr>
        <w:t xml:space="preserve"> $6 billion </w:t>
      </w:r>
      <w:r w:rsidR="009239F9" w:rsidRPr="00F2205B">
        <w:rPr>
          <w:rFonts w:ascii="Calibri" w:hAnsi="Calibri" w:cs="Calibri"/>
          <w:sz w:val="22"/>
        </w:rPr>
        <w:t xml:space="preserve">annually </w:t>
      </w:r>
      <w:r w:rsidR="00BD61DC" w:rsidRPr="00F2205B">
        <w:rPr>
          <w:rFonts w:ascii="Calibri" w:hAnsi="Calibri" w:cs="Calibri"/>
          <w:sz w:val="22"/>
        </w:rPr>
        <w:t xml:space="preserve">in wasted agricultural </w:t>
      </w:r>
      <w:r w:rsidR="0060616D">
        <w:rPr>
          <w:rFonts w:ascii="Calibri" w:hAnsi="Calibri" w:cs="Calibri"/>
          <w:sz w:val="22"/>
        </w:rPr>
        <w:t>production</w:t>
      </w:r>
      <w:r w:rsidR="00BD61DC" w:rsidRPr="00F2205B">
        <w:rPr>
          <w:rFonts w:ascii="Calibri" w:hAnsi="Calibri" w:cs="Calibri"/>
          <w:sz w:val="22"/>
        </w:rPr>
        <w:t>, distribution, processing and cooking. The amount of food waste in Victoria is more than enough to completely alleviate food insecurity if it is appropriately redistributed to households in need. Additionally, this would reduce the environmental impacts of food wastage.</w:t>
      </w:r>
    </w:p>
    <w:p w14:paraId="576C00ED" w14:textId="77777777" w:rsidR="007854AC" w:rsidRDefault="007854AC" w:rsidP="00F2205B">
      <w:pPr>
        <w:spacing w:after="0" w:line="240" w:lineRule="auto"/>
        <w:jc w:val="both"/>
        <w:rPr>
          <w:rFonts w:ascii="Calibri" w:hAnsi="Calibri" w:cs="Calibri"/>
          <w:sz w:val="22"/>
        </w:rPr>
      </w:pPr>
    </w:p>
    <w:p w14:paraId="440C3071" w14:textId="6C557C9D" w:rsidR="00BD61DC" w:rsidRPr="00F2205B" w:rsidRDefault="00BD61DC" w:rsidP="00F2205B">
      <w:pPr>
        <w:spacing w:after="0" w:line="240" w:lineRule="auto"/>
        <w:jc w:val="both"/>
        <w:rPr>
          <w:rFonts w:ascii="Calibri" w:hAnsi="Calibri" w:cs="Calibri"/>
          <w:sz w:val="22"/>
        </w:rPr>
      </w:pPr>
      <w:r w:rsidRPr="00F2205B">
        <w:rPr>
          <w:rFonts w:ascii="Calibri" w:hAnsi="Calibri" w:cs="Calibri"/>
          <w:sz w:val="22"/>
        </w:rPr>
        <w:t>The report recommends implementation of a food donation tax incentive to suppliers that donate food to relief organisations. The theoretical perspective is that the</w:t>
      </w:r>
      <w:r w:rsidR="00E64211">
        <w:rPr>
          <w:rFonts w:ascii="Calibri" w:hAnsi="Calibri" w:cs="Calibri"/>
          <w:sz w:val="22"/>
        </w:rPr>
        <w:t xml:space="preserve"> tax</w:t>
      </w:r>
      <w:r w:rsidRPr="00F2205B">
        <w:rPr>
          <w:rFonts w:ascii="Calibri" w:hAnsi="Calibri" w:cs="Calibri"/>
          <w:sz w:val="22"/>
        </w:rPr>
        <w:t xml:space="preserve"> would help to drive nutritious food away from wastage, by incentivising donations.</w:t>
      </w:r>
    </w:p>
    <w:p w14:paraId="08347F2F" w14:textId="77777777" w:rsidR="007854AC" w:rsidRDefault="007854AC" w:rsidP="00F2205B">
      <w:pPr>
        <w:spacing w:after="0" w:line="240" w:lineRule="auto"/>
        <w:jc w:val="both"/>
        <w:rPr>
          <w:rFonts w:ascii="Calibri" w:hAnsi="Calibri" w:cs="Calibri"/>
          <w:sz w:val="22"/>
        </w:rPr>
      </w:pPr>
    </w:p>
    <w:p w14:paraId="144D16DC" w14:textId="16BEAF66" w:rsidR="001E55B7" w:rsidRPr="00F2205B" w:rsidRDefault="00E01FCC" w:rsidP="00F2205B">
      <w:pPr>
        <w:spacing w:after="0" w:line="240" w:lineRule="auto"/>
        <w:jc w:val="both"/>
        <w:rPr>
          <w:rFonts w:ascii="Calibri" w:hAnsi="Calibri" w:cs="Calibri"/>
          <w:sz w:val="22"/>
        </w:rPr>
      </w:pPr>
      <w:r w:rsidRPr="00F2205B">
        <w:rPr>
          <w:rFonts w:ascii="Calibri" w:hAnsi="Calibri" w:cs="Calibri"/>
          <w:sz w:val="22"/>
        </w:rPr>
        <w:t xml:space="preserve">The report builds on </w:t>
      </w:r>
      <w:r w:rsidR="005D4462" w:rsidRPr="00F2205B">
        <w:rPr>
          <w:rFonts w:ascii="Calibri" w:hAnsi="Calibri" w:cs="Calibri"/>
          <w:sz w:val="22"/>
        </w:rPr>
        <w:t xml:space="preserve">previous </w:t>
      </w:r>
      <w:r w:rsidR="00CA6D80" w:rsidRPr="00F2205B">
        <w:rPr>
          <w:rFonts w:ascii="Calibri" w:hAnsi="Calibri" w:cs="Calibri"/>
          <w:sz w:val="22"/>
        </w:rPr>
        <w:t xml:space="preserve">recommendations from </w:t>
      </w:r>
      <w:r w:rsidR="00195C12" w:rsidRPr="00F2205B">
        <w:rPr>
          <w:rFonts w:ascii="Calibri" w:hAnsi="Calibri" w:cs="Calibri"/>
          <w:sz w:val="22"/>
        </w:rPr>
        <w:t xml:space="preserve">charitable and farming organisations </w:t>
      </w:r>
      <w:r w:rsidR="00CA6D80" w:rsidRPr="00F2205B">
        <w:rPr>
          <w:rFonts w:ascii="Calibri" w:hAnsi="Calibri" w:cs="Calibri"/>
          <w:sz w:val="22"/>
        </w:rPr>
        <w:t>to implement tax benefits for food donations</w:t>
      </w:r>
      <w:r w:rsidR="00E91967" w:rsidRPr="00F2205B">
        <w:rPr>
          <w:rFonts w:ascii="Calibri" w:hAnsi="Calibri" w:cs="Calibri"/>
          <w:sz w:val="22"/>
        </w:rPr>
        <w:t xml:space="preserve">. </w:t>
      </w:r>
      <w:r w:rsidR="007B44C6" w:rsidRPr="00F2205B">
        <w:rPr>
          <w:rFonts w:ascii="Calibri" w:hAnsi="Calibri" w:cs="Calibri"/>
          <w:sz w:val="22"/>
        </w:rPr>
        <w:t xml:space="preserve">This </w:t>
      </w:r>
      <w:r w:rsidR="00896059" w:rsidRPr="00F2205B">
        <w:rPr>
          <w:rFonts w:ascii="Calibri" w:hAnsi="Calibri" w:cs="Calibri"/>
          <w:sz w:val="22"/>
        </w:rPr>
        <w:t>form of charitable deduction would not be new in Australia, lining up with deductions allowed f</w:t>
      </w:r>
      <w:r w:rsidR="00726CC8">
        <w:rPr>
          <w:rFonts w:ascii="Calibri" w:hAnsi="Calibri" w:cs="Calibri"/>
          <w:sz w:val="22"/>
        </w:rPr>
        <w:t>or</w:t>
      </w:r>
      <w:r w:rsidR="00896059" w:rsidRPr="00F2205B">
        <w:rPr>
          <w:rFonts w:ascii="Calibri" w:hAnsi="Calibri" w:cs="Calibri"/>
          <w:sz w:val="22"/>
        </w:rPr>
        <w:t xml:space="preserve"> </w:t>
      </w:r>
      <w:r w:rsidR="008E61FD">
        <w:rPr>
          <w:rFonts w:ascii="Calibri" w:hAnsi="Calibri" w:cs="Calibri"/>
          <w:sz w:val="22"/>
        </w:rPr>
        <w:t xml:space="preserve">other </w:t>
      </w:r>
      <w:r w:rsidR="00896059" w:rsidRPr="00F2205B">
        <w:rPr>
          <w:rFonts w:ascii="Calibri" w:hAnsi="Calibri" w:cs="Calibri"/>
          <w:sz w:val="22"/>
        </w:rPr>
        <w:t>charitable contributions. Tax incentives have also been implemented in</w:t>
      </w:r>
      <w:r w:rsidR="0086786E" w:rsidRPr="00F2205B">
        <w:rPr>
          <w:rFonts w:ascii="Calibri" w:hAnsi="Calibri" w:cs="Calibri"/>
          <w:sz w:val="22"/>
        </w:rPr>
        <w:t>ternationally with varied successes.</w:t>
      </w:r>
    </w:p>
    <w:p w14:paraId="53CA4C67" w14:textId="77777777" w:rsidR="007854AC" w:rsidRDefault="007854AC" w:rsidP="00F2205B">
      <w:pPr>
        <w:spacing w:after="0" w:line="240" w:lineRule="auto"/>
        <w:jc w:val="both"/>
        <w:rPr>
          <w:rFonts w:ascii="Calibri" w:hAnsi="Calibri" w:cs="Calibri"/>
          <w:sz w:val="22"/>
        </w:rPr>
      </w:pPr>
    </w:p>
    <w:p w14:paraId="7D24DA80" w14:textId="00464D3F" w:rsidR="000A7A51" w:rsidRDefault="0086786E" w:rsidP="00F2205B">
      <w:pPr>
        <w:spacing w:after="0" w:line="240" w:lineRule="auto"/>
        <w:jc w:val="both"/>
        <w:rPr>
          <w:rFonts w:ascii="Calibri" w:hAnsi="Calibri" w:cs="Calibri"/>
          <w:sz w:val="22"/>
        </w:rPr>
      </w:pPr>
      <w:r w:rsidRPr="00F2205B">
        <w:rPr>
          <w:rFonts w:ascii="Calibri" w:hAnsi="Calibri" w:cs="Calibri"/>
          <w:sz w:val="22"/>
        </w:rPr>
        <w:t xml:space="preserve">In </w:t>
      </w:r>
      <w:r w:rsidR="00B36F48" w:rsidRPr="00F2205B">
        <w:rPr>
          <w:rFonts w:ascii="Calibri" w:hAnsi="Calibri" w:cs="Calibri"/>
          <w:sz w:val="22"/>
        </w:rPr>
        <w:t xml:space="preserve">some European countries </w:t>
      </w:r>
      <w:r w:rsidR="00A26F52" w:rsidRPr="00F2205B">
        <w:rPr>
          <w:rFonts w:ascii="Calibri" w:hAnsi="Calibri" w:cs="Calibri"/>
          <w:sz w:val="22"/>
        </w:rPr>
        <w:t>medium-large corporations</w:t>
      </w:r>
      <w:r w:rsidR="00B36F48" w:rsidRPr="00F2205B">
        <w:rPr>
          <w:rFonts w:ascii="Calibri" w:hAnsi="Calibri" w:cs="Calibri"/>
          <w:sz w:val="22"/>
        </w:rPr>
        <w:t xml:space="preserve"> can deduct percentages of the book value of donations from their ta</w:t>
      </w:r>
      <w:r w:rsidR="001E55B7" w:rsidRPr="00F2205B">
        <w:rPr>
          <w:rFonts w:ascii="Calibri" w:hAnsi="Calibri" w:cs="Calibri"/>
          <w:sz w:val="22"/>
        </w:rPr>
        <w:t>x. This deduction is as high as 140</w:t>
      </w:r>
      <w:r w:rsidR="009E3601">
        <w:rPr>
          <w:rFonts w:ascii="Calibri" w:hAnsi="Calibri" w:cs="Calibri"/>
          <w:sz w:val="22"/>
        </w:rPr>
        <w:t xml:space="preserve"> per cent</w:t>
      </w:r>
      <w:r w:rsidR="001E55B7" w:rsidRPr="00F2205B">
        <w:rPr>
          <w:rFonts w:ascii="Calibri" w:hAnsi="Calibri" w:cs="Calibri"/>
          <w:sz w:val="22"/>
        </w:rPr>
        <w:t xml:space="preserve"> of the value of the food in Portugal (limited to 0.8</w:t>
      </w:r>
      <w:r w:rsidR="009E3601">
        <w:rPr>
          <w:rFonts w:ascii="Calibri" w:hAnsi="Calibri" w:cs="Calibri"/>
          <w:sz w:val="22"/>
        </w:rPr>
        <w:t xml:space="preserve"> per cent</w:t>
      </w:r>
      <w:r w:rsidR="001E55B7" w:rsidRPr="00F2205B">
        <w:rPr>
          <w:rFonts w:ascii="Calibri" w:hAnsi="Calibri" w:cs="Calibri"/>
          <w:sz w:val="22"/>
        </w:rPr>
        <w:t xml:space="preserve"> of the </w:t>
      </w:r>
      <w:r w:rsidR="00A63D7B" w:rsidRPr="00F2205B">
        <w:rPr>
          <w:rFonts w:ascii="Calibri" w:hAnsi="Calibri" w:cs="Calibri"/>
          <w:sz w:val="22"/>
        </w:rPr>
        <w:t>donor’s</w:t>
      </w:r>
      <w:r w:rsidR="001E55B7" w:rsidRPr="00F2205B">
        <w:rPr>
          <w:rFonts w:ascii="Calibri" w:hAnsi="Calibri" w:cs="Calibri"/>
          <w:sz w:val="22"/>
        </w:rPr>
        <w:t xml:space="preserve"> total turnover). In France and Spain</w:t>
      </w:r>
      <w:r w:rsidR="002A5F05" w:rsidRPr="00F2205B">
        <w:rPr>
          <w:rFonts w:ascii="Calibri" w:hAnsi="Calibri" w:cs="Calibri"/>
          <w:sz w:val="22"/>
        </w:rPr>
        <w:t>,</w:t>
      </w:r>
      <w:r w:rsidR="001E55B7" w:rsidRPr="00F2205B">
        <w:rPr>
          <w:rFonts w:ascii="Calibri" w:hAnsi="Calibri" w:cs="Calibri"/>
          <w:sz w:val="22"/>
        </w:rPr>
        <w:t xml:space="preserve"> </w:t>
      </w:r>
      <w:r w:rsidR="0072640F" w:rsidRPr="00F2205B">
        <w:rPr>
          <w:rFonts w:ascii="Calibri" w:hAnsi="Calibri" w:cs="Calibri"/>
          <w:sz w:val="22"/>
        </w:rPr>
        <w:t>c</w:t>
      </w:r>
      <w:r w:rsidR="001E55B7" w:rsidRPr="00F2205B">
        <w:rPr>
          <w:rFonts w:ascii="Calibri" w:hAnsi="Calibri" w:cs="Calibri"/>
          <w:sz w:val="22"/>
        </w:rPr>
        <w:t>orporate tax credits can be claimed for donations up to 60</w:t>
      </w:r>
      <w:r w:rsidR="009E3601">
        <w:rPr>
          <w:rFonts w:ascii="Calibri" w:hAnsi="Calibri" w:cs="Calibri"/>
          <w:sz w:val="22"/>
        </w:rPr>
        <w:t xml:space="preserve"> per cent</w:t>
      </w:r>
      <w:r w:rsidR="001E55B7" w:rsidRPr="00F2205B">
        <w:rPr>
          <w:rFonts w:ascii="Calibri" w:hAnsi="Calibri" w:cs="Calibri"/>
          <w:sz w:val="22"/>
        </w:rPr>
        <w:t xml:space="preserve"> and 35</w:t>
      </w:r>
      <w:r w:rsidR="009E3601">
        <w:rPr>
          <w:rFonts w:ascii="Calibri" w:hAnsi="Calibri" w:cs="Calibri"/>
          <w:sz w:val="22"/>
        </w:rPr>
        <w:t xml:space="preserve"> per cent</w:t>
      </w:r>
      <w:r w:rsidR="001E55B7" w:rsidRPr="00F2205B">
        <w:rPr>
          <w:rFonts w:ascii="Calibri" w:hAnsi="Calibri" w:cs="Calibri"/>
          <w:sz w:val="22"/>
        </w:rPr>
        <w:t xml:space="preserve"> respectively</w:t>
      </w:r>
      <w:r w:rsidR="00A63D7B" w:rsidRPr="00F2205B">
        <w:rPr>
          <w:rFonts w:ascii="Calibri" w:hAnsi="Calibri" w:cs="Calibri"/>
          <w:sz w:val="22"/>
        </w:rPr>
        <w:t xml:space="preserve"> for the book value of the donations</w:t>
      </w:r>
      <w:r w:rsidR="009F0F64">
        <w:rPr>
          <w:rFonts w:ascii="Calibri" w:hAnsi="Calibri" w:cs="Calibri"/>
          <w:sz w:val="22"/>
        </w:rPr>
        <w:t xml:space="preserve"> (European Commission, 2025)</w:t>
      </w:r>
      <w:r w:rsidR="00A63D7B" w:rsidRPr="00F2205B">
        <w:rPr>
          <w:rFonts w:ascii="Calibri" w:hAnsi="Calibri" w:cs="Calibri"/>
          <w:sz w:val="22"/>
        </w:rPr>
        <w:t>.</w:t>
      </w:r>
      <w:r w:rsidR="00B27A3C" w:rsidRPr="00F2205B">
        <w:rPr>
          <w:rFonts w:ascii="Calibri" w:hAnsi="Calibri" w:cs="Calibri"/>
          <w:sz w:val="22"/>
        </w:rPr>
        <w:t xml:space="preserve"> </w:t>
      </w:r>
    </w:p>
    <w:p w14:paraId="598DAB23" w14:textId="77777777" w:rsidR="000A7A51" w:rsidRDefault="000A7A51" w:rsidP="00F2205B">
      <w:pPr>
        <w:spacing w:after="0" w:line="240" w:lineRule="auto"/>
        <w:jc w:val="both"/>
        <w:rPr>
          <w:rFonts w:ascii="Calibri" w:hAnsi="Calibri" w:cs="Calibri"/>
          <w:sz w:val="22"/>
        </w:rPr>
      </w:pPr>
    </w:p>
    <w:p w14:paraId="7D2F0A2D" w14:textId="472EC6A6" w:rsidR="002C2680" w:rsidRPr="00F2205B" w:rsidRDefault="009E4348" w:rsidP="00F2205B">
      <w:pPr>
        <w:spacing w:after="0" w:line="240" w:lineRule="auto"/>
        <w:jc w:val="both"/>
        <w:rPr>
          <w:rFonts w:ascii="Calibri" w:hAnsi="Calibri" w:cs="Calibri"/>
          <w:sz w:val="22"/>
        </w:rPr>
      </w:pPr>
      <w:r w:rsidRPr="00F2205B">
        <w:rPr>
          <w:rFonts w:ascii="Calibri" w:hAnsi="Calibri" w:cs="Calibri"/>
          <w:sz w:val="22"/>
        </w:rPr>
        <w:t>Four</w:t>
      </w:r>
      <w:r w:rsidR="002C2680" w:rsidRPr="00F2205B">
        <w:rPr>
          <w:rFonts w:ascii="Calibri" w:hAnsi="Calibri" w:cs="Calibri"/>
          <w:sz w:val="22"/>
        </w:rPr>
        <w:t xml:space="preserve"> Canad</w:t>
      </w:r>
      <w:r w:rsidRPr="00F2205B">
        <w:rPr>
          <w:rFonts w:ascii="Calibri" w:hAnsi="Calibri" w:cs="Calibri"/>
          <w:sz w:val="22"/>
        </w:rPr>
        <w:t>ian provinces</w:t>
      </w:r>
      <w:r w:rsidR="002C2680" w:rsidRPr="00F2205B">
        <w:rPr>
          <w:rFonts w:ascii="Calibri" w:hAnsi="Calibri" w:cs="Calibri"/>
          <w:sz w:val="22"/>
        </w:rPr>
        <w:t xml:space="preserve"> </w:t>
      </w:r>
      <w:r w:rsidR="00495D51">
        <w:rPr>
          <w:rFonts w:ascii="Calibri" w:hAnsi="Calibri" w:cs="Calibri"/>
          <w:sz w:val="22"/>
        </w:rPr>
        <w:t xml:space="preserve">British Columbia, Ontario, Nova Scotia and Quebec) </w:t>
      </w:r>
      <w:r w:rsidR="002C2680" w:rsidRPr="00F2205B">
        <w:rPr>
          <w:rFonts w:ascii="Calibri" w:hAnsi="Calibri" w:cs="Calibri"/>
          <w:sz w:val="22"/>
        </w:rPr>
        <w:t>introduced a 25</w:t>
      </w:r>
      <w:r w:rsidR="009E3601">
        <w:rPr>
          <w:rFonts w:ascii="Calibri" w:hAnsi="Calibri" w:cs="Calibri"/>
          <w:sz w:val="22"/>
        </w:rPr>
        <w:t xml:space="preserve"> per cent</w:t>
      </w:r>
      <w:r w:rsidR="002C2680" w:rsidRPr="00F2205B">
        <w:rPr>
          <w:rFonts w:ascii="Calibri" w:hAnsi="Calibri" w:cs="Calibri"/>
          <w:sz w:val="22"/>
        </w:rPr>
        <w:t xml:space="preserve"> donation tax credit for qualifying donations</w:t>
      </w:r>
      <w:r w:rsidR="0010403B" w:rsidRPr="00F2205B">
        <w:rPr>
          <w:rFonts w:ascii="Calibri" w:hAnsi="Calibri" w:cs="Calibri"/>
          <w:sz w:val="22"/>
        </w:rPr>
        <w:t xml:space="preserve"> in 2022</w:t>
      </w:r>
      <w:r w:rsidR="00211523">
        <w:rPr>
          <w:rFonts w:ascii="Calibri" w:hAnsi="Calibri" w:cs="Calibri"/>
          <w:sz w:val="22"/>
        </w:rPr>
        <w:t xml:space="preserve"> (see for example </w:t>
      </w:r>
      <w:r w:rsidR="00D01DE7">
        <w:rPr>
          <w:rFonts w:ascii="Calibri" w:hAnsi="Calibri" w:cs="Calibri"/>
          <w:sz w:val="22"/>
        </w:rPr>
        <w:t xml:space="preserve">Government of </w:t>
      </w:r>
      <w:r w:rsidR="00211523">
        <w:rPr>
          <w:rFonts w:ascii="Calibri" w:hAnsi="Calibri" w:cs="Calibri"/>
          <w:sz w:val="22"/>
        </w:rPr>
        <w:t>British Columbia</w:t>
      </w:r>
      <w:r w:rsidR="00D01DE7">
        <w:rPr>
          <w:rFonts w:ascii="Calibri" w:hAnsi="Calibri" w:cs="Calibri"/>
          <w:sz w:val="22"/>
        </w:rPr>
        <w:t xml:space="preserve"> (2026)).</w:t>
      </w:r>
      <w:r w:rsidR="00495D51">
        <w:rPr>
          <w:rFonts w:ascii="Calibri" w:hAnsi="Calibri" w:cs="Calibri"/>
          <w:sz w:val="22"/>
        </w:rPr>
        <w:t xml:space="preserve"> </w:t>
      </w:r>
    </w:p>
    <w:p w14:paraId="7FA640D3" w14:textId="77777777" w:rsidR="007854AC" w:rsidRDefault="007854AC" w:rsidP="00F2205B">
      <w:pPr>
        <w:spacing w:after="0" w:line="240" w:lineRule="auto"/>
        <w:jc w:val="both"/>
        <w:rPr>
          <w:rFonts w:ascii="Calibri" w:hAnsi="Calibri" w:cs="Calibri"/>
          <w:sz w:val="22"/>
        </w:rPr>
      </w:pPr>
    </w:p>
    <w:p w14:paraId="7A5A0FB2" w14:textId="1F3C0628" w:rsidR="00A57F8E" w:rsidRPr="00F2205B" w:rsidRDefault="00A57F8E" w:rsidP="00F2205B">
      <w:pPr>
        <w:spacing w:after="0" w:line="240" w:lineRule="auto"/>
        <w:jc w:val="both"/>
        <w:rPr>
          <w:rFonts w:ascii="Calibri" w:hAnsi="Calibri" w:cs="Calibri"/>
          <w:sz w:val="22"/>
        </w:rPr>
      </w:pPr>
      <w:r w:rsidRPr="00F2205B">
        <w:rPr>
          <w:rFonts w:ascii="Calibri" w:hAnsi="Calibri" w:cs="Calibri"/>
          <w:sz w:val="22"/>
        </w:rPr>
        <w:t>In 2020</w:t>
      </w:r>
      <w:r w:rsidR="002A5F05" w:rsidRPr="00F2205B">
        <w:rPr>
          <w:rFonts w:ascii="Calibri" w:hAnsi="Calibri" w:cs="Calibri"/>
          <w:sz w:val="22"/>
        </w:rPr>
        <w:t>,</w:t>
      </w:r>
      <w:r w:rsidRPr="00F2205B">
        <w:rPr>
          <w:rFonts w:ascii="Calibri" w:hAnsi="Calibri" w:cs="Calibri"/>
          <w:sz w:val="22"/>
        </w:rPr>
        <w:t xml:space="preserve"> Foodbank </w:t>
      </w:r>
      <w:r w:rsidR="00CB4E46">
        <w:rPr>
          <w:rFonts w:ascii="Calibri" w:hAnsi="Calibri" w:cs="Calibri"/>
          <w:sz w:val="22"/>
        </w:rPr>
        <w:t xml:space="preserve">Australia </w:t>
      </w:r>
      <w:r w:rsidRPr="00F2205B">
        <w:rPr>
          <w:rFonts w:ascii="Calibri" w:hAnsi="Calibri" w:cs="Calibri"/>
          <w:sz w:val="22"/>
        </w:rPr>
        <w:t>commissioned a report from KPMG (KPMG</w:t>
      </w:r>
      <w:r w:rsidR="00B6168E">
        <w:rPr>
          <w:rFonts w:ascii="Calibri" w:hAnsi="Calibri" w:cs="Calibri"/>
          <w:sz w:val="22"/>
        </w:rPr>
        <w:t>,</w:t>
      </w:r>
      <w:r w:rsidRPr="00F2205B">
        <w:rPr>
          <w:rFonts w:ascii="Calibri" w:hAnsi="Calibri" w:cs="Calibri"/>
          <w:sz w:val="22"/>
        </w:rPr>
        <w:t xml:space="preserve"> 2020), to explore the potential for tax incentives. The KPMG report </w:t>
      </w:r>
      <w:r w:rsidR="00972A3C" w:rsidRPr="00F2205B">
        <w:rPr>
          <w:rFonts w:ascii="Calibri" w:hAnsi="Calibri" w:cs="Calibri"/>
          <w:sz w:val="22"/>
        </w:rPr>
        <w:t xml:space="preserve">recommended that this form of tax incentive </w:t>
      </w:r>
      <w:r w:rsidR="001B7CB1" w:rsidRPr="00F2205B">
        <w:rPr>
          <w:rFonts w:ascii="Calibri" w:hAnsi="Calibri" w:cs="Calibri"/>
          <w:sz w:val="22"/>
        </w:rPr>
        <w:t>be</w:t>
      </w:r>
      <w:r w:rsidR="00972A3C" w:rsidRPr="00F2205B">
        <w:rPr>
          <w:rFonts w:ascii="Calibri" w:hAnsi="Calibri" w:cs="Calibri"/>
          <w:sz w:val="22"/>
        </w:rPr>
        <w:t xml:space="preserve"> adopted and </w:t>
      </w:r>
      <w:r w:rsidRPr="00F2205B">
        <w:rPr>
          <w:rFonts w:ascii="Calibri" w:hAnsi="Calibri" w:cs="Calibri"/>
          <w:sz w:val="22"/>
        </w:rPr>
        <w:t xml:space="preserve">was </w:t>
      </w:r>
      <w:r w:rsidR="00972A3C" w:rsidRPr="00F2205B">
        <w:rPr>
          <w:rFonts w:ascii="Calibri" w:hAnsi="Calibri" w:cs="Calibri"/>
          <w:sz w:val="22"/>
        </w:rPr>
        <w:t xml:space="preserve">later </w:t>
      </w:r>
      <w:r w:rsidRPr="00F2205B">
        <w:rPr>
          <w:rFonts w:ascii="Calibri" w:hAnsi="Calibri" w:cs="Calibri"/>
          <w:sz w:val="22"/>
        </w:rPr>
        <w:t>supported by an implementation analysis (KPMG</w:t>
      </w:r>
      <w:r w:rsidR="00B6168E">
        <w:rPr>
          <w:rFonts w:ascii="Calibri" w:hAnsi="Calibri" w:cs="Calibri"/>
          <w:sz w:val="22"/>
        </w:rPr>
        <w:t>,</w:t>
      </w:r>
      <w:r w:rsidRPr="00F2205B">
        <w:rPr>
          <w:rFonts w:ascii="Calibri" w:hAnsi="Calibri" w:cs="Calibri"/>
          <w:sz w:val="22"/>
        </w:rPr>
        <w:t xml:space="preserve"> 2023). The report recommended that recipients that have less than $20 million in annual turnover should receive a cash refund for costs incurred in donating food, and those that have turnover over $20 million should receive non-refundable tax offsets. </w:t>
      </w:r>
    </w:p>
    <w:p w14:paraId="51825F2A" w14:textId="77777777" w:rsidR="007854AC" w:rsidRDefault="007854AC" w:rsidP="00F2205B">
      <w:pPr>
        <w:spacing w:after="0" w:line="240" w:lineRule="auto"/>
        <w:jc w:val="both"/>
        <w:rPr>
          <w:rFonts w:ascii="Calibri" w:hAnsi="Calibri" w:cs="Calibri"/>
          <w:sz w:val="22"/>
        </w:rPr>
      </w:pPr>
    </w:p>
    <w:p w14:paraId="6C192C14" w14:textId="2811E4C7" w:rsidR="00A57F8E" w:rsidRPr="00F2205B" w:rsidRDefault="00A57F8E" w:rsidP="00F2205B">
      <w:pPr>
        <w:spacing w:after="0" w:line="240" w:lineRule="auto"/>
        <w:jc w:val="both"/>
        <w:rPr>
          <w:rFonts w:ascii="Calibri" w:hAnsi="Calibri" w:cs="Calibri"/>
          <w:sz w:val="22"/>
        </w:rPr>
      </w:pPr>
      <w:r w:rsidRPr="00F2205B">
        <w:rPr>
          <w:rFonts w:ascii="Calibri" w:hAnsi="Calibri" w:cs="Calibri"/>
          <w:sz w:val="22"/>
        </w:rPr>
        <w:t xml:space="preserve">The 2020 KPMG implementation plan has previously been explored at the </w:t>
      </w:r>
      <w:r w:rsidR="00180025" w:rsidRPr="00F2205B">
        <w:rPr>
          <w:rFonts w:ascii="Calibri" w:hAnsi="Calibri" w:cs="Calibri"/>
          <w:sz w:val="22"/>
        </w:rPr>
        <w:t>C</w:t>
      </w:r>
      <w:r w:rsidRPr="00F2205B">
        <w:rPr>
          <w:rFonts w:ascii="Calibri" w:hAnsi="Calibri" w:cs="Calibri"/>
          <w:sz w:val="22"/>
        </w:rPr>
        <w:t xml:space="preserve">ommonwealth government level. The initiative was introduced to the Australian </w:t>
      </w:r>
      <w:r w:rsidR="001B7CB1" w:rsidRPr="00F2205B">
        <w:rPr>
          <w:rFonts w:ascii="Calibri" w:hAnsi="Calibri" w:cs="Calibri"/>
          <w:sz w:val="22"/>
        </w:rPr>
        <w:t>P</w:t>
      </w:r>
      <w:r w:rsidRPr="00F2205B">
        <w:rPr>
          <w:rFonts w:ascii="Calibri" w:hAnsi="Calibri" w:cs="Calibri"/>
          <w:sz w:val="22"/>
        </w:rPr>
        <w:t xml:space="preserve">arliament under the </w:t>
      </w:r>
      <w:r w:rsidRPr="00F2205B">
        <w:rPr>
          <w:rFonts w:ascii="Calibri" w:hAnsi="Calibri" w:cs="Calibri"/>
          <w:i/>
          <w:iCs/>
          <w:sz w:val="22"/>
        </w:rPr>
        <w:t xml:space="preserve">Tax Laws </w:t>
      </w:r>
      <w:r w:rsidR="001B7CB1" w:rsidRPr="00F2205B">
        <w:rPr>
          <w:rFonts w:ascii="Calibri" w:hAnsi="Calibri" w:cs="Calibri"/>
          <w:i/>
          <w:iCs/>
          <w:sz w:val="22"/>
        </w:rPr>
        <w:t>A</w:t>
      </w:r>
      <w:r w:rsidRPr="00F2205B">
        <w:rPr>
          <w:rFonts w:ascii="Calibri" w:hAnsi="Calibri" w:cs="Calibri"/>
          <w:i/>
          <w:iCs/>
          <w:sz w:val="22"/>
        </w:rPr>
        <w:t xml:space="preserve">mendment (Incentivising Food Donations to </w:t>
      </w:r>
      <w:r w:rsidR="001B7CB1" w:rsidRPr="00F2205B">
        <w:rPr>
          <w:rFonts w:ascii="Calibri" w:hAnsi="Calibri" w:cs="Calibri"/>
          <w:i/>
          <w:iCs/>
          <w:sz w:val="22"/>
        </w:rPr>
        <w:t>C</w:t>
      </w:r>
      <w:r w:rsidRPr="00F2205B">
        <w:rPr>
          <w:rFonts w:ascii="Calibri" w:hAnsi="Calibri" w:cs="Calibri"/>
          <w:i/>
          <w:iCs/>
          <w:sz w:val="22"/>
        </w:rPr>
        <w:t xml:space="preserve">haritable Organisations) Bill 2024 </w:t>
      </w:r>
      <w:r w:rsidRPr="00F2205B">
        <w:rPr>
          <w:rFonts w:ascii="Calibri" w:hAnsi="Calibri" w:cs="Calibri"/>
          <w:sz w:val="22"/>
        </w:rPr>
        <w:t xml:space="preserve">(TLA Bill). The TLA bill proposed amendments to Australia’s </w:t>
      </w:r>
      <w:r w:rsidR="00180025" w:rsidRPr="00F2205B">
        <w:rPr>
          <w:rFonts w:ascii="Calibri" w:hAnsi="Calibri" w:cs="Calibri"/>
          <w:sz w:val="22"/>
        </w:rPr>
        <w:t>t</w:t>
      </w:r>
      <w:r w:rsidRPr="00F2205B">
        <w:rPr>
          <w:rFonts w:ascii="Calibri" w:hAnsi="Calibri" w:cs="Calibri"/>
          <w:sz w:val="22"/>
        </w:rPr>
        <w:t>ax laws allowing for cashback, or tax credits for small and medium-sized food producers donating food.</w:t>
      </w:r>
    </w:p>
    <w:p w14:paraId="683C41AD" w14:textId="77777777" w:rsidR="007854AC" w:rsidRDefault="007854AC" w:rsidP="00F2205B">
      <w:pPr>
        <w:spacing w:after="0" w:line="240" w:lineRule="auto"/>
        <w:jc w:val="both"/>
        <w:rPr>
          <w:rFonts w:ascii="Calibri" w:hAnsi="Calibri" w:cs="Calibri"/>
          <w:sz w:val="22"/>
        </w:rPr>
      </w:pPr>
    </w:p>
    <w:p w14:paraId="634F7576" w14:textId="1E23E5AF" w:rsidR="00A57F8E" w:rsidRPr="00F2205B" w:rsidRDefault="00A57F8E" w:rsidP="00F2205B">
      <w:pPr>
        <w:spacing w:after="0" w:line="240" w:lineRule="auto"/>
        <w:jc w:val="both"/>
        <w:rPr>
          <w:rFonts w:ascii="Calibri" w:hAnsi="Calibri" w:cs="Calibri"/>
          <w:sz w:val="22"/>
        </w:rPr>
      </w:pPr>
      <w:r w:rsidRPr="00F2205B">
        <w:rPr>
          <w:rFonts w:ascii="Calibri" w:hAnsi="Calibri" w:cs="Calibri"/>
          <w:sz w:val="22"/>
        </w:rPr>
        <w:lastRenderedPageBreak/>
        <w:t xml:space="preserve">The TLA bill was introduced to parliament in </w:t>
      </w:r>
      <w:r w:rsidR="007762B7" w:rsidRPr="00F2205B">
        <w:rPr>
          <w:rFonts w:ascii="Calibri" w:hAnsi="Calibri" w:cs="Calibri"/>
          <w:sz w:val="22"/>
        </w:rPr>
        <w:t>July 2024 and</w:t>
      </w:r>
      <w:r w:rsidRPr="00F2205B">
        <w:rPr>
          <w:rFonts w:ascii="Calibri" w:hAnsi="Calibri" w:cs="Calibri"/>
          <w:sz w:val="22"/>
        </w:rPr>
        <w:t xml:space="preserve"> subsequently rejected by the Senate economics committee. The TLA Bill was supported by KPMG, </w:t>
      </w:r>
      <w:r w:rsidR="003E2518" w:rsidRPr="00F2205B">
        <w:rPr>
          <w:rFonts w:ascii="Calibri" w:hAnsi="Calibri" w:cs="Calibri"/>
          <w:sz w:val="22"/>
        </w:rPr>
        <w:t>t</w:t>
      </w:r>
      <w:r w:rsidRPr="00F2205B">
        <w:rPr>
          <w:rFonts w:ascii="Calibri" w:hAnsi="Calibri" w:cs="Calibri"/>
          <w:sz w:val="22"/>
        </w:rPr>
        <w:t>he National Farmers Federation, and the major Australian food charities (KPMG</w:t>
      </w:r>
      <w:r w:rsidR="0079660C">
        <w:rPr>
          <w:rFonts w:ascii="Calibri" w:hAnsi="Calibri" w:cs="Calibri"/>
          <w:sz w:val="22"/>
        </w:rPr>
        <w:t>,</w:t>
      </w:r>
      <w:r w:rsidRPr="00F2205B">
        <w:rPr>
          <w:rFonts w:ascii="Calibri" w:hAnsi="Calibri" w:cs="Calibri"/>
          <w:sz w:val="22"/>
        </w:rPr>
        <w:t xml:space="preserve"> 2024; NFF</w:t>
      </w:r>
      <w:r w:rsidR="0079660C">
        <w:rPr>
          <w:rFonts w:ascii="Calibri" w:hAnsi="Calibri" w:cs="Calibri"/>
          <w:sz w:val="22"/>
        </w:rPr>
        <w:t>,</w:t>
      </w:r>
      <w:r w:rsidRPr="00F2205B">
        <w:rPr>
          <w:rFonts w:ascii="Calibri" w:hAnsi="Calibri" w:cs="Calibri"/>
          <w:sz w:val="22"/>
        </w:rPr>
        <w:t xml:space="preserve"> 2024; Foodbank, </w:t>
      </w:r>
      <w:r w:rsidR="00EE0FF1" w:rsidRPr="00F2205B">
        <w:rPr>
          <w:rFonts w:ascii="Calibri" w:hAnsi="Calibri" w:cs="Calibri"/>
          <w:sz w:val="22"/>
        </w:rPr>
        <w:t>OzHarvest</w:t>
      </w:r>
      <w:r w:rsidRPr="00F2205B">
        <w:rPr>
          <w:rFonts w:ascii="Calibri" w:hAnsi="Calibri" w:cs="Calibri"/>
          <w:sz w:val="22"/>
        </w:rPr>
        <w:t xml:space="preserve"> and SecondBite</w:t>
      </w:r>
      <w:r w:rsidR="0079660C">
        <w:rPr>
          <w:rFonts w:ascii="Calibri" w:hAnsi="Calibri" w:cs="Calibri"/>
          <w:sz w:val="22"/>
        </w:rPr>
        <w:t>,</w:t>
      </w:r>
      <w:r w:rsidRPr="00F2205B">
        <w:rPr>
          <w:rFonts w:ascii="Calibri" w:hAnsi="Calibri" w:cs="Calibri"/>
          <w:sz w:val="22"/>
        </w:rPr>
        <w:t xml:space="preserve"> 2024). Despite the bill’s discontinuation, these organisations have continued to advocate for the approach (Foodbank</w:t>
      </w:r>
      <w:r w:rsidR="00204F3D">
        <w:rPr>
          <w:rFonts w:ascii="Calibri" w:hAnsi="Calibri" w:cs="Calibri"/>
          <w:sz w:val="22"/>
        </w:rPr>
        <w:t>,</w:t>
      </w:r>
      <w:r w:rsidRPr="00F2205B">
        <w:rPr>
          <w:rFonts w:ascii="Calibri" w:hAnsi="Calibri" w:cs="Calibri"/>
          <w:sz w:val="22"/>
        </w:rPr>
        <w:t xml:space="preserve"> 2024</w:t>
      </w:r>
      <w:r w:rsidR="00204F3D">
        <w:rPr>
          <w:rFonts w:ascii="Calibri" w:hAnsi="Calibri" w:cs="Calibri"/>
          <w:sz w:val="22"/>
        </w:rPr>
        <w:t>;</w:t>
      </w:r>
      <w:r w:rsidRPr="00F2205B">
        <w:rPr>
          <w:rFonts w:ascii="Calibri" w:hAnsi="Calibri" w:cs="Calibri"/>
          <w:sz w:val="22"/>
        </w:rPr>
        <w:t xml:space="preserve"> SecondBite</w:t>
      </w:r>
      <w:r w:rsidR="00204F3D">
        <w:rPr>
          <w:rFonts w:ascii="Calibri" w:hAnsi="Calibri" w:cs="Calibri"/>
          <w:sz w:val="22"/>
        </w:rPr>
        <w:t>,</w:t>
      </w:r>
      <w:r w:rsidRPr="00F2205B">
        <w:rPr>
          <w:rFonts w:ascii="Calibri" w:hAnsi="Calibri" w:cs="Calibri"/>
          <w:sz w:val="22"/>
        </w:rPr>
        <w:t xml:space="preserve"> 2024). Following the release of the Foodbank Hunger Report 2025, Foodbank is leading a renewed push for tax incentives to be reconsidered (Foodbank</w:t>
      </w:r>
      <w:r w:rsidR="00204F3D">
        <w:rPr>
          <w:rFonts w:ascii="Calibri" w:hAnsi="Calibri" w:cs="Calibri"/>
          <w:sz w:val="22"/>
        </w:rPr>
        <w:t xml:space="preserve"> Australia,</w:t>
      </w:r>
      <w:r w:rsidRPr="00F2205B">
        <w:rPr>
          <w:rFonts w:ascii="Calibri" w:hAnsi="Calibri" w:cs="Calibri"/>
          <w:sz w:val="22"/>
        </w:rPr>
        <w:t xml:space="preserve"> 2025).</w:t>
      </w:r>
    </w:p>
    <w:p w14:paraId="0E3A6E1A" w14:textId="77777777" w:rsidR="007854AC" w:rsidRDefault="007854AC" w:rsidP="00F2205B">
      <w:pPr>
        <w:pStyle w:val="Heading3"/>
        <w:spacing w:before="0" w:after="0" w:line="240" w:lineRule="auto"/>
        <w:jc w:val="both"/>
        <w:rPr>
          <w:rFonts w:ascii="Calibri" w:hAnsi="Calibri" w:cs="Calibri"/>
          <w:sz w:val="22"/>
          <w:szCs w:val="22"/>
        </w:rPr>
      </w:pPr>
    </w:p>
    <w:p w14:paraId="073D3BDE" w14:textId="65481E5A" w:rsidR="007D6F09" w:rsidRPr="00F2205B" w:rsidRDefault="007D6F09" w:rsidP="00F2205B">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Tax </w:t>
      </w:r>
      <w:r w:rsidR="003907CC">
        <w:rPr>
          <w:rFonts w:ascii="Calibri" w:hAnsi="Calibri" w:cs="Calibri"/>
          <w:sz w:val="22"/>
          <w:szCs w:val="22"/>
        </w:rPr>
        <w:t>i</w:t>
      </w:r>
      <w:r w:rsidRPr="00F2205B">
        <w:rPr>
          <w:rFonts w:ascii="Calibri" w:hAnsi="Calibri" w:cs="Calibri"/>
          <w:sz w:val="22"/>
          <w:szCs w:val="22"/>
        </w:rPr>
        <w:t xml:space="preserve">ncentives in </w:t>
      </w:r>
      <w:r w:rsidR="003907CC">
        <w:rPr>
          <w:rFonts w:ascii="Calibri" w:hAnsi="Calibri" w:cs="Calibri"/>
          <w:sz w:val="22"/>
          <w:szCs w:val="22"/>
        </w:rPr>
        <w:t>t</w:t>
      </w:r>
      <w:r w:rsidRPr="00F2205B">
        <w:rPr>
          <w:rFonts w:ascii="Calibri" w:hAnsi="Calibri" w:cs="Calibri"/>
          <w:sz w:val="22"/>
          <w:szCs w:val="22"/>
        </w:rPr>
        <w:t>heory</w:t>
      </w:r>
    </w:p>
    <w:p w14:paraId="47ACE79B" w14:textId="77777777" w:rsidR="007854AC" w:rsidRDefault="007854AC" w:rsidP="00F2205B">
      <w:pPr>
        <w:spacing w:after="0" w:line="240" w:lineRule="auto"/>
        <w:jc w:val="both"/>
        <w:rPr>
          <w:rFonts w:ascii="Calibri" w:hAnsi="Calibri" w:cs="Calibri"/>
          <w:sz w:val="22"/>
        </w:rPr>
      </w:pPr>
    </w:p>
    <w:p w14:paraId="4EB52FE2" w14:textId="729E8DA5" w:rsidR="0011447A" w:rsidRPr="00F2205B" w:rsidRDefault="00CC5CFA" w:rsidP="00F2205B">
      <w:pPr>
        <w:spacing w:after="0" w:line="240" w:lineRule="auto"/>
        <w:jc w:val="both"/>
        <w:rPr>
          <w:rFonts w:ascii="Calibri" w:hAnsi="Calibri" w:cs="Calibri"/>
          <w:sz w:val="22"/>
        </w:rPr>
      </w:pPr>
      <w:r w:rsidRPr="00F2205B">
        <w:rPr>
          <w:rFonts w:ascii="Calibri" w:hAnsi="Calibri" w:cs="Calibri"/>
          <w:sz w:val="22"/>
        </w:rPr>
        <w:t>T</w:t>
      </w:r>
      <w:r w:rsidR="002507AF" w:rsidRPr="00F2205B">
        <w:rPr>
          <w:rFonts w:ascii="Calibri" w:hAnsi="Calibri" w:cs="Calibri"/>
          <w:sz w:val="22"/>
        </w:rPr>
        <w:t>ax incentive</w:t>
      </w:r>
      <w:r w:rsidR="00CD4813" w:rsidRPr="00F2205B">
        <w:rPr>
          <w:rFonts w:ascii="Calibri" w:hAnsi="Calibri" w:cs="Calibri"/>
          <w:sz w:val="22"/>
        </w:rPr>
        <w:t>s</w:t>
      </w:r>
      <w:r w:rsidR="002507AF" w:rsidRPr="00F2205B">
        <w:rPr>
          <w:rFonts w:ascii="Calibri" w:hAnsi="Calibri" w:cs="Calibri"/>
          <w:sz w:val="22"/>
        </w:rPr>
        <w:t xml:space="preserve"> to encourage </w:t>
      </w:r>
      <w:r w:rsidR="000B5779" w:rsidRPr="00F2205B">
        <w:rPr>
          <w:rFonts w:ascii="Calibri" w:hAnsi="Calibri" w:cs="Calibri"/>
          <w:sz w:val="22"/>
        </w:rPr>
        <w:t>behaviour stems from basic economic theory</w:t>
      </w:r>
      <w:r w:rsidR="00F25B28" w:rsidRPr="00F2205B">
        <w:rPr>
          <w:rFonts w:ascii="Calibri" w:hAnsi="Calibri" w:cs="Calibri"/>
          <w:sz w:val="22"/>
        </w:rPr>
        <w:t xml:space="preserve">. </w:t>
      </w:r>
      <w:r w:rsidRPr="00F2205B">
        <w:rPr>
          <w:rFonts w:ascii="Calibri" w:hAnsi="Calibri" w:cs="Calibri"/>
          <w:sz w:val="22"/>
        </w:rPr>
        <w:t xml:space="preserve">A conceptual view of </w:t>
      </w:r>
      <w:r w:rsidR="007D2C65" w:rsidRPr="00F2205B">
        <w:rPr>
          <w:rFonts w:ascii="Calibri" w:hAnsi="Calibri" w:cs="Calibri"/>
          <w:sz w:val="22"/>
        </w:rPr>
        <w:t xml:space="preserve">economic systems would indicate that any taxes on a product </w:t>
      </w:r>
      <w:r w:rsidR="002A034A" w:rsidRPr="00F2205B">
        <w:rPr>
          <w:rFonts w:ascii="Calibri" w:hAnsi="Calibri" w:cs="Calibri"/>
          <w:sz w:val="22"/>
        </w:rPr>
        <w:t xml:space="preserve">increase the cost of production and therefore </w:t>
      </w:r>
      <w:r w:rsidR="007D2C65" w:rsidRPr="00F2205B">
        <w:rPr>
          <w:rFonts w:ascii="Calibri" w:hAnsi="Calibri" w:cs="Calibri"/>
          <w:sz w:val="22"/>
        </w:rPr>
        <w:t>reduce the overall supply of that product, with the amount depending on the elasticity of supply.</w:t>
      </w:r>
      <w:r w:rsidR="005E7210" w:rsidRPr="00F2205B">
        <w:rPr>
          <w:rFonts w:ascii="Calibri" w:hAnsi="Calibri" w:cs="Calibri"/>
          <w:sz w:val="22"/>
        </w:rPr>
        <w:t xml:space="preserve"> Governments </w:t>
      </w:r>
      <w:r w:rsidR="001A0539" w:rsidRPr="00F2205B">
        <w:rPr>
          <w:rFonts w:ascii="Calibri" w:hAnsi="Calibri" w:cs="Calibri"/>
          <w:sz w:val="22"/>
        </w:rPr>
        <w:t xml:space="preserve">can </w:t>
      </w:r>
      <w:r w:rsidR="00BD61DC" w:rsidRPr="00F2205B">
        <w:rPr>
          <w:rFonts w:ascii="Calibri" w:hAnsi="Calibri" w:cs="Calibri"/>
          <w:sz w:val="22"/>
        </w:rPr>
        <w:t>reduce</w:t>
      </w:r>
      <w:r w:rsidR="005E7210" w:rsidRPr="00F2205B">
        <w:rPr>
          <w:rFonts w:ascii="Calibri" w:hAnsi="Calibri" w:cs="Calibri"/>
          <w:sz w:val="22"/>
        </w:rPr>
        <w:t xml:space="preserve"> </w:t>
      </w:r>
      <w:r w:rsidR="00E458E8" w:rsidRPr="00F2205B">
        <w:rPr>
          <w:rFonts w:ascii="Calibri" w:hAnsi="Calibri" w:cs="Calibri"/>
          <w:sz w:val="22"/>
        </w:rPr>
        <w:t>tax</w:t>
      </w:r>
      <w:r w:rsidR="00BD61DC" w:rsidRPr="00F2205B">
        <w:rPr>
          <w:rFonts w:ascii="Calibri" w:hAnsi="Calibri" w:cs="Calibri"/>
          <w:sz w:val="22"/>
        </w:rPr>
        <w:t xml:space="preserve">es or provide tax relief strategically </w:t>
      </w:r>
      <w:r w:rsidR="00E458E8" w:rsidRPr="00F2205B">
        <w:rPr>
          <w:rFonts w:ascii="Calibri" w:hAnsi="Calibri" w:cs="Calibri"/>
          <w:sz w:val="22"/>
        </w:rPr>
        <w:t>to</w:t>
      </w:r>
      <w:r w:rsidR="005E7210" w:rsidRPr="00F2205B">
        <w:rPr>
          <w:rFonts w:ascii="Calibri" w:hAnsi="Calibri" w:cs="Calibri"/>
          <w:sz w:val="22"/>
        </w:rPr>
        <w:t xml:space="preserve"> </w:t>
      </w:r>
      <w:r w:rsidR="00330CCA" w:rsidRPr="00F2205B">
        <w:rPr>
          <w:rFonts w:ascii="Calibri" w:hAnsi="Calibri" w:cs="Calibri"/>
          <w:sz w:val="22"/>
        </w:rPr>
        <w:t xml:space="preserve">encourage growth in </w:t>
      </w:r>
      <w:r w:rsidR="00390F63" w:rsidRPr="00F2205B">
        <w:rPr>
          <w:rFonts w:ascii="Calibri" w:hAnsi="Calibri" w:cs="Calibri"/>
          <w:sz w:val="22"/>
        </w:rPr>
        <w:t>certain industries.</w:t>
      </w:r>
      <w:r w:rsidR="001A0539" w:rsidRPr="00F2205B">
        <w:rPr>
          <w:rFonts w:ascii="Calibri" w:hAnsi="Calibri" w:cs="Calibri"/>
          <w:sz w:val="22"/>
        </w:rPr>
        <w:t xml:space="preserve"> </w:t>
      </w:r>
    </w:p>
    <w:p w14:paraId="1763F2A3" w14:textId="77777777" w:rsidR="007854AC" w:rsidRDefault="007854AC" w:rsidP="00F2205B">
      <w:pPr>
        <w:spacing w:after="0" w:line="240" w:lineRule="auto"/>
        <w:jc w:val="both"/>
        <w:rPr>
          <w:rFonts w:ascii="Calibri" w:hAnsi="Calibri" w:cs="Calibri"/>
          <w:sz w:val="22"/>
        </w:rPr>
      </w:pPr>
    </w:p>
    <w:p w14:paraId="6248C744" w14:textId="6AF01DDB" w:rsidR="00E71A5A" w:rsidRPr="00F2205B" w:rsidRDefault="00E71A5A" w:rsidP="00F2205B">
      <w:pPr>
        <w:spacing w:after="0" w:line="240" w:lineRule="auto"/>
        <w:jc w:val="both"/>
        <w:rPr>
          <w:rFonts w:ascii="Calibri" w:hAnsi="Calibri" w:cs="Calibri"/>
          <w:sz w:val="22"/>
        </w:rPr>
      </w:pPr>
      <w:r w:rsidRPr="00F2205B">
        <w:rPr>
          <w:rFonts w:ascii="Calibri" w:hAnsi="Calibri" w:cs="Calibri"/>
          <w:sz w:val="22"/>
        </w:rPr>
        <w:t>Charitable donations fall into a strange category, where activity in one area (charitabl</w:t>
      </w:r>
      <w:r w:rsidR="003C3E7C">
        <w:rPr>
          <w:rFonts w:ascii="Calibri" w:hAnsi="Calibri" w:cs="Calibri"/>
          <w:sz w:val="22"/>
        </w:rPr>
        <w:t>e</w:t>
      </w:r>
      <w:r w:rsidRPr="00F2205B">
        <w:rPr>
          <w:rFonts w:ascii="Calibri" w:hAnsi="Calibri" w:cs="Calibri"/>
          <w:sz w:val="22"/>
        </w:rPr>
        <w:t xml:space="preserve"> donations) grants tax offsets to the business’ activities. The use of tax incentives such as this is </w:t>
      </w:r>
      <w:r w:rsidR="00653C9A">
        <w:rPr>
          <w:rFonts w:ascii="Calibri" w:hAnsi="Calibri" w:cs="Calibri"/>
          <w:sz w:val="22"/>
        </w:rPr>
        <w:t>common</w:t>
      </w:r>
      <w:r w:rsidRPr="00F2205B">
        <w:rPr>
          <w:rFonts w:ascii="Calibri" w:hAnsi="Calibri" w:cs="Calibri"/>
          <w:sz w:val="22"/>
        </w:rPr>
        <w:t>, for example, the Australian Government currently uses tax incentives in this way to encourage spending on research and development (Australian Taxation Office</w:t>
      </w:r>
      <w:r w:rsidR="008B7890">
        <w:rPr>
          <w:rFonts w:ascii="Calibri" w:hAnsi="Calibri" w:cs="Calibri"/>
          <w:sz w:val="22"/>
        </w:rPr>
        <w:t>,</w:t>
      </w:r>
      <w:r w:rsidRPr="00F2205B">
        <w:rPr>
          <w:rFonts w:ascii="Calibri" w:hAnsi="Calibri" w:cs="Calibri"/>
          <w:sz w:val="22"/>
        </w:rPr>
        <w:t xml:space="preserve"> 2026). </w:t>
      </w:r>
    </w:p>
    <w:p w14:paraId="30057449" w14:textId="77777777" w:rsidR="007854AC" w:rsidRDefault="007854AC" w:rsidP="00F2205B">
      <w:pPr>
        <w:spacing w:after="0" w:line="240" w:lineRule="auto"/>
        <w:jc w:val="both"/>
        <w:rPr>
          <w:rFonts w:ascii="Calibri" w:hAnsi="Calibri" w:cs="Calibri"/>
          <w:sz w:val="22"/>
        </w:rPr>
      </w:pPr>
    </w:p>
    <w:p w14:paraId="5499C57D" w14:textId="419CF681" w:rsidR="005C0880" w:rsidRDefault="001B41E8" w:rsidP="00F2205B">
      <w:pPr>
        <w:spacing w:after="0" w:line="240" w:lineRule="auto"/>
        <w:jc w:val="both"/>
        <w:rPr>
          <w:rFonts w:ascii="Calibri" w:hAnsi="Calibri" w:cs="Calibri"/>
          <w:sz w:val="22"/>
        </w:rPr>
      </w:pPr>
      <w:r>
        <w:rPr>
          <w:rFonts w:ascii="Calibri" w:hAnsi="Calibri" w:cs="Calibri"/>
          <w:sz w:val="22"/>
        </w:rPr>
        <w:t xml:space="preserve">There are several ways this type of policy can be described. </w:t>
      </w:r>
      <w:r w:rsidR="000F06ED">
        <w:rPr>
          <w:rFonts w:ascii="Calibri" w:hAnsi="Calibri" w:cs="Calibri"/>
          <w:sz w:val="22"/>
        </w:rPr>
        <w:t>In Katz and Rosen (1998</w:t>
      </w:r>
      <w:r w:rsidR="00C7432A">
        <w:rPr>
          <w:rFonts w:ascii="Calibri" w:hAnsi="Calibri" w:cs="Calibri"/>
          <w:sz w:val="22"/>
        </w:rPr>
        <w:t>, 71-73</w:t>
      </w:r>
      <w:r w:rsidR="000F06ED">
        <w:rPr>
          <w:rFonts w:ascii="Calibri" w:hAnsi="Calibri" w:cs="Calibri"/>
          <w:sz w:val="22"/>
        </w:rPr>
        <w:t xml:space="preserve">), </w:t>
      </w:r>
      <w:r w:rsidR="00A64884">
        <w:rPr>
          <w:rFonts w:ascii="Calibri" w:hAnsi="Calibri" w:cs="Calibri"/>
          <w:sz w:val="22"/>
        </w:rPr>
        <w:t xml:space="preserve">a tax deduction for charitable donations is </w:t>
      </w:r>
      <w:r w:rsidR="00652FE0">
        <w:rPr>
          <w:rFonts w:ascii="Calibri" w:hAnsi="Calibri" w:cs="Calibri"/>
          <w:sz w:val="22"/>
        </w:rPr>
        <w:t>analysed</w:t>
      </w:r>
      <w:r w:rsidR="00DD3422">
        <w:rPr>
          <w:rFonts w:ascii="Calibri" w:hAnsi="Calibri" w:cs="Calibri"/>
          <w:sz w:val="22"/>
        </w:rPr>
        <w:t xml:space="preserve"> using consumer indifference curves. </w:t>
      </w:r>
      <w:r w:rsidR="00652FE0">
        <w:rPr>
          <w:rFonts w:ascii="Calibri" w:hAnsi="Calibri" w:cs="Calibri"/>
          <w:sz w:val="22"/>
        </w:rPr>
        <w:t>A consumer allocat</w:t>
      </w:r>
      <w:r w:rsidR="00A0182F">
        <w:rPr>
          <w:rFonts w:ascii="Calibri" w:hAnsi="Calibri" w:cs="Calibri"/>
          <w:sz w:val="22"/>
        </w:rPr>
        <w:t>es a fixed budget between charitable donations and all other</w:t>
      </w:r>
      <w:r w:rsidR="00652902">
        <w:rPr>
          <w:rFonts w:ascii="Calibri" w:hAnsi="Calibri" w:cs="Calibri"/>
          <w:sz w:val="22"/>
        </w:rPr>
        <w:t xml:space="preserve"> goods and services in a given time period, with the amount of donations depending on</w:t>
      </w:r>
      <w:r w:rsidR="00C83BD5">
        <w:rPr>
          <w:rFonts w:ascii="Calibri" w:hAnsi="Calibri" w:cs="Calibri"/>
          <w:sz w:val="22"/>
        </w:rPr>
        <w:t xml:space="preserve"> the shape of the consumer</w:t>
      </w:r>
      <w:r w:rsidR="0072532E">
        <w:rPr>
          <w:rFonts w:ascii="Calibri" w:hAnsi="Calibri" w:cs="Calibri"/>
          <w:sz w:val="22"/>
        </w:rPr>
        <w:t xml:space="preserve">’s </w:t>
      </w:r>
      <w:r w:rsidR="00C83BD5">
        <w:rPr>
          <w:rFonts w:ascii="Calibri" w:hAnsi="Calibri" w:cs="Calibri"/>
          <w:sz w:val="22"/>
        </w:rPr>
        <w:t>indifference cur</w:t>
      </w:r>
      <w:r w:rsidR="0072532E">
        <w:rPr>
          <w:rFonts w:ascii="Calibri" w:hAnsi="Calibri" w:cs="Calibri"/>
          <w:sz w:val="22"/>
        </w:rPr>
        <w:t xml:space="preserve">ves and the implied </w:t>
      </w:r>
      <w:r w:rsidR="00334969">
        <w:rPr>
          <w:rFonts w:ascii="Calibri" w:hAnsi="Calibri" w:cs="Calibri"/>
          <w:sz w:val="22"/>
        </w:rPr>
        <w:t>‘</w:t>
      </w:r>
      <w:r w:rsidR="0072532E">
        <w:rPr>
          <w:rFonts w:ascii="Calibri" w:hAnsi="Calibri" w:cs="Calibri"/>
          <w:sz w:val="22"/>
        </w:rPr>
        <w:t>pric</w:t>
      </w:r>
      <w:r w:rsidR="005C0880">
        <w:rPr>
          <w:rFonts w:ascii="Calibri" w:hAnsi="Calibri" w:cs="Calibri"/>
          <w:sz w:val="22"/>
        </w:rPr>
        <w:t>e</w:t>
      </w:r>
      <w:r w:rsidR="00334969">
        <w:rPr>
          <w:rFonts w:ascii="Calibri" w:hAnsi="Calibri" w:cs="Calibri"/>
          <w:sz w:val="22"/>
        </w:rPr>
        <w:t>’</w:t>
      </w:r>
      <w:r w:rsidR="005C0880">
        <w:rPr>
          <w:rFonts w:ascii="Calibri" w:hAnsi="Calibri" w:cs="Calibri"/>
          <w:sz w:val="22"/>
        </w:rPr>
        <w:t xml:space="preserve"> applied to charitable donations.</w:t>
      </w:r>
      <w:r w:rsidR="00334969">
        <w:rPr>
          <w:rFonts w:ascii="Calibri" w:hAnsi="Calibri" w:cs="Calibri"/>
          <w:sz w:val="22"/>
        </w:rPr>
        <w:t xml:space="preserve"> A tax deduction for charitable donations</w:t>
      </w:r>
      <w:r w:rsidR="00417C10">
        <w:rPr>
          <w:rFonts w:ascii="Calibri" w:hAnsi="Calibri" w:cs="Calibri"/>
          <w:sz w:val="22"/>
        </w:rPr>
        <w:t xml:space="preserve"> lowers the opportunity cost of donating, </w:t>
      </w:r>
      <w:r w:rsidR="002C19FA">
        <w:rPr>
          <w:rFonts w:ascii="Calibri" w:hAnsi="Calibri" w:cs="Calibri"/>
          <w:sz w:val="22"/>
        </w:rPr>
        <w:t xml:space="preserve">changes the </w:t>
      </w:r>
      <w:r w:rsidR="00C6751E">
        <w:rPr>
          <w:rFonts w:ascii="Calibri" w:hAnsi="Calibri" w:cs="Calibri"/>
          <w:sz w:val="22"/>
        </w:rPr>
        <w:t>slope</w:t>
      </w:r>
      <w:r w:rsidR="002C19FA">
        <w:rPr>
          <w:rFonts w:ascii="Calibri" w:hAnsi="Calibri" w:cs="Calibri"/>
          <w:sz w:val="22"/>
        </w:rPr>
        <w:t xml:space="preserve"> of the budget constraint and allows the consumer to move to a higher indifference curve</w:t>
      </w:r>
      <w:r w:rsidR="00351B75">
        <w:rPr>
          <w:rFonts w:ascii="Calibri" w:hAnsi="Calibri" w:cs="Calibri"/>
          <w:sz w:val="22"/>
        </w:rPr>
        <w:t>. This results in a</w:t>
      </w:r>
      <w:r w:rsidR="00822F38">
        <w:rPr>
          <w:rFonts w:ascii="Calibri" w:hAnsi="Calibri" w:cs="Calibri"/>
          <w:sz w:val="22"/>
        </w:rPr>
        <w:t>n increase in the amount of charitable donations in a given time period.</w:t>
      </w:r>
      <w:r w:rsidR="00351B75">
        <w:rPr>
          <w:rFonts w:ascii="Calibri" w:hAnsi="Calibri" w:cs="Calibri"/>
          <w:sz w:val="22"/>
        </w:rPr>
        <w:t xml:space="preserve"> </w:t>
      </w:r>
      <w:r w:rsidR="005C0880">
        <w:rPr>
          <w:rFonts w:ascii="Calibri" w:hAnsi="Calibri" w:cs="Calibri"/>
          <w:sz w:val="22"/>
        </w:rPr>
        <w:t xml:space="preserve"> </w:t>
      </w:r>
    </w:p>
    <w:p w14:paraId="17247108" w14:textId="77777777" w:rsidR="005C0880" w:rsidRDefault="005C0880" w:rsidP="00F2205B">
      <w:pPr>
        <w:spacing w:after="0" w:line="240" w:lineRule="auto"/>
        <w:jc w:val="both"/>
        <w:rPr>
          <w:rFonts w:ascii="Calibri" w:hAnsi="Calibri" w:cs="Calibri"/>
          <w:sz w:val="22"/>
        </w:rPr>
      </w:pPr>
    </w:p>
    <w:p w14:paraId="233B47FB" w14:textId="4D6D8E53" w:rsidR="000E2782" w:rsidRDefault="007D2833" w:rsidP="00F2205B">
      <w:pPr>
        <w:spacing w:after="0" w:line="240" w:lineRule="auto"/>
        <w:jc w:val="both"/>
        <w:rPr>
          <w:rFonts w:ascii="Calibri" w:hAnsi="Calibri" w:cs="Calibri"/>
          <w:sz w:val="22"/>
        </w:rPr>
      </w:pPr>
      <w:r>
        <w:rPr>
          <w:rFonts w:ascii="Calibri" w:hAnsi="Calibri" w:cs="Calibri"/>
          <w:sz w:val="22"/>
        </w:rPr>
        <w:t>Another way to look at the issue is in terms of the supply and demand for donated</w:t>
      </w:r>
      <w:r w:rsidR="007C346D">
        <w:rPr>
          <w:rFonts w:ascii="Calibri" w:hAnsi="Calibri" w:cs="Calibri"/>
          <w:sz w:val="22"/>
        </w:rPr>
        <w:t xml:space="preserve"> food. </w:t>
      </w:r>
      <w:r w:rsidR="00AF7058" w:rsidRPr="00F2205B">
        <w:rPr>
          <w:rFonts w:ascii="Calibri" w:hAnsi="Calibri" w:cs="Calibri"/>
          <w:sz w:val="22"/>
        </w:rPr>
        <w:t xml:space="preserve">In the market for </w:t>
      </w:r>
      <w:r w:rsidR="00276D82" w:rsidRPr="00F2205B">
        <w:rPr>
          <w:rFonts w:ascii="Calibri" w:hAnsi="Calibri" w:cs="Calibri"/>
          <w:sz w:val="22"/>
        </w:rPr>
        <w:t>food relief, it can be assumed that the demand is fixed, with a set number of people that are in need. This number may fluctuate over time, but it is</w:t>
      </w:r>
      <w:r w:rsidR="00B448CA">
        <w:rPr>
          <w:rFonts w:ascii="Calibri" w:hAnsi="Calibri" w:cs="Calibri"/>
          <w:sz w:val="22"/>
        </w:rPr>
        <w:t xml:space="preserve"> </w:t>
      </w:r>
      <w:r w:rsidR="00276D82" w:rsidRPr="00F2205B">
        <w:rPr>
          <w:rFonts w:ascii="Calibri" w:hAnsi="Calibri" w:cs="Calibri"/>
          <w:sz w:val="22"/>
        </w:rPr>
        <w:t>n</w:t>
      </w:r>
      <w:r w:rsidR="00B448CA">
        <w:rPr>
          <w:rFonts w:ascii="Calibri" w:hAnsi="Calibri" w:cs="Calibri"/>
          <w:sz w:val="22"/>
        </w:rPr>
        <w:t>o</w:t>
      </w:r>
      <w:r w:rsidR="00276D82" w:rsidRPr="00F2205B">
        <w:rPr>
          <w:rFonts w:ascii="Calibri" w:hAnsi="Calibri" w:cs="Calibri"/>
          <w:sz w:val="22"/>
        </w:rPr>
        <w:t>t influenced by the price of the food.</w:t>
      </w:r>
      <w:r w:rsidR="00CD23F8" w:rsidRPr="00F2205B">
        <w:rPr>
          <w:rFonts w:ascii="Calibri" w:hAnsi="Calibri" w:cs="Calibri"/>
          <w:sz w:val="22"/>
        </w:rPr>
        <w:t xml:space="preserve"> A </w:t>
      </w:r>
      <w:r w:rsidR="001752A4" w:rsidRPr="00F2205B">
        <w:rPr>
          <w:rFonts w:ascii="Calibri" w:hAnsi="Calibri" w:cs="Calibri"/>
          <w:sz w:val="22"/>
        </w:rPr>
        <w:t>t</w:t>
      </w:r>
      <w:r w:rsidR="00CD23F8" w:rsidRPr="00F2205B">
        <w:rPr>
          <w:rFonts w:ascii="Calibri" w:hAnsi="Calibri" w:cs="Calibri"/>
          <w:sz w:val="22"/>
        </w:rPr>
        <w:t xml:space="preserve">ax </w:t>
      </w:r>
      <w:r w:rsidR="00577D7F">
        <w:rPr>
          <w:rFonts w:ascii="Calibri" w:hAnsi="Calibri" w:cs="Calibri"/>
          <w:sz w:val="22"/>
        </w:rPr>
        <w:t>credit</w:t>
      </w:r>
      <w:r w:rsidR="00CD23F8" w:rsidRPr="00F2205B">
        <w:rPr>
          <w:rFonts w:ascii="Calibri" w:hAnsi="Calibri" w:cs="Calibri"/>
          <w:sz w:val="22"/>
        </w:rPr>
        <w:t xml:space="preserve"> would</w:t>
      </w:r>
      <w:r w:rsidR="00EB68E2" w:rsidRPr="00F2205B">
        <w:rPr>
          <w:rFonts w:ascii="Calibri" w:hAnsi="Calibri" w:cs="Calibri"/>
          <w:sz w:val="22"/>
        </w:rPr>
        <w:t xml:space="preserve"> decrease the cost to the </w:t>
      </w:r>
      <w:r w:rsidR="00417661" w:rsidRPr="00F2205B">
        <w:rPr>
          <w:rFonts w:ascii="Calibri" w:hAnsi="Calibri" w:cs="Calibri"/>
          <w:sz w:val="22"/>
        </w:rPr>
        <w:t>supplier of donating the excess food,</w:t>
      </w:r>
      <w:r w:rsidR="00CD23F8" w:rsidRPr="00F2205B">
        <w:rPr>
          <w:rFonts w:ascii="Calibri" w:hAnsi="Calibri" w:cs="Calibri"/>
          <w:sz w:val="22"/>
        </w:rPr>
        <w:t xml:space="preserve"> reduce the </w:t>
      </w:r>
      <w:r w:rsidR="001752A4" w:rsidRPr="00F2205B">
        <w:rPr>
          <w:rFonts w:ascii="Calibri" w:hAnsi="Calibri" w:cs="Calibri"/>
          <w:sz w:val="22"/>
        </w:rPr>
        <w:t>m</w:t>
      </w:r>
      <w:r w:rsidR="00CD23F8" w:rsidRPr="00F2205B">
        <w:rPr>
          <w:rFonts w:ascii="Calibri" w:hAnsi="Calibri" w:cs="Calibri"/>
          <w:sz w:val="22"/>
        </w:rPr>
        <w:t>arginal cost of providing that food to the food relief charities</w:t>
      </w:r>
      <w:r w:rsidR="004E6BF0">
        <w:rPr>
          <w:rFonts w:ascii="Calibri" w:hAnsi="Calibri" w:cs="Calibri"/>
          <w:sz w:val="22"/>
        </w:rPr>
        <w:t xml:space="preserve"> (here assumed constant for small changes)</w:t>
      </w:r>
      <w:r w:rsidR="00CD23F8" w:rsidRPr="00F2205B">
        <w:rPr>
          <w:rFonts w:ascii="Calibri" w:hAnsi="Calibri" w:cs="Calibri"/>
          <w:sz w:val="22"/>
        </w:rPr>
        <w:t>.</w:t>
      </w:r>
      <w:r w:rsidR="000F5BE7" w:rsidRPr="00F2205B">
        <w:rPr>
          <w:rFonts w:ascii="Calibri" w:hAnsi="Calibri" w:cs="Calibri"/>
          <w:sz w:val="22"/>
        </w:rPr>
        <w:t xml:space="preserve"> </w:t>
      </w:r>
      <w:r w:rsidR="000E2782" w:rsidRPr="00F2205B">
        <w:rPr>
          <w:rFonts w:ascii="Calibri" w:hAnsi="Calibri" w:cs="Calibri"/>
          <w:sz w:val="22"/>
        </w:rPr>
        <w:t xml:space="preserve">A </w:t>
      </w:r>
      <w:r w:rsidR="007762B7" w:rsidRPr="00F2205B">
        <w:rPr>
          <w:rFonts w:ascii="Calibri" w:hAnsi="Calibri" w:cs="Calibri"/>
          <w:sz w:val="22"/>
        </w:rPr>
        <w:t>supplier’s</w:t>
      </w:r>
      <w:r w:rsidR="000E2782" w:rsidRPr="00F2205B">
        <w:rPr>
          <w:rFonts w:ascii="Calibri" w:hAnsi="Calibri" w:cs="Calibri"/>
          <w:sz w:val="22"/>
        </w:rPr>
        <w:t xml:space="preserve"> choice to donate food would </w:t>
      </w:r>
      <w:r w:rsidR="00C83368" w:rsidRPr="00F2205B">
        <w:rPr>
          <w:rFonts w:ascii="Calibri" w:hAnsi="Calibri" w:cs="Calibri"/>
          <w:sz w:val="22"/>
        </w:rPr>
        <w:t xml:space="preserve">be dependent on a mixture of the costs to the business of supplying the goods, and the social benefit of the </w:t>
      </w:r>
      <w:r w:rsidR="00F819A0" w:rsidRPr="00F2205B">
        <w:rPr>
          <w:rFonts w:ascii="Calibri" w:hAnsi="Calibri" w:cs="Calibri"/>
          <w:sz w:val="22"/>
        </w:rPr>
        <w:t>goods provided. In this instance, the social benefit is determined by individual suppliers, who will have vastly different views on the importance of donations.</w:t>
      </w:r>
      <w:r w:rsidR="00CB760A" w:rsidRPr="00F2205B">
        <w:rPr>
          <w:rFonts w:ascii="Calibri" w:hAnsi="Calibri" w:cs="Calibri"/>
          <w:sz w:val="22"/>
        </w:rPr>
        <w:t xml:space="preserve"> This is shown in </w:t>
      </w:r>
      <w:r w:rsidR="00CB4E46">
        <w:rPr>
          <w:rFonts w:ascii="Calibri" w:hAnsi="Calibri" w:cs="Calibri"/>
          <w:sz w:val="22"/>
        </w:rPr>
        <w:t>Figure</w:t>
      </w:r>
      <w:r w:rsidR="00CB760A" w:rsidRPr="00F2205B">
        <w:rPr>
          <w:rFonts w:ascii="Calibri" w:hAnsi="Calibri" w:cs="Calibri"/>
          <w:sz w:val="22"/>
        </w:rPr>
        <w:t xml:space="preserve"> 1</w:t>
      </w:r>
      <w:r w:rsidR="00BD61DC" w:rsidRPr="00F2205B">
        <w:rPr>
          <w:rFonts w:ascii="Calibri" w:hAnsi="Calibri" w:cs="Calibri"/>
          <w:sz w:val="22"/>
        </w:rPr>
        <w:t xml:space="preserve">. </w:t>
      </w:r>
    </w:p>
    <w:p w14:paraId="53299672" w14:textId="77777777" w:rsidR="00735761" w:rsidRDefault="00735761" w:rsidP="00735761">
      <w:pPr>
        <w:spacing w:after="0" w:line="240" w:lineRule="auto"/>
        <w:jc w:val="both"/>
        <w:rPr>
          <w:rFonts w:ascii="Calibri" w:hAnsi="Calibri" w:cs="Calibri"/>
          <w:sz w:val="22"/>
        </w:rPr>
      </w:pPr>
    </w:p>
    <w:p w14:paraId="1084C3CA" w14:textId="2296B719" w:rsidR="00735761" w:rsidRDefault="00735761" w:rsidP="00735761">
      <w:pPr>
        <w:spacing w:after="0" w:line="240" w:lineRule="auto"/>
        <w:jc w:val="both"/>
        <w:rPr>
          <w:rFonts w:ascii="Calibri" w:hAnsi="Calibri" w:cs="Calibri"/>
          <w:sz w:val="22"/>
        </w:rPr>
      </w:pPr>
      <w:r>
        <w:rPr>
          <w:rFonts w:ascii="Calibri" w:hAnsi="Calibri" w:cs="Calibri"/>
          <w:sz w:val="22"/>
        </w:rPr>
        <w:t xml:space="preserve">Without a tax </w:t>
      </w:r>
      <w:r w:rsidR="00577D7F">
        <w:rPr>
          <w:rFonts w:ascii="Calibri" w:hAnsi="Calibri" w:cs="Calibri"/>
          <w:sz w:val="22"/>
        </w:rPr>
        <w:t>credit</w:t>
      </w:r>
      <w:r>
        <w:rPr>
          <w:rFonts w:ascii="Calibri" w:hAnsi="Calibri" w:cs="Calibri"/>
          <w:sz w:val="22"/>
        </w:rPr>
        <w:t>, Q</w:t>
      </w:r>
      <w:r w:rsidRPr="00CF572E">
        <w:rPr>
          <w:rFonts w:ascii="Calibri" w:hAnsi="Calibri" w:cs="Calibri"/>
          <w:sz w:val="22"/>
          <w:vertAlign w:val="subscript"/>
        </w:rPr>
        <w:t>0</w:t>
      </w:r>
      <w:r>
        <w:rPr>
          <w:rFonts w:ascii="Calibri" w:hAnsi="Calibri" w:cs="Calibri"/>
          <w:sz w:val="22"/>
        </w:rPr>
        <w:t xml:space="preserve"> would be donated. With a tax </w:t>
      </w:r>
      <w:r w:rsidR="00693362">
        <w:rPr>
          <w:rFonts w:ascii="Calibri" w:hAnsi="Calibri" w:cs="Calibri"/>
          <w:sz w:val="22"/>
        </w:rPr>
        <w:t>credit</w:t>
      </w:r>
      <w:r>
        <w:rPr>
          <w:rFonts w:ascii="Calibri" w:hAnsi="Calibri" w:cs="Calibri"/>
          <w:sz w:val="22"/>
        </w:rPr>
        <w:t xml:space="preserve">, marginal cost would </w:t>
      </w:r>
      <w:r w:rsidR="00693362">
        <w:rPr>
          <w:rFonts w:ascii="Calibri" w:hAnsi="Calibri" w:cs="Calibri"/>
          <w:sz w:val="22"/>
        </w:rPr>
        <w:t>be reduced and shift</w:t>
      </w:r>
      <w:r>
        <w:rPr>
          <w:rFonts w:ascii="Calibri" w:hAnsi="Calibri" w:cs="Calibri"/>
          <w:sz w:val="22"/>
        </w:rPr>
        <w:t xml:space="preserve"> to MC</w:t>
      </w:r>
      <w:r w:rsidRPr="00CF572E">
        <w:rPr>
          <w:rFonts w:ascii="Calibri" w:hAnsi="Calibri" w:cs="Calibri"/>
          <w:sz w:val="22"/>
          <w:vertAlign w:val="subscript"/>
        </w:rPr>
        <w:t>1</w:t>
      </w:r>
      <w:r>
        <w:rPr>
          <w:rFonts w:ascii="Calibri" w:hAnsi="Calibri" w:cs="Calibri"/>
          <w:sz w:val="22"/>
        </w:rPr>
        <w:t xml:space="preserve">. </w:t>
      </w:r>
      <w:r w:rsidRPr="00F2205B">
        <w:rPr>
          <w:rFonts w:ascii="Calibri" w:hAnsi="Calibri" w:cs="Calibri"/>
          <w:sz w:val="22"/>
        </w:rPr>
        <w:t>This change to the marginal cost would theoretically increase the total amount of food provided to the charities</w:t>
      </w:r>
      <w:r w:rsidR="003D2537">
        <w:rPr>
          <w:rFonts w:ascii="Calibri" w:hAnsi="Calibri" w:cs="Calibri"/>
          <w:sz w:val="22"/>
        </w:rPr>
        <w:t>, from Q</w:t>
      </w:r>
      <w:r w:rsidR="003D2537" w:rsidRPr="003D2537">
        <w:rPr>
          <w:rFonts w:ascii="Calibri" w:hAnsi="Calibri" w:cs="Calibri"/>
          <w:sz w:val="22"/>
          <w:vertAlign w:val="subscript"/>
        </w:rPr>
        <w:t>0</w:t>
      </w:r>
      <w:r w:rsidRPr="003D2537">
        <w:rPr>
          <w:rFonts w:ascii="Calibri" w:hAnsi="Calibri" w:cs="Calibri"/>
          <w:sz w:val="22"/>
          <w:vertAlign w:val="subscript"/>
        </w:rPr>
        <w:t xml:space="preserve"> </w:t>
      </w:r>
      <w:r>
        <w:rPr>
          <w:rFonts w:ascii="Calibri" w:hAnsi="Calibri" w:cs="Calibri"/>
          <w:sz w:val="22"/>
        </w:rPr>
        <w:t>to Q</w:t>
      </w:r>
      <w:r w:rsidRPr="00CF572E">
        <w:rPr>
          <w:rFonts w:ascii="Calibri" w:hAnsi="Calibri" w:cs="Calibri"/>
          <w:sz w:val="22"/>
          <w:vertAlign w:val="subscript"/>
        </w:rPr>
        <w:t>1</w:t>
      </w:r>
      <w:r w:rsidRPr="00F2205B">
        <w:rPr>
          <w:rFonts w:ascii="Calibri" w:hAnsi="Calibri" w:cs="Calibri"/>
          <w:sz w:val="22"/>
        </w:rPr>
        <w:t xml:space="preserve">. </w:t>
      </w:r>
      <w:r w:rsidR="00840E63">
        <w:rPr>
          <w:rFonts w:ascii="Calibri" w:hAnsi="Calibri" w:cs="Calibri"/>
          <w:sz w:val="22"/>
        </w:rPr>
        <w:t>As with the Katz and Rosen</w:t>
      </w:r>
      <w:r w:rsidR="00690817">
        <w:rPr>
          <w:rFonts w:ascii="Calibri" w:hAnsi="Calibri" w:cs="Calibri"/>
          <w:sz w:val="22"/>
        </w:rPr>
        <w:t xml:space="preserve"> analysis, the amount of the increase in donations </w:t>
      </w:r>
      <w:r w:rsidR="00272630">
        <w:rPr>
          <w:rFonts w:ascii="Calibri" w:hAnsi="Calibri" w:cs="Calibri"/>
          <w:sz w:val="22"/>
        </w:rPr>
        <w:t xml:space="preserve">will depend on </w:t>
      </w:r>
      <w:r w:rsidR="00C9470C">
        <w:rPr>
          <w:rFonts w:ascii="Calibri" w:hAnsi="Calibri" w:cs="Calibri"/>
          <w:sz w:val="22"/>
        </w:rPr>
        <w:t xml:space="preserve">farmer </w:t>
      </w:r>
      <w:r w:rsidR="00272630">
        <w:rPr>
          <w:rFonts w:ascii="Calibri" w:hAnsi="Calibri" w:cs="Calibri"/>
          <w:sz w:val="22"/>
        </w:rPr>
        <w:t>preferences as determined by their indifference curves</w:t>
      </w:r>
      <w:r w:rsidR="00C9470C">
        <w:rPr>
          <w:rFonts w:ascii="Calibri" w:hAnsi="Calibri" w:cs="Calibri"/>
          <w:sz w:val="22"/>
        </w:rPr>
        <w:t xml:space="preserve">, and on </w:t>
      </w:r>
      <w:r w:rsidR="001A5559">
        <w:rPr>
          <w:rFonts w:ascii="Calibri" w:hAnsi="Calibri" w:cs="Calibri"/>
          <w:sz w:val="22"/>
        </w:rPr>
        <w:t>whether there is any slope in the marginal cost curves</w:t>
      </w:r>
      <w:r w:rsidR="00B57F01">
        <w:rPr>
          <w:rFonts w:ascii="Calibri" w:hAnsi="Calibri" w:cs="Calibri"/>
          <w:sz w:val="22"/>
        </w:rPr>
        <w:t>.</w:t>
      </w:r>
    </w:p>
    <w:p w14:paraId="613B7B9E" w14:textId="77777777" w:rsidR="00B57F01" w:rsidRDefault="00B57F01" w:rsidP="00B57F01">
      <w:pPr>
        <w:spacing w:after="0" w:line="240" w:lineRule="auto"/>
        <w:jc w:val="both"/>
        <w:rPr>
          <w:rFonts w:ascii="Calibri" w:hAnsi="Calibri" w:cs="Calibri"/>
          <w:sz w:val="22"/>
        </w:rPr>
      </w:pPr>
    </w:p>
    <w:p w14:paraId="01129DE3" w14:textId="0D9710B5" w:rsidR="00B57F01" w:rsidRPr="00F2205B" w:rsidRDefault="00B57F01" w:rsidP="00B57F01">
      <w:pPr>
        <w:spacing w:after="0" w:line="240" w:lineRule="auto"/>
        <w:jc w:val="both"/>
        <w:rPr>
          <w:rFonts w:ascii="Calibri" w:hAnsi="Calibri" w:cs="Calibri"/>
          <w:sz w:val="22"/>
        </w:rPr>
      </w:pPr>
      <w:r w:rsidRPr="00F2205B">
        <w:rPr>
          <w:rFonts w:ascii="Calibri" w:hAnsi="Calibri" w:cs="Calibri"/>
          <w:sz w:val="22"/>
        </w:rPr>
        <w:t xml:space="preserve">KPMG’s report acknowledged that significant more work would be necessary to determine </w:t>
      </w:r>
      <w:r w:rsidR="00AD4B82">
        <w:rPr>
          <w:rFonts w:ascii="Calibri" w:hAnsi="Calibri" w:cs="Calibri"/>
          <w:sz w:val="22"/>
        </w:rPr>
        <w:t xml:space="preserve">many of these </w:t>
      </w:r>
      <w:r w:rsidRPr="00F2205B">
        <w:rPr>
          <w:rFonts w:ascii="Calibri" w:hAnsi="Calibri" w:cs="Calibri"/>
          <w:sz w:val="22"/>
        </w:rPr>
        <w:t>factors, including how to determine the value of the food donated, and what percentage of its shelf-value should be provided as tax relief.</w:t>
      </w:r>
    </w:p>
    <w:p w14:paraId="7716F216" w14:textId="77777777" w:rsidR="00890F5C" w:rsidRPr="00F2205B" w:rsidRDefault="00890F5C" w:rsidP="00F2205B">
      <w:pPr>
        <w:spacing w:after="0" w:line="240" w:lineRule="auto"/>
        <w:jc w:val="both"/>
        <w:rPr>
          <w:rFonts w:ascii="Calibri" w:hAnsi="Calibri" w:cs="Calibri"/>
          <w:sz w:val="22"/>
        </w:rPr>
      </w:pPr>
    </w:p>
    <w:p w14:paraId="054AC01A" w14:textId="77777777" w:rsidR="00AD4B82" w:rsidRDefault="00AD4B82" w:rsidP="00890F5C">
      <w:pPr>
        <w:spacing w:after="0" w:line="240" w:lineRule="auto"/>
        <w:jc w:val="center"/>
        <w:rPr>
          <w:rFonts w:ascii="Calibri" w:hAnsi="Calibri" w:cs="Calibri"/>
          <w:b/>
          <w:bCs/>
          <w:sz w:val="22"/>
        </w:rPr>
      </w:pPr>
    </w:p>
    <w:p w14:paraId="594C8C97" w14:textId="7768A9E5" w:rsidR="00890F5C" w:rsidRPr="00890F5C" w:rsidRDefault="00CB4E46" w:rsidP="00890F5C">
      <w:pPr>
        <w:spacing w:after="0" w:line="240" w:lineRule="auto"/>
        <w:jc w:val="center"/>
        <w:rPr>
          <w:rFonts w:ascii="Calibri" w:hAnsi="Calibri" w:cs="Calibri"/>
          <w:b/>
          <w:bCs/>
          <w:sz w:val="22"/>
        </w:rPr>
      </w:pPr>
      <w:r>
        <w:rPr>
          <w:rFonts w:ascii="Calibri" w:hAnsi="Calibri" w:cs="Calibri"/>
          <w:b/>
          <w:bCs/>
          <w:sz w:val="22"/>
        </w:rPr>
        <w:lastRenderedPageBreak/>
        <w:t>Figure</w:t>
      </w:r>
      <w:r w:rsidR="00CB760A" w:rsidRPr="00890F5C">
        <w:rPr>
          <w:rFonts w:ascii="Calibri" w:hAnsi="Calibri" w:cs="Calibri"/>
          <w:b/>
          <w:bCs/>
          <w:sz w:val="22"/>
        </w:rPr>
        <w:t xml:space="preserve"> 1</w:t>
      </w:r>
      <w:r w:rsidR="00890F5C">
        <w:rPr>
          <w:rFonts w:ascii="Calibri" w:hAnsi="Calibri" w:cs="Calibri"/>
          <w:b/>
          <w:bCs/>
          <w:sz w:val="22"/>
        </w:rPr>
        <w:t>.</w:t>
      </w:r>
      <w:r w:rsidR="00CB760A" w:rsidRPr="00890F5C">
        <w:rPr>
          <w:rFonts w:ascii="Calibri" w:hAnsi="Calibri" w:cs="Calibri"/>
          <w:b/>
          <w:bCs/>
          <w:sz w:val="22"/>
        </w:rPr>
        <w:t xml:space="preserve"> A theoretical model of </w:t>
      </w:r>
      <w:r w:rsidR="00F879D8" w:rsidRPr="00890F5C">
        <w:rPr>
          <w:rFonts w:ascii="Calibri" w:hAnsi="Calibri" w:cs="Calibri"/>
          <w:b/>
          <w:bCs/>
          <w:sz w:val="22"/>
        </w:rPr>
        <w:t xml:space="preserve">how individual food producers may </w:t>
      </w:r>
      <w:r w:rsidR="00E61DF4" w:rsidRPr="00890F5C">
        <w:rPr>
          <w:rFonts w:ascii="Calibri" w:hAnsi="Calibri" w:cs="Calibri"/>
          <w:b/>
          <w:bCs/>
          <w:sz w:val="22"/>
        </w:rPr>
        <w:t>be influenced to increase the amount of food donated if tax credits were implemented</w:t>
      </w:r>
    </w:p>
    <w:p w14:paraId="66A8868E" w14:textId="46522B1B" w:rsidR="00CB760A" w:rsidRPr="00F2205B" w:rsidRDefault="00E61DF4" w:rsidP="00F2205B">
      <w:pPr>
        <w:spacing w:after="0" w:line="240" w:lineRule="auto"/>
        <w:jc w:val="both"/>
        <w:rPr>
          <w:rFonts w:ascii="Calibri" w:hAnsi="Calibri" w:cs="Calibri"/>
          <w:sz w:val="22"/>
        </w:rPr>
      </w:pPr>
      <w:r w:rsidRPr="00F2205B">
        <w:rPr>
          <w:rFonts w:ascii="Calibri" w:hAnsi="Calibri" w:cs="Calibri"/>
          <w:noProof/>
          <w:sz w:val="22"/>
        </w:rPr>
        <mc:AlternateContent>
          <mc:Choice Requires="wpc">
            <w:drawing>
              <wp:inline distT="0" distB="0" distL="0" distR="0" wp14:anchorId="26EAA298" wp14:editId="241DD7B6">
                <wp:extent cx="5731510" cy="3120390"/>
                <wp:effectExtent l="0" t="0" r="2540" b="3810"/>
                <wp:docPr id="673888027"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92740279" name="Straight Arrow Connector 1992740279"/>
                        <wps:cNvCnPr/>
                        <wps:spPr>
                          <a:xfrm flipV="1">
                            <a:off x="671945" y="277091"/>
                            <a:ext cx="0" cy="243147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608464845" name="Straight Arrow Connector 1608464845"/>
                        <wps:cNvCnPr/>
                        <wps:spPr>
                          <a:xfrm>
                            <a:off x="671945" y="2701637"/>
                            <a:ext cx="3782291"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789447012" name="Text Box 789447012"/>
                        <wps:cNvSpPr txBox="1"/>
                        <wps:spPr>
                          <a:xfrm>
                            <a:off x="484908" y="41564"/>
                            <a:ext cx="502920" cy="311785"/>
                          </a:xfrm>
                          <a:prstGeom prst="rect">
                            <a:avLst/>
                          </a:prstGeom>
                          <a:noFill/>
                          <a:ln w="6350">
                            <a:noFill/>
                          </a:ln>
                        </wps:spPr>
                        <wps:txbx>
                          <w:txbxContent>
                            <w:p w14:paraId="21703695" w14:textId="77777777" w:rsidR="00E61DF4" w:rsidRDefault="00E61DF4" w:rsidP="00E13612">
                              <w:r>
                                <w:t>Price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12338066" name="Text Box 1"/>
                        <wps:cNvSpPr txBox="1"/>
                        <wps:spPr>
                          <a:xfrm>
                            <a:off x="4516473" y="2507564"/>
                            <a:ext cx="722630" cy="311785"/>
                          </a:xfrm>
                          <a:prstGeom prst="rect">
                            <a:avLst/>
                          </a:prstGeom>
                          <a:noFill/>
                          <a:ln w="6350">
                            <a:noFill/>
                          </a:ln>
                        </wps:spPr>
                        <wps:txbx>
                          <w:txbxContent>
                            <w:p w14:paraId="68EABF74" w14:textId="77777777" w:rsidR="00E61DF4" w:rsidRDefault="00E61DF4" w:rsidP="00E13612">
                              <w:pPr>
                                <w:rPr>
                                  <w14:ligatures w14:val="none"/>
                                </w:rPr>
                              </w:pPr>
                              <w:r>
                                <w:t>Quantity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47146652" name="Text Box 1"/>
                        <wps:cNvSpPr txBox="1"/>
                        <wps:spPr>
                          <a:xfrm>
                            <a:off x="2520153" y="2671109"/>
                            <a:ext cx="350520" cy="311785"/>
                          </a:xfrm>
                          <a:prstGeom prst="rect">
                            <a:avLst/>
                          </a:prstGeom>
                          <a:noFill/>
                          <a:ln w="6350">
                            <a:noFill/>
                          </a:ln>
                        </wps:spPr>
                        <wps:txbx>
                          <w:txbxContent>
                            <w:p w14:paraId="10BFB05E" w14:textId="77777777" w:rsidR="00E61DF4" w:rsidRPr="00E83B03" w:rsidRDefault="00E61DF4" w:rsidP="00E13612">
                              <w:pPr>
                                <w:rPr>
                                  <w14:ligatures w14:val="none"/>
                                </w:rPr>
                              </w:pPr>
                              <w:r w:rsidRPr="00E83B03">
                                <w:t>Q</w:t>
                              </w:r>
                              <w:r w:rsidRPr="00E83B03">
                                <w:rPr>
                                  <w:vertAlign w:val="subscript"/>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8579267" name="Text Box 1"/>
                        <wps:cNvSpPr txBox="1"/>
                        <wps:spPr>
                          <a:xfrm>
                            <a:off x="2146655" y="2659044"/>
                            <a:ext cx="350520" cy="323850"/>
                          </a:xfrm>
                          <a:prstGeom prst="rect">
                            <a:avLst/>
                          </a:prstGeom>
                          <a:noFill/>
                          <a:ln w="6350">
                            <a:noFill/>
                          </a:ln>
                        </wps:spPr>
                        <wps:txbx>
                          <w:txbxContent>
                            <w:p w14:paraId="24DDB6DB" w14:textId="77777777" w:rsidR="00E61DF4" w:rsidRPr="00E83B03" w:rsidRDefault="00E61DF4" w:rsidP="00E13612">
                              <w:pPr>
                                <w:rPr>
                                  <w14:ligatures w14:val="none"/>
                                </w:rPr>
                              </w:pPr>
                              <w:r w:rsidRPr="00E83B03">
                                <w:t>Q</w:t>
                              </w:r>
                              <w:r w:rsidRPr="00E83B03">
                                <w:rPr>
                                  <w:position w:val="-6"/>
                                  <w:vertAlign w:val="subscript"/>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16392183" name="Straight Connector 516392183"/>
                        <wps:cNvCnPr/>
                        <wps:spPr>
                          <a:xfrm>
                            <a:off x="2312295" y="2055813"/>
                            <a:ext cx="0" cy="63947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669438536" name="Text Box 1"/>
                        <wps:cNvSpPr txBox="1"/>
                        <wps:spPr>
                          <a:xfrm>
                            <a:off x="1722302" y="1484588"/>
                            <a:ext cx="1939925" cy="305435"/>
                          </a:xfrm>
                          <a:prstGeom prst="rect">
                            <a:avLst/>
                          </a:prstGeom>
                          <a:noFill/>
                          <a:ln w="6350">
                            <a:noFill/>
                          </a:ln>
                        </wps:spPr>
                        <wps:txbx>
                          <w:txbxContent>
                            <w:p w14:paraId="68BCA594" w14:textId="77777777" w:rsidR="00E61DF4" w:rsidRPr="00296DEA" w:rsidRDefault="00E61DF4" w:rsidP="00E13612">
                              <w:pPr>
                                <w:rPr>
                                  <w:sz w:val="20"/>
                                  <w:szCs w:val="20"/>
                                  <w14:ligatures w14:val="none"/>
                                </w:rPr>
                              </w:pPr>
                              <w:r w:rsidRPr="00296DEA">
                                <w:rPr>
                                  <w:sz w:val="20"/>
                                  <w:szCs w:val="20"/>
                                </w:rPr>
                                <w:t>Perceived Marginal Social Benefit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46650864" name="Straight Connector 646650864"/>
                        <wps:cNvCnPr/>
                        <wps:spPr>
                          <a:xfrm flipH="1">
                            <a:off x="671945" y="2062163"/>
                            <a:ext cx="3714318"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106804910" name="Straight Connector 2106804910"/>
                        <wps:cNvCnPr/>
                        <wps:spPr>
                          <a:xfrm flipH="1">
                            <a:off x="672148" y="2313283"/>
                            <a:ext cx="371411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442820748" name="Text Box 1"/>
                        <wps:cNvSpPr txBox="1"/>
                        <wps:spPr>
                          <a:xfrm>
                            <a:off x="4309087" y="2202129"/>
                            <a:ext cx="477520" cy="305435"/>
                          </a:xfrm>
                          <a:prstGeom prst="rect">
                            <a:avLst/>
                          </a:prstGeom>
                          <a:noFill/>
                          <a:ln w="6350">
                            <a:noFill/>
                          </a:ln>
                        </wps:spPr>
                        <wps:txbx>
                          <w:txbxContent>
                            <w:p w14:paraId="28291D8C" w14:textId="77777777" w:rsidR="00E61DF4" w:rsidRDefault="00E61DF4" w:rsidP="00E13612">
                              <w:pPr>
                                <w:rPr>
                                  <w14:ligatures w14:val="none"/>
                                </w:rPr>
                              </w:pPr>
                              <w:r>
                                <w:t>MC</w:t>
                              </w:r>
                              <w:r w:rsidRPr="001E62F8">
                                <w:rPr>
                                  <w:vertAlign w:val="subscript"/>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8624229" name="Text Box 1"/>
                        <wps:cNvSpPr txBox="1"/>
                        <wps:spPr>
                          <a:xfrm>
                            <a:off x="4309087" y="1951650"/>
                            <a:ext cx="477520" cy="305435"/>
                          </a:xfrm>
                          <a:prstGeom prst="rect">
                            <a:avLst/>
                          </a:prstGeom>
                          <a:noFill/>
                          <a:ln w="6350">
                            <a:noFill/>
                          </a:ln>
                        </wps:spPr>
                        <wps:txbx>
                          <w:txbxContent>
                            <w:p w14:paraId="4C5F4439" w14:textId="77777777" w:rsidR="00E61DF4" w:rsidRDefault="00E61DF4" w:rsidP="00E13612">
                              <w:pPr>
                                <w:rPr>
                                  <w14:ligatures w14:val="none"/>
                                </w:rPr>
                              </w:pPr>
                              <w:r>
                                <w:t>MC</w:t>
                              </w:r>
                              <w:r>
                                <w:rPr>
                                  <w:position w:val="-4"/>
                                  <w:vertAlign w:val="subscript"/>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66165539" name="Straight Connector 1166165539"/>
                        <wps:cNvCnPr/>
                        <wps:spPr>
                          <a:xfrm>
                            <a:off x="2660310" y="2300288"/>
                            <a:ext cx="6690" cy="394999"/>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2019118901" name="Straight Connector 2019118901"/>
                        <wps:cNvCnPr/>
                        <wps:spPr>
                          <a:xfrm>
                            <a:off x="679450" y="831850"/>
                            <a:ext cx="2476500" cy="185420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6EAA298" id="Canvas 3" o:spid="_x0000_s1026" editas="canvas" style="width:451.3pt;height:245.7pt;mso-position-horizontal-relative:char;mso-position-vertical-relative:line" coordsize="57315,3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1203;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1992740279" o:spid="_x0000_s1028" type="#_x0000_t32" style="position:absolute;left:6719;top:2770;width:0;height:24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" strokecolor="#156082 [3204]" strokeweight="1.5pt">
                  <v:stroke endarrow="block" joinstyle="miter"/>
                </v:shape>
                <v:shape id="Straight Arrow Connector 1608464845" o:spid="_x0000_s1029" type="#_x0000_t32" style="position:absolute;left:6719;top:27016;width:378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" strokecolor="#156082 [3204]" strokeweight="1.5pt">
                  <v:stroke endarrow="block" joinstyle="miter"/>
                </v:shape>
                <v:shapetype id="_x0000_t202" coordsize="21600,21600" o:spt="202" path="m,l,21600r21600,l21600,xe">
                  <v:stroke joinstyle="miter"/>
                  <v:path gradientshapeok="t" o:connecttype="rect"/>
                </v:shapetype>
                <v:shape id="Text Box 789447012" o:spid="_x0000_s1030" type="#_x0000_t202" style="position:absolute;left:4849;top:415;width:502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" filled="f" stroked="f" strokeweight=".5pt">
                  <v:textbox>
                    <w:txbxContent>
                      <w:p w14:paraId="21703695" w14:textId="77777777" w:rsidR="00E61DF4" w:rsidRDefault="00E61DF4" w:rsidP="00E13612">
                        <w:r>
                          <w:t>Price</w:t>
                        </w:r>
                      </w:p>
                    </w:txbxContent>
                  </v:textbox>
                </v:shape>
                <v:shape id="_x0000_s1031" type="#_x0000_t202" style="position:absolute;left:45164;top:25075;width:7227;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" filled="f" stroked="f" strokeweight=".5pt">
                  <v:textbox>
                    <w:txbxContent>
                      <w:p w14:paraId="68EABF74" w14:textId="77777777" w:rsidR="00E61DF4" w:rsidRDefault="00E61DF4" w:rsidP="00E13612">
                        <w:pPr>
                          <w:rPr>
                            <w14:ligatures w14:val="none"/>
                          </w:rPr>
                        </w:pPr>
                        <w:r>
                          <w:t>Quantity</w:t>
                        </w:r>
                      </w:p>
                    </w:txbxContent>
                  </v:textbox>
                </v:shape>
                <v:shape id="_x0000_s1032" type="#_x0000_t202" style="position:absolute;left:25201;top:26711;width:3505;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" filled="f" stroked="f" strokeweight=".5pt">
                  <v:textbox>
                    <w:txbxContent>
                      <w:p w14:paraId="10BFB05E" w14:textId="77777777" w:rsidR="00E61DF4" w:rsidRPr="00E83B03" w:rsidRDefault="00E61DF4" w:rsidP="00E13612">
                        <w:pPr>
                          <w:rPr>
                            <w14:ligatures w14:val="none"/>
                          </w:rPr>
                        </w:pPr>
                        <w:r w:rsidRPr="00E83B03">
                          <w:t>Q</w:t>
                        </w:r>
                        <w:r w:rsidRPr="00E83B03">
                          <w:rPr>
                            <w:vertAlign w:val="subscript"/>
                          </w:rPr>
                          <w:t>1</w:t>
                        </w:r>
                      </w:p>
                    </w:txbxContent>
                  </v:textbox>
                </v:shape>
                <v:shape id="_x0000_s1033" type="#_x0000_t202" style="position:absolute;left:21466;top:26590;width:3505;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" filled="f" stroked="f" strokeweight=".5pt">
                  <v:textbox>
                    <w:txbxContent>
                      <w:p w14:paraId="24DDB6DB" w14:textId="77777777" w:rsidR="00E61DF4" w:rsidRPr="00E83B03" w:rsidRDefault="00E61DF4" w:rsidP="00E13612">
                        <w:pPr>
                          <w:rPr>
                            <w14:ligatures w14:val="none"/>
                          </w:rPr>
                        </w:pPr>
                        <w:r w:rsidRPr="00E83B03">
                          <w:t>Q</w:t>
                        </w:r>
                        <w:r w:rsidRPr="00E83B03">
                          <w:rPr>
                            <w:position w:val="-6"/>
                            <w:vertAlign w:val="subscript"/>
                          </w:rPr>
                          <w:t>0</w:t>
                        </w:r>
                      </w:p>
                    </w:txbxContent>
                  </v:textbox>
                </v:shape>
                <v:line id="Straight Connector 516392183" o:spid="_x0000_s1034" style="position:absolute;visibility:visible;mso-wrap-style:square" from="23122,20558" to="23122,2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" strokecolor="#156082 [3204]" strokeweight=".5pt">
                  <v:stroke dashstyle="3 1" joinstyle="miter"/>
                </v:line>
                <v:shape id="_x0000_s1035" type="#_x0000_t202" style="position:absolute;left:17223;top:14845;width:19399;height:3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" filled="f" stroked="f" strokeweight=".5pt">
                  <v:textbox>
                    <w:txbxContent>
                      <w:p w14:paraId="68BCA594" w14:textId="77777777" w:rsidR="00E61DF4" w:rsidRPr="00296DEA" w:rsidRDefault="00E61DF4" w:rsidP="00E13612">
                        <w:pPr>
                          <w:rPr>
                            <w:sz w:val="20"/>
                            <w:szCs w:val="20"/>
                            <w14:ligatures w14:val="none"/>
                          </w:rPr>
                        </w:pPr>
                        <w:r w:rsidRPr="00296DEA">
                          <w:rPr>
                            <w:sz w:val="20"/>
                            <w:szCs w:val="20"/>
                          </w:rPr>
                          <w:t>Perceived Marginal Social Benefit</w:t>
                        </w:r>
                      </w:p>
                    </w:txbxContent>
                  </v:textbox>
                </v:shape>
                <v:line id="Straight Connector 646650864" o:spid="_x0000_s1036" style="position:absolute;flip:x;visibility:visible;mso-wrap-style:square" from="6719,20621" to="43862,2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" strokecolor="#156082 [3204]">
                  <v:stroke joinstyle="miter"/>
                </v:line>
                <v:line id="Straight Connector 2106804910" o:spid="_x0000_s1037" style="position:absolute;flip:x;visibility:visible;mso-wrap-style:square" from="6721,23132" to="43862,2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" strokecolor="#156082 [3204]">
                  <v:stroke joinstyle="miter"/>
                </v:line>
                <v:shape id="_x0000_s1038" type="#_x0000_t202" style="position:absolute;left:43090;top:22021;width:4776;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" filled="f" stroked="f" strokeweight=".5pt">
                  <v:textbox>
                    <w:txbxContent>
                      <w:p w14:paraId="28291D8C" w14:textId="77777777" w:rsidR="00E61DF4" w:rsidRDefault="00E61DF4" w:rsidP="00E13612">
                        <w:pPr>
                          <w:rPr>
                            <w14:ligatures w14:val="none"/>
                          </w:rPr>
                        </w:pPr>
                        <w:r>
                          <w:t>MC</w:t>
                        </w:r>
                        <w:r w:rsidRPr="001E62F8">
                          <w:rPr>
                            <w:vertAlign w:val="subscript"/>
                          </w:rPr>
                          <w:t>1</w:t>
                        </w:r>
                      </w:p>
                    </w:txbxContent>
                  </v:textbox>
                </v:shape>
                <v:shape id="_x0000_s1039" type="#_x0000_t202" style="position:absolute;left:43090;top:19516;width:4776;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" filled="f" stroked="f" strokeweight=".5pt">
                  <v:textbox>
                    <w:txbxContent>
                      <w:p w14:paraId="4C5F4439" w14:textId="77777777" w:rsidR="00E61DF4" w:rsidRDefault="00E61DF4" w:rsidP="00E13612">
                        <w:pPr>
                          <w:rPr>
                            <w14:ligatures w14:val="none"/>
                          </w:rPr>
                        </w:pPr>
                        <w:r>
                          <w:t>MC</w:t>
                        </w:r>
                        <w:r>
                          <w:rPr>
                            <w:position w:val="-4"/>
                            <w:vertAlign w:val="subscript"/>
                          </w:rPr>
                          <w:t>0</w:t>
                        </w:r>
                      </w:p>
                    </w:txbxContent>
                  </v:textbox>
                </v:shape>
                <v:line id="Straight Connector 1166165539" o:spid="_x0000_s1040" style="position:absolute;visibility:visible;mso-wrap-style:square" from="26603,23002" to="26670,2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" strokecolor="#156082 [3204]" strokeweight=".5pt">
                  <v:stroke dashstyle="3 1" joinstyle="miter"/>
                </v:line>
                <v:line id="Straight Connector 2019118901" o:spid="_x0000_s1041" style="position:absolute;visibility:visible;mso-wrap-style:square" from="6794,8318" to="31559,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" strokecolor="#156082 [3204]" strokeweight=".5pt">
                  <v:stroke joinstyle="miter"/>
                </v:line>
                <w10:anchorlock/>
              </v:group>
            </w:pict>
          </mc:Fallback>
        </mc:AlternateContent>
      </w:r>
    </w:p>
    <w:p w14:paraId="6391C2D1" w14:textId="2B97D731" w:rsidR="00AF7058" w:rsidRPr="00F2205B" w:rsidRDefault="00580B7B" w:rsidP="00F2205B">
      <w:pPr>
        <w:spacing w:after="0" w:line="240" w:lineRule="auto"/>
        <w:jc w:val="both"/>
        <w:rPr>
          <w:rFonts w:ascii="Calibri" w:hAnsi="Calibri" w:cs="Calibri"/>
          <w:sz w:val="22"/>
        </w:rPr>
      </w:pPr>
      <w:r w:rsidRPr="00F2205B">
        <w:rPr>
          <w:rFonts w:ascii="Calibri" w:hAnsi="Calibri" w:cs="Calibri"/>
          <w:sz w:val="22"/>
        </w:rPr>
        <w:t xml:space="preserve">Even in this model, there are </w:t>
      </w:r>
      <w:r w:rsidR="00D364D0" w:rsidRPr="00F2205B">
        <w:rPr>
          <w:rFonts w:ascii="Calibri" w:hAnsi="Calibri" w:cs="Calibri"/>
          <w:sz w:val="22"/>
        </w:rPr>
        <w:t>several</w:t>
      </w:r>
      <w:r w:rsidRPr="00F2205B">
        <w:rPr>
          <w:rFonts w:ascii="Calibri" w:hAnsi="Calibri" w:cs="Calibri"/>
          <w:sz w:val="22"/>
        </w:rPr>
        <w:t xml:space="preserve"> factors that would impact the ability of farms to donate food, including:</w:t>
      </w:r>
    </w:p>
    <w:p w14:paraId="7247C725" w14:textId="6BBD6D45" w:rsidR="008B64D2" w:rsidRPr="00F2205B" w:rsidRDefault="00580B7B" w:rsidP="00F2205B">
      <w:pPr>
        <w:pStyle w:val="ListParagraph"/>
        <w:numPr>
          <w:ilvl w:val="0"/>
          <w:numId w:val="14"/>
        </w:numPr>
        <w:spacing w:after="0" w:line="240" w:lineRule="auto"/>
        <w:ind w:left="0" w:firstLine="0"/>
        <w:jc w:val="both"/>
        <w:rPr>
          <w:rFonts w:ascii="Calibri" w:hAnsi="Calibri" w:cs="Calibri"/>
          <w:noProof/>
          <w:sz w:val="22"/>
        </w:rPr>
      </w:pPr>
      <w:r w:rsidRPr="00F2205B">
        <w:rPr>
          <w:rFonts w:ascii="Calibri" w:hAnsi="Calibri" w:cs="Calibri"/>
          <w:noProof/>
          <w:sz w:val="22"/>
        </w:rPr>
        <w:t xml:space="preserve">Farms that are not currently profitable would not be able to use the tax deductions to reduce the financial impact of the donations. While they would likely be able to carry tax losses forward, </w:t>
      </w:r>
      <w:r w:rsidR="008B64D2" w:rsidRPr="00F2205B">
        <w:rPr>
          <w:rFonts w:ascii="Calibri" w:hAnsi="Calibri" w:cs="Calibri"/>
          <w:noProof/>
          <w:sz w:val="22"/>
        </w:rPr>
        <w:t>this impact to current financial performance may make it unfeasable.</w:t>
      </w:r>
    </w:p>
    <w:p w14:paraId="1DAECC31" w14:textId="3FCE1162" w:rsidR="00B74F3F" w:rsidRPr="00F2205B" w:rsidRDefault="008C7851" w:rsidP="00F2205B">
      <w:pPr>
        <w:pStyle w:val="ListParagraph"/>
        <w:numPr>
          <w:ilvl w:val="0"/>
          <w:numId w:val="14"/>
        </w:numPr>
        <w:spacing w:after="0" w:line="240" w:lineRule="auto"/>
        <w:ind w:left="0" w:firstLine="0"/>
        <w:jc w:val="both"/>
        <w:rPr>
          <w:rFonts w:ascii="Calibri" w:hAnsi="Calibri" w:cs="Calibri"/>
          <w:noProof/>
          <w:sz w:val="22"/>
        </w:rPr>
      </w:pPr>
      <w:r w:rsidRPr="00F2205B">
        <w:rPr>
          <w:rFonts w:ascii="Calibri" w:hAnsi="Calibri" w:cs="Calibri"/>
          <w:noProof/>
          <w:sz w:val="22"/>
        </w:rPr>
        <w:t>Th</w:t>
      </w:r>
      <w:r w:rsidR="00C20ABA">
        <w:rPr>
          <w:rFonts w:ascii="Calibri" w:hAnsi="Calibri" w:cs="Calibri"/>
          <w:noProof/>
          <w:sz w:val="22"/>
        </w:rPr>
        <w:t>e</w:t>
      </w:r>
      <w:r w:rsidRPr="00F2205B">
        <w:rPr>
          <w:rFonts w:ascii="Calibri" w:hAnsi="Calibri" w:cs="Calibri"/>
          <w:noProof/>
          <w:sz w:val="22"/>
        </w:rPr>
        <w:t xml:space="preserve"> impos</w:t>
      </w:r>
      <w:r w:rsidR="00C20ABA">
        <w:rPr>
          <w:rFonts w:ascii="Calibri" w:hAnsi="Calibri" w:cs="Calibri"/>
          <w:noProof/>
          <w:sz w:val="22"/>
        </w:rPr>
        <w:t>ition</w:t>
      </w:r>
      <w:r w:rsidR="00C20F48">
        <w:rPr>
          <w:rFonts w:ascii="Calibri" w:hAnsi="Calibri" w:cs="Calibri"/>
          <w:noProof/>
          <w:sz w:val="22"/>
        </w:rPr>
        <w:t xml:space="preserve"> of </w:t>
      </w:r>
      <w:r w:rsidRPr="00F2205B">
        <w:rPr>
          <w:rFonts w:ascii="Calibri" w:hAnsi="Calibri" w:cs="Calibri"/>
          <w:noProof/>
          <w:sz w:val="22"/>
        </w:rPr>
        <w:t xml:space="preserve">additional </w:t>
      </w:r>
      <w:r w:rsidR="00986253" w:rsidRPr="00F2205B">
        <w:rPr>
          <w:rFonts w:ascii="Calibri" w:hAnsi="Calibri" w:cs="Calibri"/>
          <w:noProof/>
          <w:sz w:val="22"/>
        </w:rPr>
        <w:t xml:space="preserve">administrative burdens </w:t>
      </w:r>
      <w:r w:rsidR="00107A1F">
        <w:rPr>
          <w:rFonts w:ascii="Calibri" w:hAnsi="Calibri" w:cs="Calibri"/>
          <w:noProof/>
          <w:sz w:val="22"/>
        </w:rPr>
        <w:t>on</w:t>
      </w:r>
      <w:r w:rsidR="00986253" w:rsidRPr="00F2205B">
        <w:rPr>
          <w:rFonts w:ascii="Calibri" w:hAnsi="Calibri" w:cs="Calibri"/>
          <w:noProof/>
          <w:sz w:val="22"/>
        </w:rPr>
        <w:t xml:space="preserve"> farms to track and document charitable donations. These additional burdens may be small </w:t>
      </w:r>
      <w:r w:rsidR="00107A1F">
        <w:rPr>
          <w:rFonts w:ascii="Calibri" w:hAnsi="Calibri" w:cs="Calibri"/>
          <w:noProof/>
          <w:sz w:val="22"/>
        </w:rPr>
        <w:t>for</w:t>
      </w:r>
      <w:r w:rsidR="00986253" w:rsidRPr="00F2205B">
        <w:rPr>
          <w:rFonts w:ascii="Calibri" w:hAnsi="Calibri" w:cs="Calibri"/>
          <w:noProof/>
          <w:sz w:val="22"/>
        </w:rPr>
        <w:t xml:space="preserve"> larger farming corporations, but will </w:t>
      </w:r>
      <w:r w:rsidR="00B74F3F" w:rsidRPr="00F2205B">
        <w:rPr>
          <w:rFonts w:ascii="Calibri" w:hAnsi="Calibri" w:cs="Calibri"/>
          <w:noProof/>
          <w:sz w:val="22"/>
        </w:rPr>
        <w:t xml:space="preserve">likely be more </w:t>
      </w:r>
      <w:r w:rsidR="00107A1F">
        <w:rPr>
          <w:rFonts w:ascii="Calibri" w:hAnsi="Calibri" w:cs="Calibri"/>
          <w:noProof/>
          <w:sz w:val="22"/>
        </w:rPr>
        <w:t>onerous</w:t>
      </w:r>
      <w:r w:rsidR="00B74F3F" w:rsidRPr="00F2205B">
        <w:rPr>
          <w:rFonts w:ascii="Calibri" w:hAnsi="Calibri" w:cs="Calibri"/>
          <w:noProof/>
          <w:sz w:val="22"/>
        </w:rPr>
        <w:t xml:space="preserve"> for smaller farms.</w:t>
      </w:r>
    </w:p>
    <w:p w14:paraId="132E5498" w14:textId="59810EDA" w:rsidR="00580B7B" w:rsidRPr="00F2205B" w:rsidRDefault="001A2686" w:rsidP="00F2205B">
      <w:pPr>
        <w:pStyle w:val="ListParagraph"/>
        <w:numPr>
          <w:ilvl w:val="0"/>
          <w:numId w:val="14"/>
        </w:numPr>
        <w:spacing w:after="0" w:line="240" w:lineRule="auto"/>
        <w:ind w:left="0" w:firstLine="0"/>
        <w:jc w:val="both"/>
        <w:rPr>
          <w:rFonts w:ascii="Calibri" w:hAnsi="Calibri" w:cs="Calibri"/>
          <w:noProof/>
          <w:sz w:val="22"/>
        </w:rPr>
      </w:pPr>
      <w:r>
        <w:rPr>
          <w:rFonts w:ascii="Calibri" w:hAnsi="Calibri" w:cs="Calibri"/>
          <w:noProof/>
          <w:sz w:val="22"/>
        </w:rPr>
        <w:t>A</w:t>
      </w:r>
      <w:r w:rsidR="002C57B4" w:rsidRPr="00F2205B">
        <w:rPr>
          <w:rFonts w:ascii="Calibri" w:hAnsi="Calibri" w:cs="Calibri"/>
          <w:noProof/>
          <w:sz w:val="22"/>
        </w:rPr>
        <w:t xml:space="preserve"> financial incentive to farmers to donate excess</w:t>
      </w:r>
      <w:r w:rsidR="000426A7" w:rsidRPr="00F2205B">
        <w:rPr>
          <w:rFonts w:ascii="Calibri" w:hAnsi="Calibri" w:cs="Calibri"/>
          <w:noProof/>
          <w:sz w:val="22"/>
        </w:rPr>
        <w:t xml:space="preserve"> food may incentivise poor behaviour for farmers to attempt to donate poorer quality </w:t>
      </w:r>
      <w:r w:rsidR="009F0613" w:rsidRPr="00F2205B">
        <w:rPr>
          <w:rFonts w:ascii="Calibri" w:hAnsi="Calibri" w:cs="Calibri"/>
          <w:noProof/>
          <w:sz w:val="22"/>
        </w:rPr>
        <w:t xml:space="preserve">food that would not be usable for </w:t>
      </w:r>
      <w:r w:rsidR="00435912">
        <w:rPr>
          <w:rFonts w:ascii="Calibri" w:hAnsi="Calibri" w:cs="Calibri"/>
          <w:noProof/>
          <w:sz w:val="22"/>
        </w:rPr>
        <w:t>commercial</w:t>
      </w:r>
      <w:r w:rsidR="009F0613" w:rsidRPr="00F2205B">
        <w:rPr>
          <w:rFonts w:ascii="Calibri" w:hAnsi="Calibri" w:cs="Calibri"/>
          <w:noProof/>
          <w:sz w:val="22"/>
        </w:rPr>
        <w:t xml:space="preserve"> sales</w:t>
      </w:r>
      <w:r w:rsidR="00435912">
        <w:rPr>
          <w:rFonts w:ascii="Calibri" w:hAnsi="Calibri" w:cs="Calibri"/>
          <w:noProof/>
          <w:sz w:val="22"/>
        </w:rPr>
        <w:t>,</w:t>
      </w:r>
      <w:r w:rsidR="009F0613" w:rsidRPr="00F2205B">
        <w:rPr>
          <w:rFonts w:ascii="Calibri" w:hAnsi="Calibri" w:cs="Calibri"/>
          <w:noProof/>
          <w:sz w:val="22"/>
        </w:rPr>
        <w:t xml:space="preserve"> </w:t>
      </w:r>
      <w:r w:rsidR="00435912">
        <w:rPr>
          <w:rFonts w:ascii="Calibri" w:hAnsi="Calibri" w:cs="Calibri"/>
          <w:noProof/>
          <w:sz w:val="22"/>
        </w:rPr>
        <w:t xml:space="preserve">just </w:t>
      </w:r>
      <w:r w:rsidR="009F0613" w:rsidRPr="00F2205B">
        <w:rPr>
          <w:rFonts w:ascii="Calibri" w:hAnsi="Calibri" w:cs="Calibri"/>
          <w:noProof/>
          <w:sz w:val="22"/>
        </w:rPr>
        <w:t>to access tax relief.</w:t>
      </w:r>
    </w:p>
    <w:p w14:paraId="3AF680E9" w14:textId="77777777" w:rsidR="00195BD4" w:rsidRDefault="00195BD4" w:rsidP="00F2205B">
      <w:pPr>
        <w:spacing w:after="0" w:line="240" w:lineRule="auto"/>
        <w:jc w:val="both"/>
        <w:rPr>
          <w:rFonts w:ascii="Calibri" w:hAnsi="Calibri" w:cs="Calibri"/>
          <w:noProof/>
          <w:sz w:val="22"/>
        </w:rPr>
      </w:pPr>
    </w:p>
    <w:p w14:paraId="65BA998B" w14:textId="1F0882F7" w:rsidR="007762B7" w:rsidRPr="00F2205B" w:rsidRDefault="00BD61DC" w:rsidP="00F2205B">
      <w:pPr>
        <w:spacing w:after="0" w:line="240" w:lineRule="auto"/>
        <w:jc w:val="both"/>
        <w:rPr>
          <w:rFonts w:ascii="Calibri" w:hAnsi="Calibri" w:cs="Calibri"/>
          <w:noProof/>
          <w:sz w:val="22"/>
        </w:rPr>
      </w:pPr>
      <w:r w:rsidRPr="00F2205B">
        <w:rPr>
          <w:rFonts w:ascii="Calibri" w:hAnsi="Calibri" w:cs="Calibri"/>
          <w:noProof/>
          <w:sz w:val="22"/>
        </w:rPr>
        <w:t>While the economic theory of these types of tax policies is sound, often empirical evidence can contradict. Fortunately, there have been other countries that have implemented similar policies to draw examples and evidence from.</w:t>
      </w:r>
    </w:p>
    <w:p w14:paraId="5A0F410E" w14:textId="77777777" w:rsidR="00195BD4" w:rsidRDefault="00195BD4" w:rsidP="00F2205B">
      <w:pPr>
        <w:pStyle w:val="Heading3"/>
        <w:spacing w:before="0" w:after="0" w:line="240" w:lineRule="auto"/>
        <w:jc w:val="both"/>
        <w:rPr>
          <w:rFonts w:ascii="Calibri" w:hAnsi="Calibri" w:cs="Calibri"/>
          <w:noProof/>
          <w:sz w:val="22"/>
          <w:szCs w:val="22"/>
        </w:rPr>
      </w:pPr>
    </w:p>
    <w:p w14:paraId="596BC090" w14:textId="7E98C9C8" w:rsidR="000A5DC3" w:rsidRPr="00F2205B" w:rsidRDefault="000A5DC3" w:rsidP="00F2205B">
      <w:pPr>
        <w:pStyle w:val="Heading3"/>
        <w:spacing w:before="0" w:after="0" w:line="240" w:lineRule="auto"/>
        <w:jc w:val="both"/>
        <w:rPr>
          <w:rFonts w:ascii="Calibri" w:hAnsi="Calibri" w:cs="Calibri"/>
          <w:noProof/>
          <w:sz w:val="22"/>
          <w:szCs w:val="22"/>
        </w:rPr>
      </w:pPr>
      <w:r w:rsidRPr="00F2205B">
        <w:rPr>
          <w:rFonts w:ascii="Calibri" w:hAnsi="Calibri" w:cs="Calibri"/>
          <w:noProof/>
          <w:sz w:val="22"/>
          <w:szCs w:val="22"/>
        </w:rPr>
        <w:t xml:space="preserve">Tax </w:t>
      </w:r>
      <w:r w:rsidR="00BA5574">
        <w:rPr>
          <w:rFonts w:ascii="Calibri" w:hAnsi="Calibri" w:cs="Calibri"/>
          <w:sz w:val="22"/>
          <w:szCs w:val="22"/>
        </w:rPr>
        <w:t>i</w:t>
      </w:r>
      <w:r w:rsidRPr="00F2205B">
        <w:rPr>
          <w:rFonts w:ascii="Calibri" w:hAnsi="Calibri" w:cs="Calibri"/>
          <w:sz w:val="22"/>
          <w:szCs w:val="22"/>
        </w:rPr>
        <w:t>ncentives</w:t>
      </w:r>
      <w:r w:rsidRPr="00F2205B">
        <w:rPr>
          <w:rFonts w:ascii="Calibri" w:hAnsi="Calibri" w:cs="Calibri"/>
          <w:noProof/>
          <w:sz w:val="22"/>
          <w:szCs w:val="22"/>
        </w:rPr>
        <w:t xml:space="preserve"> in </w:t>
      </w:r>
      <w:r w:rsidR="00BA5574">
        <w:rPr>
          <w:rFonts w:ascii="Calibri" w:hAnsi="Calibri" w:cs="Calibri"/>
          <w:noProof/>
          <w:sz w:val="22"/>
          <w:szCs w:val="22"/>
        </w:rPr>
        <w:t>p</w:t>
      </w:r>
      <w:r w:rsidRPr="00F2205B">
        <w:rPr>
          <w:rFonts w:ascii="Calibri" w:hAnsi="Calibri" w:cs="Calibri"/>
          <w:noProof/>
          <w:sz w:val="22"/>
          <w:szCs w:val="22"/>
        </w:rPr>
        <w:t>ractice</w:t>
      </w:r>
    </w:p>
    <w:p w14:paraId="20F41817" w14:textId="77777777" w:rsidR="00195BD4" w:rsidRDefault="00195BD4" w:rsidP="00F2205B">
      <w:pPr>
        <w:spacing w:after="0" w:line="240" w:lineRule="auto"/>
        <w:jc w:val="both"/>
        <w:rPr>
          <w:rFonts w:ascii="Calibri" w:hAnsi="Calibri" w:cs="Calibri"/>
          <w:noProof/>
          <w:sz w:val="22"/>
        </w:rPr>
      </w:pPr>
    </w:p>
    <w:p w14:paraId="44711573" w14:textId="3093981B" w:rsidR="009579DF" w:rsidRDefault="000A5DC3" w:rsidP="00F2205B">
      <w:pPr>
        <w:spacing w:after="0" w:line="240" w:lineRule="auto"/>
        <w:jc w:val="both"/>
        <w:rPr>
          <w:rFonts w:ascii="Calibri" w:hAnsi="Calibri" w:cs="Calibri"/>
          <w:sz w:val="22"/>
        </w:rPr>
      </w:pPr>
      <w:r w:rsidRPr="00F2205B">
        <w:rPr>
          <w:rFonts w:ascii="Calibri" w:hAnsi="Calibri" w:cs="Calibri"/>
          <w:noProof/>
          <w:sz w:val="22"/>
        </w:rPr>
        <w:t xml:space="preserve">Despite </w:t>
      </w:r>
      <w:r w:rsidR="00BE14ED">
        <w:rPr>
          <w:rFonts w:ascii="Calibri" w:hAnsi="Calibri" w:cs="Calibri"/>
          <w:noProof/>
          <w:sz w:val="22"/>
        </w:rPr>
        <w:t xml:space="preserve">the </w:t>
      </w:r>
      <w:r w:rsidR="00BF5BFA">
        <w:rPr>
          <w:rFonts w:ascii="Calibri" w:hAnsi="Calibri" w:cs="Calibri"/>
          <w:noProof/>
          <w:sz w:val="22"/>
        </w:rPr>
        <w:t xml:space="preserve">sound </w:t>
      </w:r>
      <w:r w:rsidRPr="00F2205B">
        <w:rPr>
          <w:rFonts w:ascii="Calibri" w:hAnsi="Calibri" w:cs="Calibri"/>
          <w:noProof/>
          <w:sz w:val="22"/>
        </w:rPr>
        <w:t xml:space="preserve">theoretical </w:t>
      </w:r>
      <w:r w:rsidR="00BE14ED">
        <w:rPr>
          <w:rFonts w:ascii="Calibri" w:hAnsi="Calibri" w:cs="Calibri"/>
          <w:noProof/>
          <w:sz w:val="22"/>
        </w:rPr>
        <w:t>foundation</w:t>
      </w:r>
      <w:r w:rsidRPr="00F2205B">
        <w:rPr>
          <w:rFonts w:ascii="Calibri" w:hAnsi="Calibri" w:cs="Calibri"/>
          <w:noProof/>
          <w:sz w:val="22"/>
        </w:rPr>
        <w:t xml:space="preserve">, most empirical research </w:t>
      </w:r>
      <w:r w:rsidR="00050914">
        <w:rPr>
          <w:rFonts w:ascii="Calibri" w:hAnsi="Calibri" w:cs="Calibri"/>
          <w:noProof/>
          <w:sz w:val="22"/>
        </w:rPr>
        <w:t xml:space="preserve">has </w:t>
      </w:r>
      <w:r w:rsidR="00AB41BA" w:rsidRPr="00F2205B">
        <w:rPr>
          <w:rFonts w:ascii="Calibri" w:hAnsi="Calibri" w:cs="Calibri"/>
          <w:noProof/>
          <w:sz w:val="22"/>
        </w:rPr>
        <w:t xml:space="preserve">found that using tax incentives </w:t>
      </w:r>
      <w:r w:rsidR="00BC242B" w:rsidRPr="00F2205B">
        <w:rPr>
          <w:rFonts w:ascii="Calibri" w:hAnsi="Calibri" w:cs="Calibri"/>
          <w:noProof/>
          <w:sz w:val="22"/>
        </w:rPr>
        <w:t>was a poor option to improve charitible donations of food.</w:t>
      </w:r>
      <w:r w:rsidR="00276B45" w:rsidRPr="00F2205B">
        <w:rPr>
          <w:rFonts w:ascii="Calibri" w:hAnsi="Calibri" w:cs="Calibri"/>
          <w:noProof/>
          <w:sz w:val="22"/>
        </w:rPr>
        <w:t xml:space="preserve"> One of the major concerns regarding </w:t>
      </w:r>
      <w:r w:rsidR="00DF5CE6" w:rsidRPr="00F2205B">
        <w:rPr>
          <w:rFonts w:ascii="Calibri" w:hAnsi="Calibri" w:cs="Calibri"/>
          <w:noProof/>
          <w:sz w:val="22"/>
        </w:rPr>
        <w:t>these initiatives</w:t>
      </w:r>
      <w:r w:rsidR="007762B7" w:rsidRPr="00F2205B">
        <w:rPr>
          <w:rFonts w:ascii="Calibri" w:hAnsi="Calibri" w:cs="Calibri"/>
          <w:noProof/>
          <w:sz w:val="22"/>
        </w:rPr>
        <w:t xml:space="preserve"> </w:t>
      </w:r>
      <w:r w:rsidR="00DF5CE6" w:rsidRPr="00F2205B">
        <w:rPr>
          <w:rFonts w:ascii="Calibri" w:hAnsi="Calibri" w:cs="Calibri"/>
          <w:noProof/>
          <w:sz w:val="22"/>
        </w:rPr>
        <w:t xml:space="preserve">is that due to the higher logistical costs of these donations, the amount of tax relief </w:t>
      </w:r>
      <w:r w:rsidR="00870CA3" w:rsidRPr="00F2205B">
        <w:rPr>
          <w:rFonts w:ascii="Calibri" w:hAnsi="Calibri" w:cs="Calibri"/>
          <w:noProof/>
          <w:sz w:val="22"/>
        </w:rPr>
        <w:t>would need to be higher than otherwise expected (</w:t>
      </w:r>
      <w:r w:rsidR="00832BA2" w:rsidRPr="00F2205B">
        <w:rPr>
          <w:rFonts w:ascii="Calibri" w:hAnsi="Calibri" w:cs="Calibri"/>
          <w:sz w:val="22"/>
        </w:rPr>
        <w:t>Immell</w:t>
      </w:r>
      <w:r w:rsidR="00BF5BFA">
        <w:rPr>
          <w:rFonts w:ascii="Calibri" w:hAnsi="Calibri" w:cs="Calibri"/>
          <w:sz w:val="22"/>
        </w:rPr>
        <w:t>,</w:t>
      </w:r>
      <w:r w:rsidR="00832BA2" w:rsidRPr="00F2205B">
        <w:rPr>
          <w:rFonts w:ascii="Calibri" w:hAnsi="Calibri" w:cs="Calibri"/>
          <w:sz w:val="22"/>
        </w:rPr>
        <w:t xml:space="preserve"> 2019). </w:t>
      </w:r>
    </w:p>
    <w:p w14:paraId="51243570" w14:textId="77777777" w:rsidR="009579DF" w:rsidRDefault="009579DF" w:rsidP="00F2205B">
      <w:pPr>
        <w:spacing w:after="0" w:line="240" w:lineRule="auto"/>
        <w:jc w:val="both"/>
        <w:rPr>
          <w:rFonts w:ascii="Calibri" w:hAnsi="Calibri" w:cs="Calibri"/>
          <w:sz w:val="22"/>
        </w:rPr>
      </w:pPr>
    </w:p>
    <w:p w14:paraId="3957E4FF" w14:textId="4150BB0A" w:rsidR="00832BA2" w:rsidRPr="00F2205B" w:rsidRDefault="00832BA2" w:rsidP="00F2205B">
      <w:pPr>
        <w:spacing w:after="0" w:line="240" w:lineRule="auto"/>
        <w:jc w:val="both"/>
        <w:rPr>
          <w:rFonts w:ascii="Calibri" w:hAnsi="Calibri" w:cs="Calibri"/>
          <w:sz w:val="22"/>
        </w:rPr>
      </w:pPr>
      <w:r w:rsidRPr="00F2205B">
        <w:rPr>
          <w:rFonts w:ascii="Calibri" w:hAnsi="Calibri" w:cs="Calibri"/>
          <w:sz w:val="22"/>
        </w:rPr>
        <w:t>Kinach, Parizeau and Fraser (2020) found that a tax credit worth 25</w:t>
      </w:r>
      <w:r w:rsidR="009E3601">
        <w:rPr>
          <w:rFonts w:ascii="Calibri" w:hAnsi="Calibri" w:cs="Calibri"/>
          <w:sz w:val="22"/>
        </w:rPr>
        <w:t xml:space="preserve"> per cent</w:t>
      </w:r>
      <w:r w:rsidRPr="00F2205B">
        <w:rPr>
          <w:rFonts w:ascii="Calibri" w:hAnsi="Calibri" w:cs="Calibri"/>
          <w:sz w:val="22"/>
        </w:rPr>
        <w:t xml:space="preserve"> of the value of the food was not a significant factor in producers’ decision to donate food. </w:t>
      </w:r>
    </w:p>
    <w:p w14:paraId="59EF5A88" w14:textId="77777777" w:rsidR="00340D42" w:rsidRDefault="00340D42" w:rsidP="00F2205B">
      <w:pPr>
        <w:spacing w:after="0" w:line="240" w:lineRule="auto"/>
        <w:jc w:val="both"/>
        <w:rPr>
          <w:rFonts w:ascii="Calibri" w:hAnsi="Calibri" w:cs="Calibri"/>
          <w:noProof/>
          <w:sz w:val="22"/>
        </w:rPr>
      </w:pPr>
    </w:p>
    <w:p w14:paraId="08459D37" w14:textId="6BC83DDE" w:rsidR="007F40DD" w:rsidRPr="00F2205B" w:rsidRDefault="007F40DD" w:rsidP="00F2205B">
      <w:pPr>
        <w:spacing w:after="0" w:line="240" w:lineRule="auto"/>
        <w:jc w:val="both"/>
        <w:rPr>
          <w:rFonts w:ascii="Calibri" w:hAnsi="Calibri" w:cs="Calibri"/>
          <w:sz w:val="22"/>
        </w:rPr>
      </w:pPr>
      <w:r w:rsidRPr="00F2205B">
        <w:rPr>
          <w:rFonts w:ascii="Calibri" w:hAnsi="Calibri" w:cs="Calibri"/>
          <w:noProof/>
          <w:sz w:val="22"/>
        </w:rPr>
        <w:t>I</w:t>
      </w:r>
      <w:r w:rsidRPr="00F2205B">
        <w:rPr>
          <w:rFonts w:ascii="Calibri" w:hAnsi="Calibri" w:cs="Calibri"/>
          <w:sz w:val="22"/>
        </w:rPr>
        <w:t xml:space="preserve">mmell (2019) </w:t>
      </w:r>
      <w:r w:rsidR="00DC63EA" w:rsidRPr="00F2205B">
        <w:rPr>
          <w:rFonts w:ascii="Calibri" w:hAnsi="Calibri" w:cs="Calibri"/>
          <w:sz w:val="22"/>
        </w:rPr>
        <w:t xml:space="preserve">found that tax credits introduced in British Columbia, Canada </w:t>
      </w:r>
      <w:r w:rsidRPr="00F2205B">
        <w:rPr>
          <w:rFonts w:ascii="Calibri" w:hAnsi="Calibri" w:cs="Calibri"/>
          <w:sz w:val="22"/>
        </w:rPr>
        <w:t xml:space="preserve">did not incentivise farmers to donate fresh food to charitable organisations. They found that the credits did not outweigh the added logistical challenges of transport time, refrigeration and expenses to donation sites. They found </w:t>
      </w:r>
      <w:r w:rsidRPr="00F2205B">
        <w:rPr>
          <w:rFonts w:ascii="Calibri" w:hAnsi="Calibri" w:cs="Calibri"/>
          <w:sz w:val="22"/>
        </w:rPr>
        <w:lastRenderedPageBreak/>
        <w:t xml:space="preserve">the </w:t>
      </w:r>
      <w:r w:rsidR="00010CBF" w:rsidRPr="00F2205B">
        <w:rPr>
          <w:rFonts w:ascii="Calibri" w:hAnsi="Calibri" w:cs="Calibri"/>
          <w:sz w:val="22"/>
        </w:rPr>
        <w:t>British Columbia</w:t>
      </w:r>
      <w:r w:rsidRPr="00F2205B">
        <w:rPr>
          <w:rFonts w:ascii="Calibri" w:hAnsi="Calibri" w:cs="Calibri"/>
          <w:sz w:val="22"/>
        </w:rPr>
        <w:t xml:space="preserve"> tax credits were not enough to make donations profitable after the added expenses.</w:t>
      </w:r>
    </w:p>
    <w:p w14:paraId="53A79D63" w14:textId="77777777" w:rsidR="00195BD4" w:rsidRDefault="00195BD4" w:rsidP="00F2205B">
      <w:pPr>
        <w:spacing w:after="0" w:line="240" w:lineRule="auto"/>
        <w:jc w:val="both"/>
        <w:rPr>
          <w:rFonts w:ascii="Calibri" w:hAnsi="Calibri" w:cs="Calibri"/>
          <w:sz w:val="22"/>
        </w:rPr>
      </w:pPr>
    </w:p>
    <w:p w14:paraId="50337C3A" w14:textId="1D8C1A77" w:rsidR="00927198" w:rsidRPr="00F2205B" w:rsidRDefault="00927198" w:rsidP="00F2205B">
      <w:pPr>
        <w:spacing w:after="0" w:line="240" w:lineRule="auto"/>
        <w:jc w:val="both"/>
        <w:rPr>
          <w:rFonts w:ascii="Calibri" w:hAnsi="Calibri" w:cs="Calibri"/>
          <w:sz w:val="22"/>
        </w:rPr>
      </w:pPr>
      <w:r w:rsidRPr="00F2205B">
        <w:rPr>
          <w:rFonts w:ascii="Calibri" w:hAnsi="Calibri" w:cs="Calibri"/>
          <w:sz w:val="22"/>
        </w:rPr>
        <w:t xml:space="preserve">Duquette, Graddy-Reed and Phillips (2018) found that there was little or no effect of tax credit policies increasing charitable donations in </w:t>
      </w:r>
      <w:r w:rsidR="007F40DD" w:rsidRPr="00F2205B">
        <w:rPr>
          <w:rFonts w:ascii="Calibri" w:hAnsi="Calibri" w:cs="Calibri"/>
          <w:sz w:val="22"/>
        </w:rPr>
        <w:t xml:space="preserve">various </w:t>
      </w:r>
      <w:r w:rsidR="00B04B9E">
        <w:rPr>
          <w:rFonts w:ascii="Calibri" w:hAnsi="Calibri" w:cs="Calibri"/>
          <w:sz w:val="22"/>
        </w:rPr>
        <w:t>s</w:t>
      </w:r>
      <w:r w:rsidR="007F40DD" w:rsidRPr="00F2205B">
        <w:rPr>
          <w:rFonts w:ascii="Calibri" w:hAnsi="Calibri" w:cs="Calibri"/>
          <w:sz w:val="22"/>
        </w:rPr>
        <w:t>tates in the United States</w:t>
      </w:r>
      <w:r w:rsidRPr="00F2205B">
        <w:rPr>
          <w:rFonts w:ascii="Calibri" w:hAnsi="Calibri" w:cs="Calibri"/>
          <w:sz w:val="22"/>
        </w:rPr>
        <w:t xml:space="preserve">. They concluded that the lost tax revenue was likely a larger negative impact than the positives of </w:t>
      </w:r>
      <w:r w:rsidR="00074B92" w:rsidRPr="00F2205B">
        <w:rPr>
          <w:rFonts w:ascii="Calibri" w:hAnsi="Calibri" w:cs="Calibri"/>
          <w:sz w:val="22"/>
        </w:rPr>
        <w:t xml:space="preserve">a small number of </w:t>
      </w:r>
      <w:r w:rsidRPr="00F2205B">
        <w:rPr>
          <w:rFonts w:ascii="Calibri" w:hAnsi="Calibri" w:cs="Calibri"/>
          <w:sz w:val="22"/>
        </w:rPr>
        <w:t>increased donations.</w:t>
      </w:r>
    </w:p>
    <w:p w14:paraId="1F83F659" w14:textId="77777777" w:rsidR="00195BD4" w:rsidRDefault="00195BD4" w:rsidP="00F2205B">
      <w:pPr>
        <w:spacing w:after="0" w:line="240" w:lineRule="auto"/>
        <w:jc w:val="both"/>
        <w:rPr>
          <w:rFonts w:ascii="Calibri" w:hAnsi="Calibri" w:cs="Calibri"/>
          <w:sz w:val="22"/>
        </w:rPr>
      </w:pPr>
    </w:p>
    <w:p w14:paraId="3B161A95" w14:textId="36179284" w:rsidR="00460334" w:rsidRPr="00F2205B" w:rsidRDefault="00DC63EA" w:rsidP="00F2205B">
      <w:pPr>
        <w:spacing w:after="0" w:line="240" w:lineRule="auto"/>
        <w:jc w:val="both"/>
        <w:rPr>
          <w:rFonts w:ascii="Calibri" w:hAnsi="Calibri" w:cs="Calibri"/>
          <w:sz w:val="22"/>
        </w:rPr>
      </w:pPr>
      <w:r w:rsidRPr="00F2205B">
        <w:rPr>
          <w:rFonts w:ascii="Calibri" w:hAnsi="Calibri" w:cs="Calibri"/>
          <w:sz w:val="22"/>
        </w:rPr>
        <w:t xml:space="preserve">Furthermore, </w:t>
      </w:r>
      <w:r w:rsidR="00B621E7" w:rsidRPr="00F2205B">
        <w:rPr>
          <w:rFonts w:ascii="Calibri" w:hAnsi="Calibri" w:cs="Calibri"/>
          <w:sz w:val="22"/>
        </w:rPr>
        <w:t>some</w:t>
      </w:r>
      <w:r w:rsidRPr="00F2205B">
        <w:rPr>
          <w:rFonts w:ascii="Calibri" w:hAnsi="Calibri" w:cs="Calibri"/>
          <w:sz w:val="22"/>
        </w:rPr>
        <w:t xml:space="preserve"> research has indicated that </w:t>
      </w:r>
      <w:r w:rsidR="00DF2EF4" w:rsidRPr="00F2205B">
        <w:rPr>
          <w:rFonts w:ascii="Calibri" w:hAnsi="Calibri" w:cs="Calibri"/>
          <w:sz w:val="22"/>
        </w:rPr>
        <w:t>these types of tax credits increase certain negative outcomes of food donations</w:t>
      </w:r>
      <w:r w:rsidR="00533D9B" w:rsidRPr="00F2205B">
        <w:rPr>
          <w:rFonts w:ascii="Calibri" w:hAnsi="Calibri" w:cs="Calibri"/>
          <w:sz w:val="22"/>
        </w:rPr>
        <w:t>. Tax</w:t>
      </w:r>
      <w:r w:rsidR="00DF2EF4" w:rsidRPr="00F2205B">
        <w:rPr>
          <w:rFonts w:ascii="Calibri" w:hAnsi="Calibri" w:cs="Calibri"/>
          <w:sz w:val="22"/>
        </w:rPr>
        <w:t xml:space="preserve"> subsidies based on </w:t>
      </w:r>
      <w:r w:rsidR="002D4041" w:rsidRPr="00F2205B">
        <w:rPr>
          <w:rFonts w:ascii="Calibri" w:hAnsi="Calibri" w:cs="Calibri"/>
          <w:sz w:val="22"/>
        </w:rPr>
        <w:t>’f</w:t>
      </w:r>
      <w:r w:rsidR="00DF2EF4" w:rsidRPr="00F2205B">
        <w:rPr>
          <w:rFonts w:ascii="Calibri" w:hAnsi="Calibri" w:cs="Calibri"/>
          <w:sz w:val="22"/>
        </w:rPr>
        <w:t>air market value</w:t>
      </w:r>
      <w:r w:rsidR="002D4041" w:rsidRPr="00F2205B">
        <w:rPr>
          <w:rFonts w:ascii="Calibri" w:hAnsi="Calibri" w:cs="Calibri"/>
          <w:sz w:val="22"/>
        </w:rPr>
        <w:t>’</w:t>
      </w:r>
      <w:r w:rsidR="00DF2EF4" w:rsidRPr="00F2205B">
        <w:rPr>
          <w:rFonts w:ascii="Calibri" w:hAnsi="Calibri" w:cs="Calibri"/>
          <w:sz w:val="22"/>
        </w:rPr>
        <w:t xml:space="preserve"> may create adverse effects, especially where there is a monopoly on the goods. Retailers may deliberately reduce supply to inflate the selling price and inflate tax deductibles.</w:t>
      </w:r>
      <w:r w:rsidR="007762B7" w:rsidRPr="00F2205B">
        <w:rPr>
          <w:rFonts w:ascii="Calibri" w:hAnsi="Calibri" w:cs="Calibri"/>
          <w:sz w:val="22"/>
        </w:rPr>
        <w:t xml:space="preserve"> </w:t>
      </w:r>
      <w:r w:rsidR="00DF2EF4" w:rsidRPr="00F2205B">
        <w:rPr>
          <w:rFonts w:ascii="Calibri" w:hAnsi="Calibri" w:cs="Calibri"/>
          <w:sz w:val="22"/>
        </w:rPr>
        <w:t>Additionally, higher subsidies may instead lead to fewer donations needed to achieve the same tax deductions</w:t>
      </w:r>
      <w:r w:rsidR="000137DB" w:rsidRPr="00F2205B">
        <w:rPr>
          <w:rFonts w:ascii="Calibri" w:hAnsi="Calibri" w:cs="Calibri"/>
          <w:sz w:val="22"/>
        </w:rPr>
        <w:t xml:space="preserve"> (</w:t>
      </w:r>
      <w:r w:rsidR="00EE0FF1" w:rsidRPr="00F2205B">
        <w:rPr>
          <w:rFonts w:ascii="Calibri" w:hAnsi="Calibri" w:cs="Calibri"/>
          <w:sz w:val="22"/>
        </w:rPr>
        <w:t>Ö</w:t>
      </w:r>
      <w:r w:rsidR="000137DB" w:rsidRPr="00F2205B">
        <w:rPr>
          <w:rFonts w:ascii="Calibri" w:hAnsi="Calibri" w:cs="Calibri"/>
          <w:sz w:val="22"/>
        </w:rPr>
        <w:t xml:space="preserve">zbilge </w:t>
      </w:r>
      <w:r w:rsidR="009E3601">
        <w:rPr>
          <w:rFonts w:ascii="Calibri" w:hAnsi="Calibri" w:cs="Calibri"/>
          <w:sz w:val="22"/>
        </w:rPr>
        <w:t>et al.</w:t>
      </w:r>
      <w:r w:rsidR="00116DCD">
        <w:rPr>
          <w:rFonts w:ascii="Calibri" w:hAnsi="Calibri" w:cs="Calibri"/>
          <w:sz w:val="22"/>
        </w:rPr>
        <w:t xml:space="preserve">, </w:t>
      </w:r>
      <w:r w:rsidR="000137DB" w:rsidRPr="00F2205B">
        <w:rPr>
          <w:rFonts w:ascii="Calibri" w:hAnsi="Calibri" w:cs="Calibri"/>
          <w:sz w:val="22"/>
        </w:rPr>
        <w:t>2025)</w:t>
      </w:r>
      <w:r w:rsidR="00DF2EF4" w:rsidRPr="00F2205B">
        <w:rPr>
          <w:rFonts w:ascii="Calibri" w:hAnsi="Calibri" w:cs="Calibri"/>
          <w:sz w:val="22"/>
        </w:rPr>
        <w:t xml:space="preserve">. </w:t>
      </w:r>
    </w:p>
    <w:p w14:paraId="08F741EE" w14:textId="77777777" w:rsidR="00195BD4" w:rsidRDefault="00195BD4" w:rsidP="00F2205B">
      <w:pPr>
        <w:spacing w:after="0" w:line="240" w:lineRule="auto"/>
        <w:jc w:val="both"/>
        <w:rPr>
          <w:rFonts w:ascii="Calibri" w:hAnsi="Calibri" w:cs="Calibri"/>
          <w:sz w:val="22"/>
        </w:rPr>
      </w:pPr>
    </w:p>
    <w:p w14:paraId="48E95926" w14:textId="376A2CE4" w:rsidR="00460334" w:rsidRPr="00F2205B" w:rsidRDefault="00460334" w:rsidP="00F2205B">
      <w:pPr>
        <w:spacing w:after="0" w:line="240" w:lineRule="auto"/>
        <w:jc w:val="both"/>
        <w:rPr>
          <w:rFonts w:ascii="Calibri" w:hAnsi="Calibri" w:cs="Calibri"/>
          <w:sz w:val="22"/>
        </w:rPr>
      </w:pPr>
      <w:r w:rsidRPr="00F2205B">
        <w:rPr>
          <w:rFonts w:ascii="Calibri" w:hAnsi="Calibri" w:cs="Calibri"/>
          <w:sz w:val="22"/>
        </w:rPr>
        <w:t xml:space="preserve">Hudak </w:t>
      </w:r>
      <w:r w:rsidR="009E3601">
        <w:rPr>
          <w:rFonts w:ascii="Calibri" w:hAnsi="Calibri" w:cs="Calibri"/>
          <w:sz w:val="22"/>
        </w:rPr>
        <w:t>et al.</w:t>
      </w:r>
      <w:r w:rsidR="00116DCD">
        <w:rPr>
          <w:rFonts w:ascii="Calibri" w:hAnsi="Calibri" w:cs="Calibri"/>
          <w:sz w:val="22"/>
        </w:rPr>
        <w:t xml:space="preserve"> </w:t>
      </w:r>
      <w:r w:rsidRPr="00F2205B">
        <w:rPr>
          <w:rFonts w:ascii="Calibri" w:hAnsi="Calibri" w:cs="Calibri"/>
          <w:sz w:val="22"/>
        </w:rPr>
        <w:t>(2022) warned that the policy would require strict limitation to nutritious foods to avoid negative public health outcomes</w:t>
      </w:r>
      <w:r w:rsidR="00972A3C" w:rsidRPr="00F2205B">
        <w:rPr>
          <w:rFonts w:ascii="Calibri" w:hAnsi="Calibri" w:cs="Calibri"/>
          <w:sz w:val="22"/>
        </w:rPr>
        <w:t xml:space="preserve"> that could arise from a spike in non-nutritious food</w:t>
      </w:r>
      <w:r w:rsidRPr="00F2205B">
        <w:rPr>
          <w:rFonts w:ascii="Calibri" w:hAnsi="Calibri" w:cs="Calibri"/>
          <w:sz w:val="22"/>
        </w:rPr>
        <w:t xml:space="preserve">. </w:t>
      </w:r>
      <w:r w:rsidR="00305156" w:rsidRPr="00F2205B">
        <w:rPr>
          <w:rFonts w:ascii="Calibri" w:hAnsi="Calibri" w:cs="Calibri"/>
          <w:sz w:val="22"/>
        </w:rPr>
        <w:t>C</w:t>
      </w:r>
      <w:r w:rsidRPr="00F2205B">
        <w:rPr>
          <w:rFonts w:ascii="Calibri" w:hAnsi="Calibri" w:cs="Calibri"/>
          <w:sz w:val="22"/>
        </w:rPr>
        <w:t>larification regarding what foods qualify as nutritious would need to be comprehensively included in any policy.</w:t>
      </w:r>
    </w:p>
    <w:p w14:paraId="3A5C42DC" w14:textId="77777777" w:rsidR="005804BA" w:rsidRDefault="005804BA" w:rsidP="00F2205B">
      <w:pPr>
        <w:spacing w:after="0" w:line="240" w:lineRule="auto"/>
        <w:jc w:val="both"/>
        <w:rPr>
          <w:rFonts w:ascii="Calibri" w:hAnsi="Calibri" w:cs="Calibri"/>
          <w:sz w:val="22"/>
        </w:rPr>
      </w:pPr>
    </w:p>
    <w:p w14:paraId="6122D308" w14:textId="130400AB" w:rsidR="00DF2EF4" w:rsidRPr="00F2205B" w:rsidRDefault="000137DB" w:rsidP="00F2205B">
      <w:pPr>
        <w:spacing w:after="0" w:line="240" w:lineRule="auto"/>
        <w:jc w:val="both"/>
        <w:rPr>
          <w:rFonts w:ascii="Calibri" w:hAnsi="Calibri" w:cs="Calibri"/>
          <w:sz w:val="22"/>
        </w:rPr>
      </w:pPr>
      <w:r w:rsidRPr="00F2205B">
        <w:rPr>
          <w:rFonts w:ascii="Calibri" w:hAnsi="Calibri" w:cs="Calibri"/>
          <w:sz w:val="22"/>
        </w:rPr>
        <w:t xml:space="preserve">Other research has indicated that similar policies have </w:t>
      </w:r>
      <w:r w:rsidR="00DB0DA0" w:rsidRPr="00F2205B">
        <w:rPr>
          <w:rFonts w:ascii="Calibri" w:hAnsi="Calibri" w:cs="Calibri"/>
          <w:sz w:val="22"/>
        </w:rPr>
        <w:t xml:space="preserve">correlated with increased food waste, pointing towards increased overproduction of certain items, rather than </w:t>
      </w:r>
      <w:r w:rsidR="002B3862" w:rsidRPr="00F2205B">
        <w:rPr>
          <w:rFonts w:ascii="Calibri" w:hAnsi="Calibri" w:cs="Calibri"/>
          <w:sz w:val="22"/>
        </w:rPr>
        <w:t xml:space="preserve">shifting food that would be wasted to communities in need (Aitken </w:t>
      </w:r>
      <w:r w:rsidR="009E3601">
        <w:rPr>
          <w:rFonts w:ascii="Calibri" w:hAnsi="Calibri" w:cs="Calibri"/>
          <w:sz w:val="22"/>
        </w:rPr>
        <w:t>et al.</w:t>
      </w:r>
      <w:r w:rsidR="009E7121">
        <w:rPr>
          <w:rFonts w:ascii="Calibri" w:hAnsi="Calibri" w:cs="Calibri"/>
          <w:sz w:val="22"/>
        </w:rPr>
        <w:t xml:space="preserve">, </w:t>
      </w:r>
      <w:r w:rsidR="002B3862" w:rsidRPr="00F2205B">
        <w:rPr>
          <w:rFonts w:ascii="Calibri" w:hAnsi="Calibri" w:cs="Calibri"/>
          <w:sz w:val="22"/>
        </w:rPr>
        <w:t>2024</w:t>
      </w:r>
      <w:r w:rsidR="00FA0FF9" w:rsidRPr="00F2205B">
        <w:rPr>
          <w:rFonts w:ascii="Calibri" w:hAnsi="Calibri" w:cs="Calibri"/>
          <w:sz w:val="22"/>
        </w:rPr>
        <w:t xml:space="preserve">). This may </w:t>
      </w:r>
      <w:r w:rsidR="007762B7" w:rsidRPr="00F2205B">
        <w:rPr>
          <w:rFonts w:ascii="Calibri" w:hAnsi="Calibri" w:cs="Calibri"/>
          <w:sz w:val="22"/>
        </w:rPr>
        <w:t xml:space="preserve">be </w:t>
      </w:r>
      <w:r w:rsidR="00FA0FF9" w:rsidRPr="00F2205B">
        <w:rPr>
          <w:rFonts w:ascii="Calibri" w:hAnsi="Calibri" w:cs="Calibri"/>
          <w:sz w:val="22"/>
        </w:rPr>
        <w:t xml:space="preserve">tangentially supported by the findings of Immel (2019), showing that </w:t>
      </w:r>
      <w:r w:rsidR="00972A3C" w:rsidRPr="00F2205B">
        <w:rPr>
          <w:rFonts w:ascii="Calibri" w:hAnsi="Calibri" w:cs="Calibri"/>
          <w:sz w:val="22"/>
        </w:rPr>
        <w:t>most</w:t>
      </w:r>
      <w:r w:rsidR="0090239A" w:rsidRPr="00F2205B">
        <w:rPr>
          <w:rFonts w:ascii="Calibri" w:hAnsi="Calibri" w:cs="Calibri"/>
          <w:sz w:val="22"/>
        </w:rPr>
        <w:t xml:space="preserve"> Canadian farmers did not find food waste to be an important motivator in donating excess fresh food.</w:t>
      </w:r>
    </w:p>
    <w:p w14:paraId="404D5CBA" w14:textId="77777777" w:rsidR="00195BD4" w:rsidRDefault="00195BD4" w:rsidP="00F2205B">
      <w:pPr>
        <w:spacing w:after="0" w:line="240" w:lineRule="auto"/>
        <w:jc w:val="both"/>
        <w:rPr>
          <w:rFonts w:ascii="Calibri" w:hAnsi="Calibri" w:cs="Calibri"/>
          <w:sz w:val="22"/>
        </w:rPr>
      </w:pPr>
    </w:p>
    <w:p w14:paraId="729B841F" w14:textId="1C719D4A" w:rsidR="00533D9B" w:rsidRPr="00F2205B" w:rsidRDefault="00DF2EF4" w:rsidP="00F2205B">
      <w:pPr>
        <w:spacing w:after="0" w:line="240" w:lineRule="auto"/>
        <w:jc w:val="both"/>
        <w:rPr>
          <w:rFonts w:ascii="Calibri" w:hAnsi="Calibri" w:cs="Calibri"/>
          <w:sz w:val="22"/>
        </w:rPr>
      </w:pPr>
      <w:r w:rsidRPr="00F2205B">
        <w:rPr>
          <w:rFonts w:ascii="Calibri" w:hAnsi="Calibri" w:cs="Calibri"/>
          <w:sz w:val="22"/>
        </w:rPr>
        <w:t>Overall,</w:t>
      </w:r>
      <w:r w:rsidR="00460334" w:rsidRPr="00F2205B">
        <w:rPr>
          <w:rFonts w:ascii="Calibri" w:hAnsi="Calibri" w:cs="Calibri"/>
          <w:sz w:val="22"/>
        </w:rPr>
        <w:t xml:space="preserve"> despite some r</w:t>
      </w:r>
      <w:r w:rsidR="000B1B87" w:rsidRPr="00F2205B">
        <w:rPr>
          <w:rFonts w:ascii="Calibri" w:hAnsi="Calibri" w:cs="Calibri"/>
          <w:sz w:val="22"/>
        </w:rPr>
        <w:t xml:space="preserve">esearch showing that there </w:t>
      </w:r>
      <w:r w:rsidR="00990096" w:rsidRPr="00F2205B">
        <w:rPr>
          <w:rFonts w:ascii="Calibri" w:hAnsi="Calibri" w:cs="Calibri"/>
          <w:sz w:val="22"/>
        </w:rPr>
        <w:t>can be</w:t>
      </w:r>
      <w:r w:rsidR="000B1B87" w:rsidRPr="00F2205B">
        <w:rPr>
          <w:rFonts w:ascii="Calibri" w:hAnsi="Calibri" w:cs="Calibri"/>
          <w:sz w:val="22"/>
        </w:rPr>
        <w:t xml:space="preserve"> some small increases in tax deductions to encourage food donations</w:t>
      </w:r>
      <w:r w:rsidR="008D064A" w:rsidRPr="00F2205B">
        <w:rPr>
          <w:rFonts w:ascii="Calibri" w:hAnsi="Calibri" w:cs="Calibri"/>
          <w:sz w:val="22"/>
        </w:rPr>
        <w:t xml:space="preserve"> </w:t>
      </w:r>
      <w:r w:rsidR="00305156" w:rsidRPr="00F2205B">
        <w:rPr>
          <w:rFonts w:ascii="Calibri" w:hAnsi="Calibri" w:cs="Calibri"/>
          <w:sz w:val="22"/>
        </w:rPr>
        <w:t xml:space="preserve">(Aitken </w:t>
      </w:r>
      <w:r w:rsidR="009E3601">
        <w:rPr>
          <w:rFonts w:ascii="Calibri" w:hAnsi="Calibri" w:cs="Calibri"/>
          <w:sz w:val="22"/>
        </w:rPr>
        <w:t>et al.</w:t>
      </w:r>
      <w:r w:rsidR="00E02A33">
        <w:rPr>
          <w:rFonts w:ascii="Calibri" w:hAnsi="Calibri" w:cs="Calibri"/>
          <w:sz w:val="22"/>
        </w:rPr>
        <w:t xml:space="preserve">, </w:t>
      </w:r>
      <w:r w:rsidR="00305156" w:rsidRPr="00F2205B">
        <w:rPr>
          <w:rFonts w:ascii="Calibri" w:hAnsi="Calibri" w:cs="Calibri"/>
          <w:sz w:val="22"/>
        </w:rPr>
        <w:t>2024)</w:t>
      </w:r>
      <w:r w:rsidR="007762B7" w:rsidRPr="00F2205B">
        <w:rPr>
          <w:rFonts w:ascii="Calibri" w:hAnsi="Calibri" w:cs="Calibri"/>
          <w:sz w:val="22"/>
        </w:rPr>
        <w:t>,</w:t>
      </w:r>
      <w:r w:rsidR="008D064A" w:rsidRPr="00F2205B">
        <w:rPr>
          <w:rFonts w:ascii="Calibri" w:hAnsi="Calibri" w:cs="Calibri"/>
          <w:sz w:val="22"/>
        </w:rPr>
        <w:t xml:space="preserve"> </w:t>
      </w:r>
      <w:r w:rsidR="00972A3C" w:rsidRPr="00F2205B">
        <w:rPr>
          <w:rFonts w:ascii="Calibri" w:hAnsi="Calibri" w:cs="Calibri"/>
          <w:sz w:val="22"/>
        </w:rPr>
        <w:t>most</w:t>
      </w:r>
      <w:r w:rsidR="008D064A" w:rsidRPr="00F2205B">
        <w:rPr>
          <w:rFonts w:ascii="Calibri" w:hAnsi="Calibri" w:cs="Calibri"/>
          <w:sz w:val="22"/>
        </w:rPr>
        <w:t xml:space="preserve"> </w:t>
      </w:r>
      <w:r w:rsidRPr="00F2205B">
        <w:rPr>
          <w:rFonts w:ascii="Calibri" w:hAnsi="Calibri" w:cs="Calibri"/>
          <w:sz w:val="22"/>
        </w:rPr>
        <w:t xml:space="preserve">empirical research </w:t>
      </w:r>
      <w:r w:rsidR="006E3C42">
        <w:rPr>
          <w:rFonts w:ascii="Calibri" w:hAnsi="Calibri" w:cs="Calibri"/>
          <w:sz w:val="22"/>
        </w:rPr>
        <w:t>on this topic</w:t>
      </w:r>
      <w:r w:rsidRPr="00F2205B">
        <w:rPr>
          <w:rFonts w:ascii="Calibri" w:hAnsi="Calibri" w:cs="Calibri"/>
          <w:sz w:val="22"/>
        </w:rPr>
        <w:t xml:space="preserve"> shows that </w:t>
      </w:r>
      <w:r w:rsidR="003F174B" w:rsidRPr="00F2205B">
        <w:rPr>
          <w:rFonts w:ascii="Calibri" w:hAnsi="Calibri" w:cs="Calibri"/>
          <w:sz w:val="22"/>
        </w:rPr>
        <w:t xml:space="preserve">tax incentives introduced internationally have been an unimpressive </w:t>
      </w:r>
      <w:r w:rsidR="0042450A" w:rsidRPr="00F2205B">
        <w:rPr>
          <w:rFonts w:ascii="Calibri" w:hAnsi="Calibri" w:cs="Calibri"/>
          <w:sz w:val="22"/>
        </w:rPr>
        <w:t>policy for improving charitable food donations (</w:t>
      </w:r>
      <w:r w:rsidRPr="00F2205B">
        <w:rPr>
          <w:rFonts w:ascii="Calibri" w:hAnsi="Calibri" w:cs="Calibri"/>
          <w:sz w:val="22"/>
        </w:rPr>
        <w:t>Lideikyte Huber</w:t>
      </w:r>
      <w:r w:rsidR="00E02A33">
        <w:rPr>
          <w:rFonts w:ascii="Calibri" w:hAnsi="Calibri" w:cs="Calibri"/>
          <w:sz w:val="22"/>
        </w:rPr>
        <w:t>,</w:t>
      </w:r>
      <w:r w:rsidR="0042450A" w:rsidRPr="00F2205B">
        <w:rPr>
          <w:rFonts w:ascii="Calibri" w:hAnsi="Calibri" w:cs="Calibri"/>
          <w:sz w:val="22"/>
        </w:rPr>
        <w:t xml:space="preserve"> </w:t>
      </w:r>
      <w:r w:rsidRPr="00F2205B">
        <w:rPr>
          <w:rFonts w:ascii="Calibri" w:hAnsi="Calibri" w:cs="Calibri"/>
          <w:sz w:val="22"/>
        </w:rPr>
        <w:t>2020). Further</w:t>
      </w:r>
      <w:r w:rsidR="0042450A" w:rsidRPr="00F2205B">
        <w:rPr>
          <w:rFonts w:ascii="Calibri" w:hAnsi="Calibri" w:cs="Calibri"/>
          <w:sz w:val="22"/>
        </w:rPr>
        <w:t>,</w:t>
      </w:r>
      <w:r w:rsidRPr="00F2205B">
        <w:rPr>
          <w:rFonts w:ascii="Calibri" w:hAnsi="Calibri" w:cs="Calibri"/>
          <w:sz w:val="22"/>
        </w:rPr>
        <w:t xml:space="preserve"> the </w:t>
      </w:r>
      <w:r w:rsidR="005F3CFC" w:rsidRPr="00F2205B">
        <w:rPr>
          <w:rFonts w:ascii="Calibri" w:hAnsi="Calibri" w:cs="Calibri"/>
          <w:sz w:val="22"/>
        </w:rPr>
        <w:t xml:space="preserve">evidence available indicates </w:t>
      </w:r>
      <w:r w:rsidRPr="00F2205B">
        <w:rPr>
          <w:rFonts w:ascii="Calibri" w:hAnsi="Calibri" w:cs="Calibri"/>
          <w:sz w:val="22"/>
        </w:rPr>
        <w:t xml:space="preserve">that these incentives were treasury inefficient compared to direct investment </w:t>
      </w:r>
      <w:r w:rsidR="005F3CFC" w:rsidRPr="00F2205B">
        <w:rPr>
          <w:rFonts w:ascii="Calibri" w:hAnsi="Calibri" w:cs="Calibri"/>
          <w:sz w:val="22"/>
        </w:rPr>
        <w:t xml:space="preserve">in </w:t>
      </w:r>
      <w:r w:rsidR="00533D9B" w:rsidRPr="00F2205B">
        <w:rPr>
          <w:rFonts w:ascii="Calibri" w:hAnsi="Calibri" w:cs="Calibri"/>
          <w:sz w:val="22"/>
        </w:rPr>
        <w:t xml:space="preserve">government </w:t>
      </w:r>
      <w:r w:rsidR="005F3CFC" w:rsidRPr="00F2205B">
        <w:rPr>
          <w:rFonts w:ascii="Calibri" w:hAnsi="Calibri" w:cs="Calibri"/>
          <w:sz w:val="22"/>
        </w:rPr>
        <w:t>purchas</w:t>
      </w:r>
      <w:r w:rsidR="00957DAF">
        <w:rPr>
          <w:rFonts w:ascii="Calibri" w:hAnsi="Calibri" w:cs="Calibri"/>
          <w:sz w:val="22"/>
        </w:rPr>
        <w:t>es of</w:t>
      </w:r>
      <w:r w:rsidR="005F3CFC" w:rsidRPr="00F2205B">
        <w:rPr>
          <w:rFonts w:ascii="Calibri" w:hAnsi="Calibri" w:cs="Calibri"/>
          <w:sz w:val="22"/>
        </w:rPr>
        <w:t xml:space="preserve"> food to be provided to </w:t>
      </w:r>
      <w:r w:rsidR="00B621E7" w:rsidRPr="00F2205B">
        <w:rPr>
          <w:rFonts w:ascii="Calibri" w:hAnsi="Calibri" w:cs="Calibri"/>
          <w:sz w:val="22"/>
        </w:rPr>
        <w:t>people in need or directly to food relief organisations</w:t>
      </w:r>
      <w:r w:rsidR="00533D9B" w:rsidRPr="00F2205B">
        <w:rPr>
          <w:rFonts w:ascii="Calibri" w:hAnsi="Calibri" w:cs="Calibri"/>
          <w:sz w:val="22"/>
        </w:rPr>
        <w:t xml:space="preserve"> (Lideikyte Huber</w:t>
      </w:r>
      <w:r w:rsidR="003A4649">
        <w:rPr>
          <w:rFonts w:ascii="Calibri" w:hAnsi="Calibri" w:cs="Calibri"/>
          <w:sz w:val="22"/>
        </w:rPr>
        <w:t>,</w:t>
      </w:r>
      <w:r w:rsidR="00533D9B" w:rsidRPr="00F2205B">
        <w:rPr>
          <w:rFonts w:ascii="Calibri" w:hAnsi="Calibri" w:cs="Calibri"/>
          <w:sz w:val="22"/>
        </w:rPr>
        <w:t xml:space="preserve"> 2020). </w:t>
      </w:r>
    </w:p>
    <w:p w14:paraId="41CAA188" w14:textId="77777777" w:rsidR="00195BD4" w:rsidRDefault="00195BD4" w:rsidP="00F2205B">
      <w:pPr>
        <w:pStyle w:val="Heading3"/>
        <w:spacing w:before="0" w:after="0" w:line="240" w:lineRule="auto"/>
        <w:jc w:val="both"/>
        <w:rPr>
          <w:rFonts w:ascii="Calibri" w:hAnsi="Calibri" w:cs="Calibri"/>
          <w:sz w:val="22"/>
          <w:szCs w:val="22"/>
        </w:rPr>
      </w:pPr>
    </w:p>
    <w:p w14:paraId="322A7625" w14:textId="6B5EF169" w:rsidR="00254822" w:rsidRPr="00F2205B" w:rsidRDefault="00972A3C" w:rsidP="00F2205B">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Recommendation 12 </w:t>
      </w:r>
      <w:r w:rsidR="000B08CE">
        <w:rPr>
          <w:rFonts w:ascii="Calibri" w:hAnsi="Calibri" w:cs="Calibri"/>
          <w:sz w:val="22"/>
          <w:szCs w:val="22"/>
        </w:rPr>
        <w:t>c</w:t>
      </w:r>
      <w:r w:rsidR="00EB164E" w:rsidRPr="00F2205B">
        <w:rPr>
          <w:rFonts w:ascii="Calibri" w:hAnsi="Calibri" w:cs="Calibri"/>
          <w:sz w:val="22"/>
          <w:szCs w:val="22"/>
        </w:rPr>
        <w:t>onclusion</w:t>
      </w:r>
    </w:p>
    <w:p w14:paraId="464A4A43" w14:textId="77777777" w:rsidR="00195BD4" w:rsidRDefault="00195BD4" w:rsidP="00F2205B">
      <w:pPr>
        <w:spacing w:after="0" w:line="240" w:lineRule="auto"/>
        <w:jc w:val="both"/>
        <w:rPr>
          <w:rFonts w:ascii="Calibri" w:hAnsi="Calibri" w:cs="Calibri"/>
          <w:sz w:val="22"/>
        </w:rPr>
      </w:pPr>
    </w:p>
    <w:p w14:paraId="6D10E88A" w14:textId="15A3C1B0" w:rsidR="00533D9B" w:rsidRPr="00F2205B" w:rsidRDefault="007762B7" w:rsidP="00F2205B">
      <w:pPr>
        <w:spacing w:after="0" w:line="240" w:lineRule="auto"/>
        <w:jc w:val="both"/>
        <w:rPr>
          <w:rFonts w:ascii="Calibri" w:hAnsi="Calibri" w:cs="Calibri"/>
          <w:sz w:val="22"/>
        </w:rPr>
      </w:pPr>
      <w:r w:rsidRPr="00F2205B">
        <w:rPr>
          <w:rFonts w:ascii="Calibri" w:hAnsi="Calibri" w:cs="Calibri"/>
          <w:sz w:val="22"/>
        </w:rPr>
        <w:t xml:space="preserve">Recommendation 12 of the report was </w:t>
      </w:r>
      <w:r w:rsidR="00533D9B" w:rsidRPr="00F2205B">
        <w:rPr>
          <w:rFonts w:ascii="Calibri" w:hAnsi="Calibri" w:cs="Calibri"/>
          <w:sz w:val="22"/>
        </w:rPr>
        <w:t>t</w:t>
      </w:r>
      <w:r w:rsidRPr="00F2205B">
        <w:rPr>
          <w:rFonts w:ascii="Calibri" w:hAnsi="Calibri" w:cs="Calibri"/>
          <w:sz w:val="22"/>
        </w:rPr>
        <w:t xml:space="preserve">hat the Victorian Government advocate to the Commonwealth Government to support the implementation of a national food donation tax incentive. </w:t>
      </w:r>
      <w:r w:rsidR="00533D9B" w:rsidRPr="00F2205B">
        <w:rPr>
          <w:rFonts w:ascii="Calibri" w:hAnsi="Calibri" w:cs="Calibri"/>
          <w:sz w:val="22"/>
        </w:rPr>
        <w:t>This approach makes economic sense when applying basic theory, however international evidence is conflicting.</w:t>
      </w:r>
    </w:p>
    <w:p w14:paraId="19CD8662" w14:textId="77777777" w:rsidR="00195BD4" w:rsidRDefault="00195BD4" w:rsidP="00F2205B">
      <w:pPr>
        <w:spacing w:after="0" w:line="240" w:lineRule="auto"/>
        <w:jc w:val="both"/>
        <w:rPr>
          <w:rFonts w:ascii="Calibri" w:hAnsi="Calibri" w:cs="Calibri"/>
          <w:sz w:val="22"/>
        </w:rPr>
      </w:pPr>
    </w:p>
    <w:p w14:paraId="15132D77" w14:textId="2B0FD790" w:rsidR="00533D9B" w:rsidRPr="00F2205B" w:rsidRDefault="00533D9B" w:rsidP="00F2205B">
      <w:pPr>
        <w:spacing w:after="0" w:line="240" w:lineRule="auto"/>
        <w:jc w:val="both"/>
        <w:rPr>
          <w:rFonts w:ascii="Calibri" w:hAnsi="Calibri" w:cs="Calibri"/>
          <w:sz w:val="22"/>
        </w:rPr>
      </w:pPr>
      <w:r w:rsidRPr="00F2205B">
        <w:rPr>
          <w:rFonts w:ascii="Calibri" w:hAnsi="Calibri" w:cs="Calibri"/>
          <w:sz w:val="22"/>
        </w:rPr>
        <w:t>This approach is supported by evidence gathered by KPMG from among the food in</w:t>
      </w:r>
      <w:r w:rsidR="00EE0FF1" w:rsidRPr="00F2205B">
        <w:rPr>
          <w:rFonts w:ascii="Calibri" w:hAnsi="Calibri" w:cs="Calibri"/>
          <w:sz w:val="22"/>
        </w:rPr>
        <w:t>d</w:t>
      </w:r>
      <w:r w:rsidRPr="00F2205B">
        <w:rPr>
          <w:rFonts w:ascii="Calibri" w:hAnsi="Calibri" w:cs="Calibri"/>
          <w:sz w:val="22"/>
        </w:rPr>
        <w:t xml:space="preserve">ustry in Victoria, and the food relief industry. </w:t>
      </w:r>
      <w:r w:rsidR="008D064A" w:rsidRPr="00F2205B">
        <w:rPr>
          <w:rFonts w:ascii="Calibri" w:hAnsi="Calibri" w:cs="Calibri"/>
          <w:sz w:val="22"/>
        </w:rPr>
        <w:t xml:space="preserve">KPMG </w:t>
      </w:r>
      <w:r w:rsidR="006F045A" w:rsidRPr="00F2205B">
        <w:rPr>
          <w:rFonts w:ascii="Calibri" w:hAnsi="Calibri" w:cs="Calibri"/>
          <w:sz w:val="22"/>
        </w:rPr>
        <w:t xml:space="preserve">drew conclusions largely from </w:t>
      </w:r>
      <w:r w:rsidR="008B4CC4" w:rsidRPr="00F2205B">
        <w:rPr>
          <w:rFonts w:ascii="Calibri" w:hAnsi="Calibri" w:cs="Calibri"/>
          <w:sz w:val="22"/>
        </w:rPr>
        <w:t xml:space="preserve">consultation with food producers across Australia. This input is relevant considering it would require industry input and commitment for tax policy to be impactful. </w:t>
      </w:r>
    </w:p>
    <w:p w14:paraId="7D62B989" w14:textId="77777777" w:rsidR="00195BD4" w:rsidRDefault="00195BD4" w:rsidP="00F2205B">
      <w:pPr>
        <w:spacing w:after="0" w:line="240" w:lineRule="auto"/>
        <w:jc w:val="both"/>
        <w:rPr>
          <w:rFonts w:ascii="Calibri" w:hAnsi="Calibri" w:cs="Calibri"/>
          <w:sz w:val="22"/>
        </w:rPr>
      </w:pPr>
    </w:p>
    <w:p w14:paraId="4A021BE2" w14:textId="1BF5D6E5" w:rsidR="00533D9B" w:rsidRPr="00F2205B" w:rsidRDefault="00E83ABF" w:rsidP="00F2205B">
      <w:pPr>
        <w:spacing w:after="0" w:line="240" w:lineRule="auto"/>
        <w:jc w:val="both"/>
        <w:rPr>
          <w:rFonts w:ascii="Calibri" w:hAnsi="Calibri" w:cs="Calibri"/>
          <w:sz w:val="22"/>
        </w:rPr>
      </w:pPr>
      <w:r w:rsidRPr="00F2205B">
        <w:rPr>
          <w:rFonts w:ascii="Calibri" w:hAnsi="Calibri" w:cs="Calibri"/>
          <w:sz w:val="22"/>
        </w:rPr>
        <w:t xml:space="preserve">However, the lack of empirical evidence internationally </w:t>
      </w:r>
      <w:r w:rsidR="00111508" w:rsidRPr="00F2205B">
        <w:rPr>
          <w:rFonts w:ascii="Calibri" w:hAnsi="Calibri" w:cs="Calibri"/>
          <w:sz w:val="22"/>
        </w:rPr>
        <w:t xml:space="preserve">to support the policy </w:t>
      </w:r>
      <w:r w:rsidR="00F25BBC" w:rsidRPr="00F2205B">
        <w:rPr>
          <w:rFonts w:ascii="Calibri" w:hAnsi="Calibri" w:cs="Calibri"/>
          <w:sz w:val="22"/>
        </w:rPr>
        <w:t>should be cause for hesitation from</w:t>
      </w:r>
      <w:r w:rsidR="001A53F0" w:rsidRPr="00F2205B">
        <w:rPr>
          <w:rFonts w:ascii="Calibri" w:hAnsi="Calibri" w:cs="Calibri"/>
          <w:sz w:val="22"/>
        </w:rPr>
        <w:t xml:space="preserve"> </w:t>
      </w:r>
      <w:r w:rsidR="00F76510" w:rsidRPr="00F2205B">
        <w:rPr>
          <w:rFonts w:ascii="Calibri" w:hAnsi="Calibri" w:cs="Calibri"/>
          <w:sz w:val="22"/>
        </w:rPr>
        <w:t>the Victorian Government</w:t>
      </w:r>
      <w:r w:rsidR="001A53F0" w:rsidRPr="00F2205B">
        <w:rPr>
          <w:rFonts w:ascii="Calibri" w:hAnsi="Calibri" w:cs="Calibri"/>
          <w:sz w:val="22"/>
        </w:rPr>
        <w:t xml:space="preserve"> in </w:t>
      </w:r>
      <w:r w:rsidR="00F25BBC" w:rsidRPr="00F2205B">
        <w:rPr>
          <w:rFonts w:ascii="Calibri" w:hAnsi="Calibri" w:cs="Calibri"/>
          <w:sz w:val="22"/>
        </w:rPr>
        <w:t xml:space="preserve">advocating for similar policies in </w:t>
      </w:r>
      <w:r w:rsidR="00451B50" w:rsidRPr="00F2205B">
        <w:rPr>
          <w:rFonts w:ascii="Calibri" w:hAnsi="Calibri" w:cs="Calibri"/>
          <w:sz w:val="22"/>
        </w:rPr>
        <w:t>Australia</w:t>
      </w:r>
      <w:r w:rsidR="001A53F0" w:rsidRPr="00F2205B">
        <w:rPr>
          <w:rFonts w:ascii="Calibri" w:hAnsi="Calibri" w:cs="Calibri"/>
          <w:sz w:val="22"/>
        </w:rPr>
        <w:t xml:space="preserve">. Ultimately, the Victorian Government’s </w:t>
      </w:r>
      <w:r w:rsidR="00310911" w:rsidRPr="00F2205B">
        <w:rPr>
          <w:rFonts w:ascii="Calibri" w:hAnsi="Calibri" w:cs="Calibri"/>
          <w:sz w:val="22"/>
        </w:rPr>
        <w:t xml:space="preserve">hesitation, and agreement in principle, is likely a reasonable position </w:t>
      </w:r>
      <w:r w:rsidR="008012A4" w:rsidRPr="00F2205B">
        <w:rPr>
          <w:rFonts w:ascii="Calibri" w:hAnsi="Calibri" w:cs="Calibri"/>
          <w:sz w:val="22"/>
        </w:rPr>
        <w:t xml:space="preserve">until </w:t>
      </w:r>
      <w:r w:rsidR="00533D9B" w:rsidRPr="00F2205B">
        <w:rPr>
          <w:rFonts w:ascii="Calibri" w:hAnsi="Calibri" w:cs="Calibri"/>
          <w:sz w:val="22"/>
        </w:rPr>
        <w:t>stronger supporting research is conducted</w:t>
      </w:r>
      <w:r w:rsidR="008012A4" w:rsidRPr="00F2205B">
        <w:rPr>
          <w:rFonts w:ascii="Calibri" w:hAnsi="Calibri" w:cs="Calibri"/>
          <w:sz w:val="22"/>
        </w:rPr>
        <w:t xml:space="preserve">. </w:t>
      </w:r>
    </w:p>
    <w:p w14:paraId="4E70D7F6" w14:textId="77777777" w:rsidR="00195BD4" w:rsidRDefault="00195BD4" w:rsidP="00F2205B">
      <w:pPr>
        <w:pStyle w:val="Heading3"/>
        <w:spacing w:before="0" w:after="0" w:line="240" w:lineRule="auto"/>
        <w:jc w:val="both"/>
        <w:rPr>
          <w:rFonts w:ascii="Calibri" w:hAnsi="Calibri" w:cs="Calibri"/>
          <w:sz w:val="22"/>
          <w:szCs w:val="22"/>
        </w:rPr>
      </w:pPr>
    </w:p>
    <w:p w14:paraId="58189740" w14:textId="5B782A09" w:rsidR="00B73801" w:rsidRPr="00F2205B" w:rsidRDefault="0060761A" w:rsidP="009A4875">
      <w:pPr>
        <w:pStyle w:val="Heading1"/>
      </w:pPr>
      <w:r w:rsidRPr="00F2205B">
        <w:t xml:space="preserve">Recommendation 13 - </w:t>
      </w:r>
      <w:r w:rsidR="00BA2D5D" w:rsidRPr="00F2205B">
        <w:t>Food Waste Penalties</w:t>
      </w:r>
    </w:p>
    <w:p w14:paraId="215C8D9C" w14:textId="77777777" w:rsidR="00195BD4" w:rsidRDefault="00195BD4" w:rsidP="00F2205B">
      <w:pPr>
        <w:spacing w:after="0" w:line="240" w:lineRule="auto"/>
        <w:jc w:val="both"/>
        <w:rPr>
          <w:rFonts w:ascii="Calibri" w:hAnsi="Calibri" w:cs="Calibri"/>
          <w:sz w:val="22"/>
        </w:rPr>
      </w:pPr>
    </w:p>
    <w:p w14:paraId="45E31C34" w14:textId="16C78BAB" w:rsidR="00B73801" w:rsidRPr="00F2205B" w:rsidRDefault="00A46C6F" w:rsidP="00F2205B">
      <w:pPr>
        <w:spacing w:after="0" w:line="240" w:lineRule="auto"/>
        <w:jc w:val="both"/>
        <w:rPr>
          <w:rFonts w:ascii="Calibri" w:hAnsi="Calibri" w:cs="Calibri"/>
          <w:sz w:val="22"/>
        </w:rPr>
      </w:pPr>
      <w:r>
        <w:rPr>
          <w:rFonts w:ascii="Calibri" w:hAnsi="Calibri" w:cs="Calibri"/>
          <w:sz w:val="22"/>
        </w:rPr>
        <w:t>Also in</w:t>
      </w:r>
      <w:r w:rsidR="00B73801" w:rsidRPr="00F2205B">
        <w:rPr>
          <w:rFonts w:ascii="Calibri" w:hAnsi="Calibri" w:cs="Calibri"/>
          <w:sz w:val="22"/>
        </w:rPr>
        <w:t xml:space="preserve"> </w:t>
      </w:r>
      <w:r>
        <w:rPr>
          <w:rFonts w:ascii="Calibri" w:hAnsi="Calibri" w:cs="Calibri"/>
          <w:sz w:val="22"/>
        </w:rPr>
        <w:t>C</w:t>
      </w:r>
      <w:r w:rsidR="00B73801" w:rsidRPr="00F2205B">
        <w:rPr>
          <w:rFonts w:ascii="Calibri" w:hAnsi="Calibri" w:cs="Calibri"/>
          <w:sz w:val="22"/>
        </w:rPr>
        <w:t>hapter 5, the inquiry includes a recommendation that the Victorian government explore penalties</w:t>
      </w:r>
      <w:r w:rsidR="003274B9">
        <w:rPr>
          <w:rFonts w:ascii="Calibri" w:hAnsi="Calibri" w:cs="Calibri"/>
          <w:sz w:val="22"/>
        </w:rPr>
        <w:t xml:space="preserve"> </w:t>
      </w:r>
      <w:r w:rsidR="00B73801" w:rsidRPr="00F2205B">
        <w:rPr>
          <w:rFonts w:ascii="Calibri" w:hAnsi="Calibri" w:cs="Calibri"/>
          <w:sz w:val="22"/>
        </w:rPr>
        <w:t>along the supply chain</w:t>
      </w:r>
      <w:r w:rsidR="004A13A0" w:rsidRPr="00F2205B">
        <w:rPr>
          <w:rFonts w:ascii="Calibri" w:hAnsi="Calibri" w:cs="Calibri"/>
          <w:sz w:val="22"/>
        </w:rPr>
        <w:t xml:space="preserve"> to mitigate food wastage</w:t>
      </w:r>
      <w:r w:rsidR="00B73801" w:rsidRPr="00F2205B">
        <w:rPr>
          <w:rFonts w:ascii="Calibri" w:hAnsi="Calibri" w:cs="Calibri"/>
          <w:sz w:val="22"/>
        </w:rPr>
        <w:t xml:space="preserve">. This recommendation included no analysis </w:t>
      </w:r>
      <w:r w:rsidR="00B73801" w:rsidRPr="00F2205B">
        <w:rPr>
          <w:rFonts w:ascii="Calibri" w:hAnsi="Calibri" w:cs="Calibri"/>
          <w:sz w:val="22"/>
        </w:rPr>
        <w:lastRenderedPageBreak/>
        <w:t xml:space="preserve">of the potential impacts, positive or negative, that these penalties may cause, or how they could be implemented. This leaves significant leeway for the government to </w:t>
      </w:r>
      <w:r w:rsidR="00E83ABF" w:rsidRPr="00F2205B">
        <w:rPr>
          <w:rFonts w:ascii="Calibri" w:hAnsi="Calibri" w:cs="Calibri"/>
          <w:sz w:val="22"/>
        </w:rPr>
        <w:t>identify</w:t>
      </w:r>
      <w:r w:rsidR="00B73801" w:rsidRPr="00F2205B">
        <w:rPr>
          <w:rFonts w:ascii="Calibri" w:hAnsi="Calibri" w:cs="Calibri"/>
          <w:sz w:val="22"/>
        </w:rPr>
        <w:t xml:space="preserve"> the optimal approaches.</w:t>
      </w:r>
    </w:p>
    <w:p w14:paraId="0E05B8A8" w14:textId="77777777" w:rsidR="00195BD4" w:rsidRDefault="00195BD4" w:rsidP="00F2205B">
      <w:pPr>
        <w:spacing w:after="0" w:line="240" w:lineRule="auto"/>
        <w:jc w:val="both"/>
        <w:rPr>
          <w:rFonts w:ascii="Calibri" w:hAnsi="Calibri" w:cs="Calibri"/>
          <w:sz w:val="22"/>
        </w:rPr>
      </w:pPr>
    </w:p>
    <w:p w14:paraId="0737B7B1" w14:textId="6F53051F" w:rsidR="00B73801" w:rsidRPr="00F2205B" w:rsidRDefault="00B73801" w:rsidP="00F2205B">
      <w:pPr>
        <w:spacing w:after="0" w:line="240" w:lineRule="auto"/>
        <w:jc w:val="both"/>
        <w:rPr>
          <w:rFonts w:ascii="Calibri" w:hAnsi="Calibri" w:cs="Calibri"/>
          <w:sz w:val="22"/>
        </w:rPr>
      </w:pPr>
      <w:r w:rsidRPr="00F2205B">
        <w:rPr>
          <w:rFonts w:ascii="Calibri" w:hAnsi="Calibri" w:cs="Calibri"/>
          <w:sz w:val="22"/>
        </w:rPr>
        <w:t xml:space="preserve">There is little previous research on the impact of these kinds of penalties on food security. However, concerns about food waste have been explored </w:t>
      </w:r>
      <w:r w:rsidR="0048662E" w:rsidRPr="00F2205B">
        <w:rPr>
          <w:rFonts w:ascii="Calibri" w:hAnsi="Calibri" w:cs="Calibri"/>
          <w:sz w:val="22"/>
        </w:rPr>
        <w:t xml:space="preserve">extensively </w:t>
      </w:r>
      <w:r w:rsidRPr="00F2205B">
        <w:rPr>
          <w:rFonts w:ascii="Calibri" w:hAnsi="Calibri" w:cs="Calibri"/>
          <w:sz w:val="22"/>
        </w:rPr>
        <w:t xml:space="preserve">due </w:t>
      </w:r>
      <w:r w:rsidR="0048662E" w:rsidRPr="00F2205B">
        <w:rPr>
          <w:rFonts w:ascii="Calibri" w:hAnsi="Calibri" w:cs="Calibri"/>
          <w:sz w:val="22"/>
        </w:rPr>
        <w:t xml:space="preserve">to </w:t>
      </w:r>
      <w:r w:rsidRPr="00F2205B">
        <w:rPr>
          <w:rFonts w:ascii="Calibri" w:hAnsi="Calibri" w:cs="Calibri"/>
          <w:sz w:val="22"/>
        </w:rPr>
        <w:t>its environmental impacts</w:t>
      </w:r>
      <w:r w:rsidR="00E03408" w:rsidRPr="00F2205B">
        <w:rPr>
          <w:rFonts w:ascii="Calibri" w:hAnsi="Calibri" w:cs="Calibri"/>
          <w:sz w:val="22"/>
        </w:rPr>
        <w:t xml:space="preserve">, and these can be just as useful to analyse for </w:t>
      </w:r>
      <w:r w:rsidR="00C62EAF" w:rsidRPr="00F2205B">
        <w:rPr>
          <w:rFonts w:ascii="Calibri" w:hAnsi="Calibri" w:cs="Calibri"/>
          <w:sz w:val="22"/>
        </w:rPr>
        <w:t xml:space="preserve">reduction purposes </w:t>
      </w:r>
      <w:r w:rsidRPr="00F2205B">
        <w:rPr>
          <w:rFonts w:ascii="Calibri" w:hAnsi="Calibri" w:cs="Calibri"/>
          <w:sz w:val="22"/>
        </w:rPr>
        <w:t>(Kosseva &amp; Webb</w:t>
      </w:r>
      <w:r w:rsidR="00154DEB">
        <w:rPr>
          <w:rFonts w:ascii="Calibri" w:hAnsi="Calibri" w:cs="Calibri"/>
          <w:sz w:val="22"/>
        </w:rPr>
        <w:t>,</w:t>
      </w:r>
      <w:r w:rsidRPr="00F2205B">
        <w:rPr>
          <w:rFonts w:ascii="Calibri" w:hAnsi="Calibri" w:cs="Calibri"/>
          <w:sz w:val="22"/>
        </w:rPr>
        <w:t xml:space="preserve"> 2020). Aside from the potential positives in redistributing food, the waste contributes significantly to </w:t>
      </w:r>
      <w:r w:rsidR="0008350C" w:rsidRPr="00F2205B">
        <w:rPr>
          <w:rFonts w:ascii="Calibri" w:hAnsi="Calibri" w:cs="Calibri"/>
          <w:sz w:val="22"/>
        </w:rPr>
        <w:t>c</w:t>
      </w:r>
      <w:r w:rsidRPr="00F2205B">
        <w:rPr>
          <w:rFonts w:ascii="Calibri" w:hAnsi="Calibri" w:cs="Calibri"/>
          <w:sz w:val="22"/>
        </w:rPr>
        <w:t>limate change. Food in landfill emits carbon dioxide (CO</w:t>
      </w:r>
      <w:r w:rsidRPr="00247755">
        <w:rPr>
          <w:rFonts w:ascii="Calibri" w:hAnsi="Calibri" w:cs="Calibri"/>
          <w:sz w:val="22"/>
          <w:vertAlign w:val="subscript"/>
        </w:rPr>
        <w:t>2</w:t>
      </w:r>
      <w:r w:rsidRPr="00F2205B">
        <w:rPr>
          <w:rFonts w:ascii="Calibri" w:hAnsi="Calibri" w:cs="Calibri"/>
          <w:sz w:val="22"/>
        </w:rPr>
        <w:t>) when breaking down. Sustainability Victoria (2020) estimated that Victorian food waste is responsible for 3.15 million tonnes of CO</w:t>
      </w:r>
      <w:r w:rsidRPr="00247755">
        <w:rPr>
          <w:rFonts w:ascii="Calibri" w:hAnsi="Calibri" w:cs="Calibri"/>
          <w:sz w:val="22"/>
          <w:vertAlign w:val="subscript"/>
        </w:rPr>
        <w:t>2</w:t>
      </w:r>
      <w:r w:rsidRPr="00F2205B">
        <w:rPr>
          <w:rFonts w:ascii="Calibri" w:hAnsi="Calibri" w:cs="Calibri"/>
          <w:sz w:val="22"/>
        </w:rPr>
        <w:t xml:space="preserve"> each year. Further, unconsumed food also represents </w:t>
      </w:r>
      <w:r w:rsidR="0070730E">
        <w:rPr>
          <w:rFonts w:ascii="Calibri" w:hAnsi="Calibri" w:cs="Calibri"/>
          <w:sz w:val="22"/>
        </w:rPr>
        <w:t xml:space="preserve">the costs to society of </w:t>
      </w:r>
      <w:r w:rsidRPr="00F2205B">
        <w:rPr>
          <w:rFonts w:ascii="Calibri" w:hAnsi="Calibri" w:cs="Calibri"/>
          <w:sz w:val="22"/>
        </w:rPr>
        <w:t>water</w:t>
      </w:r>
      <w:r w:rsidR="00FB40F5">
        <w:rPr>
          <w:rFonts w:ascii="Calibri" w:hAnsi="Calibri" w:cs="Calibri"/>
          <w:sz w:val="22"/>
        </w:rPr>
        <w:t>,</w:t>
      </w:r>
      <w:r w:rsidRPr="00F2205B">
        <w:rPr>
          <w:rFonts w:ascii="Calibri" w:hAnsi="Calibri" w:cs="Calibri"/>
          <w:sz w:val="22"/>
        </w:rPr>
        <w:t xml:space="preserve"> land </w:t>
      </w:r>
      <w:r w:rsidR="00FB40F5">
        <w:rPr>
          <w:rFonts w:ascii="Calibri" w:hAnsi="Calibri" w:cs="Calibri"/>
          <w:sz w:val="22"/>
        </w:rPr>
        <w:t xml:space="preserve">and other inputs </w:t>
      </w:r>
      <w:r w:rsidRPr="00F2205B">
        <w:rPr>
          <w:rFonts w:ascii="Calibri" w:hAnsi="Calibri" w:cs="Calibri"/>
          <w:sz w:val="22"/>
        </w:rPr>
        <w:t>used in its production that could have been conserved.</w:t>
      </w:r>
    </w:p>
    <w:p w14:paraId="1BD11562" w14:textId="77777777" w:rsidR="00195BD4" w:rsidRDefault="00195BD4" w:rsidP="00F2205B">
      <w:pPr>
        <w:spacing w:after="0" w:line="240" w:lineRule="auto"/>
        <w:jc w:val="both"/>
        <w:rPr>
          <w:rFonts w:ascii="Calibri" w:hAnsi="Calibri" w:cs="Calibri"/>
          <w:sz w:val="22"/>
        </w:rPr>
      </w:pPr>
    </w:p>
    <w:p w14:paraId="0319D799" w14:textId="391A62E7" w:rsidR="00832B17" w:rsidRPr="00F2205B" w:rsidRDefault="00533D9B" w:rsidP="00F2205B">
      <w:pPr>
        <w:spacing w:after="0" w:line="240" w:lineRule="auto"/>
        <w:jc w:val="both"/>
        <w:rPr>
          <w:rFonts w:ascii="Calibri" w:hAnsi="Calibri" w:cs="Calibri"/>
          <w:sz w:val="22"/>
        </w:rPr>
      </w:pPr>
      <w:r w:rsidRPr="00F2205B">
        <w:rPr>
          <w:rFonts w:ascii="Calibri" w:hAnsi="Calibri" w:cs="Calibri"/>
          <w:sz w:val="22"/>
        </w:rPr>
        <w:t xml:space="preserve">Simple </w:t>
      </w:r>
      <w:r w:rsidR="0008350C" w:rsidRPr="00F2205B">
        <w:rPr>
          <w:rFonts w:ascii="Calibri" w:hAnsi="Calibri" w:cs="Calibri"/>
          <w:sz w:val="22"/>
        </w:rPr>
        <w:t>e</w:t>
      </w:r>
      <w:r w:rsidR="00832B17" w:rsidRPr="00F2205B">
        <w:rPr>
          <w:rFonts w:ascii="Calibri" w:hAnsi="Calibri" w:cs="Calibri"/>
          <w:sz w:val="22"/>
        </w:rPr>
        <w:t xml:space="preserve">conomic theory would indicate that </w:t>
      </w:r>
      <w:r w:rsidR="008E055C" w:rsidRPr="00F2205B">
        <w:rPr>
          <w:rFonts w:ascii="Calibri" w:hAnsi="Calibri" w:cs="Calibri"/>
          <w:sz w:val="22"/>
        </w:rPr>
        <w:t xml:space="preserve">any additional costs charged for food waste would incentivise actors along the supply chain to take action to reduce waste. </w:t>
      </w:r>
      <w:r w:rsidR="00347ADB">
        <w:rPr>
          <w:rFonts w:ascii="Calibri" w:hAnsi="Calibri" w:cs="Calibri"/>
          <w:sz w:val="22"/>
        </w:rPr>
        <w:t xml:space="preserve">The </w:t>
      </w:r>
      <w:r w:rsidR="00A95F89" w:rsidRPr="00F2205B">
        <w:rPr>
          <w:rFonts w:ascii="Calibri" w:hAnsi="Calibri" w:cs="Calibri"/>
          <w:sz w:val="22"/>
        </w:rPr>
        <w:t xml:space="preserve">costs incurred in reducing waste would be acceptable, up to the amount that the fines for this waste would be. </w:t>
      </w:r>
    </w:p>
    <w:p w14:paraId="63EEFE78" w14:textId="77777777" w:rsidR="00195BD4" w:rsidRDefault="00195BD4" w:rsidP="00F2205B">
      <w:pPr>
        <w:spacing w:after="0" w:line="240" w:lineRule="auto"/>
        <w:jc w:val="both"/>
        <w:rPr>
          <w:rFonts w:ascii="Calibri" w:hAnsi="Calibri" w:cs="Calibri"/>
          <w:sz w:val="22"/>
        </w:rPr>
      </w:pPr>
    </w:p>
    <w:p w14:paraId="7E7B23CB" w14:textId="3F2E07D3" w:rsidR="00C56312" w:rsidRPr="00F2205B" w:rsidRDefault="00B55EBC" w:rsidP="00F2205B">
      <w:pPr>
        <w:spacing w:after="0" w:line="240" w:lineRule="auto"/>
        <w:jc w:val="both"/>
        <w:rPr>
          <w:rFonts w:ascii="Calibri" w:hAnsi="Calibri" w:cs="Calibri"/>
          <w:sz w:val="22"/>
        </w:rPr>
      </w:pPr>
      <w:r w:rsidRPr="00F2205B">
        <w:rPr>
          <w:rFonts w:ascii="Calibri" w:hAnsi="Calibri" w:cs="Calibri"/>
          <w:sz w:val="22"/>
        </w:rPr>
        <w:t xml:space="preserve">A significant challenge in analysing this </w:t>
      </w:r>
      <w:r w:rsidR="00113E48" w:rsidRPr="00F2205B">
        <w:rPr>
          <w:rFonts w:ascii="Calibri" w:hAnsi="Calibri" w:cs="Calibri"/>
          <w:sz w:val="22"/>
        </w:rPr>
        <w:t>recommendation</w:t>
      </w:r>
      <w:r w:rsidRPr="00F2205B">
        <w:rPr>
          <w:rFonts w:ascii="Calibri" w:hAnsi="Calibri" w:cs="Calibri"/>
          <w:sz w:val="22"/>
        </w:rPr>
        <w:t xml:space="preserve"> is </w:t>
      </w:r>
      <w:r w:rsidR="00A63605" w:rsidRPr="00F2205B">
        <w:rPr>
          <w:rFonts w:ascii="Calibri" w:hAnsi="Calibri" w:cs="Calibri"/>
          <w:sz w:val="22"/>
        </w:rPr>
        <w:t>the lack of empirical evidence to draw on. Few countries have adopted penalty</w:t>
      </w:r>
      <w:r w:rsidR="008820BA" w:rsidRPr="00F2205B">
        <w:rPr>
          <w:rFonts w:ascii="Calibri" w:hAnsi="Calibri" w:cs="Calibri"/>
          <w:sz w:val="22"/>
        </w:rPr>
        <w:t>-</w:t>
      </w:r>
      <w:r w:rsidR="00A63605" w:rsidRPr="00F2205B">
        <w:rPr>
          <w:rFonts w:ascii="Calibri" w:hAnsi="Calibri" w:cs="Calibri"/>
          <w:sz w:val="22"/>
        </w:rPr>
        <w:t>based policies to tackle food waste</w:t>
      </w:r>
      <w:r w:rsidR="009D7649" w:rsidRPr="00F2205B">
        <w:rPr>
          <w:rFonts w:ascii="Calibri" w:hAnsi="Calibri" w:cs="Calibri"/>
          <w:sz w:val="22"/>
        </w:rPr>
        <w:t xml:space="preserve">. </w:t>
      </w:r>
      <w:r w:rsidR="008820BA" w:rsidRPr="00F2205B">
        <w:rPr>
          <w:rFonts w:ascii="Calibri" w:hAnsi="Calibri" w:cs="Calibri"/>
          <w:sz w:val="22"/>
        </w:rPr>
        <w:t xml:space="preserve">The most prominent example is </w:t>
      </w:r>
      <w:r w:rsidR="00E169AA" w:rsidRPr="00F2205B">
        <w:rPr>
          <w:rFonts w:ascii="Calibri" w:hAnsi="Calibri" w:cs="Calibri"/>
          <w:sz w:val="22"/>
        </w:rPr>
        <w:t>China</w:t>
      </w:r>
      <w:r w:rsidR="008820BA" w:rsidRPr="00F2205B">
        <w:rPr>
          <w:rFonts w:ascii="Calibri" w:hAnsi="Calibri" w:cs="Calibri"/>
          <w:sz w:val="22"/>
        </w:rPr>
        <w:t>’s</w:t>
      </w:r>
      <w:r w:rsidR="0010190C" w:rsidRPr="00F2205B">
        <w:rPr>
          <w:rFonts w:ascii="Calibri" w:hAnsi="Calibri" w:cs="Calibri"/>
          <w:sz w:val="22"/>
        </w:rPr>
        <w:t xml:space="preserve"> anti</w:t>
      </w:r>
      <w:r w:rsidR="00272DFE" w:rsidRPr="00F2205B">
        <w:rPr>
          <w:rFonts w:ascii="Calibri" w:hAnsi="Calibri" w:cs="Calibri"/>
          <w:sz w:val="22"/>
        </w:rPr>
        <w:noBreakHyphen/>
      </w:r>
      <w:r w:rsidR="0010190C" w:rsidRPr="00F2205B">
        <w:rPr>
          <w:rFonts w:ascii="Calibri" w:hAnsi="Calibri" w:cs="Calibri"/>
          <w:sz w:val="22"/>
        </w:rPr>
        <w:t>food waste laws</w:t>
      </w:r>
      <w:r w:rsidR="008820BA" w:rsidRPr="00F2205B">
        <w:rPr>
          <w:rFonts w:ascii="Calibri" w:hAnsi="Calibri" w:cs="Calibri"/>
          <w:sz w:val="22"/>
        </w:rPr>
        <w:t>, which were introduced</w:t>
      </w:r>
      <w:r w:rsidR="0010190C" w:rsidRPr="00F2205B">
        <w:rPr>
          <w:rFonts w:ascii="Calibri" w:hAnsi="Calibri" w:cs="Calibri"/>
          <w:sz w:val="22"/>
        </w:rPr>
        <w:t xml:space="preserve"> </w:t>
      </w:r>
      <w:r w:rsidR="00272DFE" w:rsidRPr="00F2205B">
        <w:rPr>
          <w:rFonts w:ascii="Calibri" w:hAnsi="Calibri" w:cs="Calibri"/>
          <w:sz w:val="22"/>
        </w:rPr>
        <w:t>in</w:t>
      </w:r>
      <w:r w:rsidR="0010190C" w:rsidRPr="00F2205B">
        <w:rPr>
          <w:rFonts w:ascii="Calibri" w:hAnsi="Calibri" w:cs="Calibri"/>
          <w:sz w:val="22"/>
        </w:rPr>
        <w:t xml:space="preserve"> 2021.</w:t>
      </w:r>
      <w:r w:rsidR="00C67284" w:rsidRPr="00F2205B">
        <w:rPr>
          <w:rFonts w:ascii="Calibri" w:hAnsi="Calibri" w:cs="Calibri"/>
          <w:sz w:val="22"/>
        </w:rPr>
        <w:t xml:space="preserve"> </w:t>
      </w:r>
    </w:p>
    <w:p w14:paraId="76A69A20" w14:textId="77777777" w:rsidR="00195BD4" w:rsidRDefault="00195BD4" w:rsidP="00F2205B">
      <w:pPr>
        <w:spacing w:after="0" w:line="240" w:lineRule="auto"/>
        <w:jc w:val="both"/>
        <w:rPr>
          <w:rFonts w:ascii="Calibri" w:hAnsi="Calibri" w:cs="Calibri"/>
          <w:sz w:val="22"/>
        </w:rPr>
      </w:pPr>
    </w:p>
    <w:p w14:paraId="7CA07138" w14:textId="18804EB6" w:rsidR="00FF3D41" w:rsidRPr="00F2205B" w:rsidRDefault="00D56152" w:rsidP="00F2205B">
      <w:pPr>
        <w:spacing w:after="0" w:line="240" w:lineRule="auto"/>
        <w:jc w:val="both"/>
        <w:rPr>
          <w:rFonts w:ascii="Calibri" w:hAnsi="Calibri" w:cs="Calibri"/>
          <w:sz w:val="22"/>
        </w:rPr>
      </w:pPr>
      <w:r w:rsidRPr="00F2205B">
        <w:rPr>
          <w:rFonts w:ascii="Calibri" w:hAnsi="Calibri" w:cs="Calibri"/>
          <w:sz w:val="22"/>
        </w:rPr>
        <w:t xml:space="preserve">The Chinese laws have been difficult to </w:t>
      </w:r>
      <w:r w:rsidR="00060115" w:rsidRPr="00F2205B">
        <w:rPr>
          <w:rFonts w:ascii="Calibri" w:hAnsi="Calibri" w:cs="Calibri"/>
          <w:sz w:val="22"/>
        </w:rPr>
        <w:t xml:space="preserve">study, both due to constraints on </w:t>
      </w:r>
      <w:r w:rsidR="00966B1C" w:rsidRPr="00F2205B">
        <w:rPr>
          <w:rFonts w:ascii="Calibri" w:hAnsi="Calibri" w:cs="Calibri"/>
          <w:sz w:val="22"/>
        </w:rPr>
        <w:t xml:space="preserve">release of information in China, and significant variance in enforcement of the laws, leading to potential errors in any analysis (Shen </w:t>
      </w:r>
      <w:r w:rsidR="009E3601">
        <w:rPr>
          <w:rFonts w:ascii="Calibri" w:hAnsi="Calibri" w:cs="Calibri"/>
          <w:sz w:val="22"/>
        </w:rPr>
        <w:t>et al.</w:t>
      </w:r>
      <w:r w:rsidR="00043243">
        <w:rPr>
          <w:rFonts w:ascii="Calibri" w:hAnsi="Calibri" w:cs="Calibri"/>
          <w:sz w:val="22"/>
        </w:rPr>
        <w:t xml:space="preserve">, </w:t>
      </w:r>
      <w:r w:rsidR="00966B1C" w:rsidRPr="00F2205B">
        <w:rPr>
          <w:rFonts w:ascii="Calibri" w:hAnsi="Calibri" w:cs="Calibri"/>
          <w:sz w:val="22"/>
        </w:rPr>
        <w:t>2023).</w:t>
      </w:r>
      <w:r w:rsidR="00B907FA" w:rsidRPr="00F2205B">
        <w:rPr>
          <w:rFonts w:ascii="Calibri" w:hAnsi="Calibri" w:cs="Calibri"/>
          <w:sz w:val="22"/>
        </w:rPr>
        <w:t xml:space="preserve"> </w:t>
      </w:r>
      <w:r w:rsidR="00966B1C" w:rsidRPr="00F2205B">
        <w:rPr>
          <w:rFonts w:ascii="Calibri" w:hAnsi="Calibri" w:cs="Calibri"/>
          <w:sz w:val="22"/>
        </w:rPr>
        <w:t xml:space="preserve">The studies that have been </w:t>
      </w:r>
      <w:r w:rsidR="00424D41" w:rsidRPr="00F2205B">
        <w:rPr>
          <w:rFonts w:ascii="Calibri" w:hAnsi="Calibri" w:cs="Calibri"/>
          <w:sz w:val="22"/>
        </w:rPr>
        <w:t xml:space="preserve">conducted on the </w:t>
      </w:r>
      <w:r w:rsidR="00FE263F" w:rsidRPr="00F2205B">
        <w:rPr>
          <w:rFonts w:ascii="Calibri" w:hAnsi="Calibri" w:cs="Calibri"/>
          <w:sz w:val="22"/>
        </w:rPr>
        <w:t>Chinese anti-food waste</w:t>
      </w:r>
      <w:r w:rsidR="00FF3D41" w:rsidRPr="00F2205B">
        <w:rPr>
          <w:rFonts w:ascii="Calibri" w:hAnsi="Calibri" w:cs="Calibri"/>
          <w:sz w:val="22"/>
        </w:rPr>
        <w:t xml:space="preserve"> </w:t>
      </w:r>
      <w:r w:rsidR="00FE263F" w:rsidRPr="00F2205B">
        <w:rPr>
          <w:rFonts w:ascii="Calibri" w:hAnsi="Calibri" w:cs="Calibri"/>
          <w:sz w:val="22"/>
        </w:rPr>
        <w:t>l</w:t>
      </w:r>
      <w:r w:rsidR="00FF3D41" w:rsidRPr="00F2205B">
        <w:rPr>
          <w:rFonts w:ascii="Calibri" w:hAnsi="Calibri" w:cs="Calibri"/>
          <w:sz w:val="22"/>
        </w:rPr>
        <w:t>aws have been criticised for a lack of specificity</w:t>
      </w:r>
      <w:r w:rsidR="00FE263F" w:rsidRPr="00F2205B">
        <w:rPr>
          <w:rFonts w:ascii="Calibri" w:hAnsi="Calibri" w:cs="Calibri"/>
          <w:sz w:val="22"/>
        </w:rPr>
        <w:t xml:space="preserve">, </w:t>
      </w:r>
      <w:r w:rsidR="00432AC5" w:rsidRPr="00F2205B">
        <w:rPr>
          <w:rFonts w:ascii="Calibri" w:hAnsi="Calibri" w:cs="Calibri"/>
          <w:sz w:val="22"/>
        </w:rPr>
        <w:t xml:space="preserve">suggesting their primary function is a declaration of values to direct Chinese attention to food waste as an issue </w:t>
      </w:r>
      <w:r w:rsidR="005C7234" w:rsidRPr="00F2205B">
        <w:rPr>
          <w:rFonts w:ascii="Calibri" w:hAnsi="Calibri" w:cs="Calibri"/>
          <w:sz w:val="22"/>
        </w:rPr>
        <w:t>(</w:t>
      </w:r>
      <w:r w:rsidR="00CE1EA5" w:rsidRPr="00F2205B">
        <w:rPr>
          <w:rFonts w:ascii="Calibri" w:hAnsi="Calibri" w:cs="Calibri"/>
          <w:sz w:val="22"/>
        </w:rPr>
        <w:t xml:space="preserve">Wang </w:t>
      </w:r>
      <w:r w:rsidR="009E3601">
        <w:rPr>
          <w:rFonts w:ascii="Calibri" w:hAnsi="Calibri" w:cs="Calibri"/>
          <w:sz w:val="22"/>
        </w:rPr>
        <w:t>et al.</w:t>
      </w:r>
      <w:r w:rsidR="00A33AB7">
        <w:rPr>
          <w:rFonts w:ascii="Calibri" w:hAnsi="Calibri" w:cs="Calibri"/>
          <w:sz w:val="22"/>
        </w:rPr>
        <w:t xml:space="preserve">, </w:t>
      </w:r>
      <w:r w:rsidR="00CE1EA5" w:rsidRPr="00F2205B">
        <w:rPr>
          <w:rFonts w:ascii="Calibri" w:hAnsi="Calibri" w:cs="Calibri"/>
          <w:sz w:val="22"/>
        </w:rPr>
        <w:t>2022</w:t>
      </w:r>
      <w:r w:rsidR="00A33AB7">
        <w:rPr>
          <w:rFonts w:ascii="Calibri" w:hAnsi="Calibri" w:cs="Calibri"/>
          <w:sz w:val="22"/>
        </w:rPr>
        <w:t>;</w:t>
      </w:r>
      <w:r w:rsidR="00424D41" w:rsidRPr="00F2205B">
        <w:rPr>
          <w:rFonts w:ascii="Calibri" w:hAnsi="Calibri" w:cs="Calibri"/>
          <w:sz w:val="22"/>
        </w:rPr>
        <w:t xml:space="preserve"> Shen </w:t>
      </w:r>
      <w:r w:rsidR="009E3601">
        <w:rPr>
          <w:rFonts w:ascii="Calibri" w:hAnsi="Calibri" w:cs="Calibri"/>
          <w:sz w:val="22"/>
        </w:rPr>
        <w:t>et al.</w:t>
      </w:r>
      <w:r w:rsidR="00A33AB7">
        <w:rPr>
          <w:rFonts w:ascii="Calibri" w:hAnsi="Calibri" w:cs="Calibri"/>
          <w:sz w:val="22"/>
        </w:rPr>
        <w:t xml:space="preserve">, </w:t>
      </w:r>
      <w:r w:rsidR="00424D41" w:rsidRPr="00F2205B">
        <w:rPr>
          <w:rFonts w:ascii="Calibri" w:hAnsi="Calibri" w:cs="Calibri"/>
          <w:sz w:val="22"/>
        </w:rPr>
        <w:t>2023</w:t>
      </w:r>
      <w:r w:rsidR="00CE1EA5" w:rsidRPr="00F2205B">
        <w:rPr>
          <w:rFonts w:ascii="Calibri" w:hAnsi="Calibri" w:cs="Calibri"/>
          <w:sz w:val="22"/>
        </w:rPr>
        <w:t>)</w:t>
      </w:r>
      <w:r w:rsidR="00B907FA" w:rsidRPr="00F2205B">
        <w:rPr>
          <w:rFonts w:ascii="Calibri" w:hAnsi="Calibri" w:cs="Calibri"/>
          <w:sz w:val="22"/>
        </w:rPr>
        <w:t>.</w:t>
      </w:r>
      <w:r w:rsidRPr="00F2205B">
        <w:rPr>
          <w:rFonts w:ascii="Calibri" w:hAnsi="Calibri" w:cs="Calibri"/>
          <w:sz w:val="22"/>
        </w:rPr>
        <w:t xml:space="preserve"> </w:t>
      </w:r>
    </w:p>
    <w:p w14:paraId="23857CEB" w14:textId="77777777" w:rsidR="00195BD4" w:rsidRDefault="00195BD4" w:rsidP="00F2205B">
      <w:pPr>
        <w:spacing w:after="0" w:line="240" w:lineRule="auto"/>
        <w:jc w:val="both"/>
        <w:rPr>
          <w:rFonts w:ascii="Calibri" w:hAnsi="Calibri" w:cs="Calibri"/>
          <w:sz w:val="22"/>
        </w:rPr>
      </w:pPr>
    </w:p>
    <w:p w14:paraId="14F6C764" w14:textId="63AA9E5C" w:rsidR="00145BA7" w:rsidRPr="00F2205B" w:rsidRDefault="00145BA7" w:rsidP="00F2205B">
      <w:pPr>
        <w:spacing w:after="0" w:line="240" w:lineRule="auto"/>
        <w:jc w:val="both"/>
        <w:rPr>
          <w:rFonts w:ascii="Calibri" w:hAnsi="Calibri" w:cs="Calibri"/>
          <w:sz w:val="22"/>
        </w:rPr>
      </w:pPr>
      <w:r w:rsidRPr="00F2205B">
        <w:rPr>
          <w:rFonts w:ascii="Calibri" w:hAnsi="Calibri" w:cs="Calibri"/>
          <w:sz w:val="22"/>
        </w:rPr>
        <w:t xml:space="preserve">Additionally, research on </w:t>
      </w:r>
      <w:r w:rsidR="00A33AB7">
        <w:rPr>
          <w:rFonts w:ascii="Calibri" w:hAnsi="Calibri" w:cs="Calibri"/>
          <w:sz w:val="22"/>
        </w:rPr>
        <w:t xml:space="preserve">the effectiveness of </w:t>
      </w:r>
      <w:r w:rsidRPr="00F2205B">
        <w:rPr>
          <w:rFonts w:ascii="Calibri" w:hAnsi="Calibri" w:cs="Calibri"/>
          <w:sz w:val="22"/>
        </w:rPr>
        <w:t>Chinese food waste laws</w:t>
      </w:r>
      <w:r w:rsidR="0016170B" w:rsidRPr="00F2205B">
        <w:rPr>
          <w:rFonts w:ascii="Calibri" w:hAnsi="Calibri" w:cs="Calibri"/>
          <w:sz w:val="22"/>
        </w:rPr>
        <w:t xml:space="preserve"> would need to contend with the cultural differences in </w:t>
      </w:r>
      <w:r w:rsidR="00B3587C" w:rsidRPr="00F2205B">
        <w:rPr>
          <w:rFonts w:ascii="Calibri" w:hAnsi="Calibri" w:cs="Calibri"/>
          <w:sz w:val="22"/>
        </w:rPr>
        <w:t>attitudes</w:t>
      </w:r>
      <w:r w:rsidR="0016170B" w:rsidRPr="00F2205B">
        <w:rPr>
          <w:rFonts w:ascii="Calibri" w:hAnsi="Calibri" w:cs="Calibri"/>
          <w:sz w:val="22"/>
        </w:rPr>
        <w:t xml:space="preserve"> towards food waste. As an example, </w:t>
      </w:r>
      <w:r w:rsidR="00B3587C" w:rsidRPr="00F2205B">
        <w:rPr>
          <w:rFonts w:ascii="Calibri" w:hAnsi="Calibri" w:cs="Calibri"/>
          <w:sz w:val="22"/>
        </w:rPr>
        <w:t xml:space="preserve">in China </w:t>
      </w:r>
      <w:r w:rsidR="007B773C">
        <w:rPr>
          <w:rFonts w:ascii="Calibri" w:hAnsi="Calibri" w:cs="Calibri"/>
          <w:sz w:val="22"/>
        </w:rPr>
        <w:t>th</w:t>
      </w:r>
      <w:r w:rsidR="005C7C2D">
        <w:rPr>
          <w:rFonts w:ascii="Calibri" w:hAnsi="Calibri" w:cs="Calibri"/>
          <w:sz w:val="22"/>
        </w:rPr>
        <w:t>e</w:t>
      </w:r>
      <w:r w:rsidR="007B773C">
        <w:rPr>
          <w:rFonts w:ascii="Calibri" w:hAnsi="Calibri" w:cs="Calibri"/>
          <w:sz w:val="22"/>
        </w:rPr>
        <w:t xml:space="preserve">re is often intentional over-ordering, </w:t>
      </w:r>
      <w:r w:rsidR="00E91FF8">
        <w:rPr>
          <w:rFonts w:ascii="Calibri" w:hAnsi="Calibri" w:cs="Calibri"/>
          <w:sz w:val="22"/>
        </w:rPr>
        <w:t xml:space="preserve">so as to be </w:t>
      </w:r>
      <w:r w:rsidR="00B3587C" w:rsidRPr="00F2205B">
        <w:rPr>
          <w:rFonts w:ascii="Calibri" w:hAnsi="Calibri" w:cs="Calibri"/>
          <w:sz w:val="22"/>
        </w:rPr>
        <w:t xml:space="preserve">seen as being good hosts </w:t>
      </w:r>
      <w:r w:rsidR="00E91FF8">
        <w:rPr>
          <w:rFonts w:ascii="Calibri" w:hAnsi="Calibri" w:cs="Calibri"/>
          <w:sz w:val="22"/>
        </w:rPr>
        <w:t xml:space="preserve">and </w:t>
      </w:r>
      <w:r w:rsidR="00054E43">
        <w:rPr>
          <w:rFonts w:ascii="Calibri" w:hAnsi="Calibri" w:cs="Calibri"/>
          <w:sz w:val="22"/>
        </w:rPr>
        <w:t xml:space="preserve">also as </w:t>
      </w:r>
      <w:r w:rsidR="00B3587C" w:rsidRPr="00F2205B">
        <w:rPr>
          <w:rFonts w:ascii="Calibri" w:hAnsi="Calibri" w:cs="Calibri"/>
          <w:sz w:val="22"/>
        </w:rPr>
        <w:t xml:space="preserve">a sign of wealth or prosperity (Wang </w:t>
      </w:r>
      <w:r w:rsidR="009E3601">
        <w:rPr>
          <w:rFonts w:ascii="Calibri" w:hAnsi="Calibri" w:cs="Calibri"/>
          <w:sz w:val="22"/>
        </w:rPr>
        <w:t>et al.</w:t>
      </w:r>
      <w:r w:rsidR="00AC088C">
        <w:rPr>
          <w:rFonts w:ascii="Calibri" w:hAnsi="Calibri" w:cs="Calibri"/>
          <w:sz w:val="22"/>
        </w:rPr>
        <w:t xml:space="preserve">, </w:t>
      </w:r>
      <w:r w:rsidR="00B3587C" w:rsidRPr="00F2205B">
        <w:rPr>
          <w:rFonts w:ascii="Calibri" w:hAnsi="Calibri" w:cs="Calibri"/>
          <w:sz w:val="22"/>
        </w:rPr>
        <w:t>2024)</w:t>
      </w:r>
      <w:r w:rsidR="00996742" w:rsidRPr="00F2205B">
        <w:rPr>
          <w:rFonts w:ascii="Calibri" w:hAnsi="Calibri" w:cs="Calibri"/>
          <w:sz w:val="22"/>
        </w:rPr>
        <w:t>.</w:t>
      </w:r>
    </w:p>
    <w:p w14:paraId="1151BEF7" w14:textId="77777777" w:rsidR="00195BD4" w:rsidRDefault="00195BD4" w:rsidP="00F2205B">
      <w:pPr>
        <w:spacing w:after="0" w:line="240" w:lineRule="auto"/>
        <w:jc w:val="both"/>
        <w:rPr>
          <w:rFonts w:ascii="Calibri" w:hAnsi="Calibri" w:cs="Calibri"/>
          <w:sz w:val="22"/>
        </w:rPr>
      </w:pPr>
    </w:p>
    <w:p w14:paraId="2BB2D222" w14:textId="294524F4" w:rsidR="009B0BC0" w:rsidRPr="00F2205B" w:rsidRDefault="00AB372A" w:rsidP="00F2205B">
      <w:pPr>
        <w:spacing w:after="0" w:line="240" w:lineRule="auto"/>
        <w:jc w:val="both"/>
        <w:rPr>
          <w:rFonts w:ascii="Calibri" w:hAnsi="Calibri" w:cs="Calibri"/>
          <w:sz w:val="22"/>
        </w:rPr>
      </w:pPr>
      <w:r w:rsidRPr="00F2205B">
        <w:rPr>
          <w:rFonts w:ascii="Calibri" w:hAnsi="Calibri" w:cs="Calibri"/>
          <w:sz w:val="22"/>
        </w:rPr>
        <w:t xml:space="preserve">The </w:t>
      </w:r>
      <w:r w:rsidR="00714357" w:rsidRPr="00F2205B">
        <w:rPr>
          <w:rFonts w:ascii="Calibri" w:hAnsi="Calibri" w:cs="Calibri"/>
          <w:sz w:val="22"/>
        </w:rPr>
        <w:t>report does not provide any supporting details on recommendation 13</w:t>
      </w:r>
      <w:r w:rsidR="00FA000F" w:rsidRPr="00F2205B">
        <w:rPr>
          <w:rFonts w:ascii="Calibri" w:hAnsi="Calibri" w:cs="Calibri"/>
          <w:sz w:val="22"/>
        </w:rPr>
        <w:t xml:space="preserve">. </w:t>
      </w:r>
      <w:r w:rsidR="006E075C" w:rsidRPr="00F2205B">
        <w:rPr>
          <w:rFonts w:ascii="Calibri" w:hAnsi="Calibri" w:cs="Calibri"/>
          <w:sz w:val="22"/>
        </w:rPr>
        <w:t xml:space="preserve">Lacking specificity makes the recommendation hard to analyse, </w:t>
      </w:r>
      <w:r w:rsidR="00A926F7" w:rsidRPr="00F2205B">
        <w:rPr>
          <w:rFonts w:ascii="Calibri" w:hAnsi="Calibri" w:cs="Calibri"/>
          <w:sz w:val="22"/>
        </w:rPr>
        <w:t xml:space="preserve">however there are </w:t>
      </w:r>
      <w:r w:rsidR="00612666" w:rsidRPr="00F2205B">
        <w:rPr>
          <w:rFonts w:ascii="Calibri" w:hAnsi="Calibri" w:cs="Calibri"/>
          <w:sz w:val="22"/>
        </w:rPr>
        <w:t>several</w:t>
      </w:r>
      <w:r w:rsidR="00A926F7" w:rsidRPr="00F2205B">
        <w:rPr>
          <w:rFonts w:ascii="Calibri" w:hAnsi="Calibri" w:cs="Calibri"/>
          <w:sz w:val="22"/>
        </w:rPr>
        <w:t xml:space="preserve"> outstanding challenges that would require addressing before any food waste penalties are introduced.</w:t>
      </w:r>
    </w:p>
    <w:p w14:paraId="14B949C9" w14:textId="77777777" w:rsidR="00195BD4" w:rsidRDefault="00195BD4" w:rsidP="00ED1374">
      <w:pPr>
        <w:pStyle w:val="Heading4"/>
      </w:pPr>
    </w:p>
    <w:p w14:paraId="06343334" w14:textId="380E9AC5" w:rsidR="009B0BC0" w:rsidRPr="00F2205B" w:rsidRDefault="009B0BC0" w:rsidP="00ED1374">
      <w:pPr>
        <w:pStyle w:val="Heading4"/>
      </w:pPr>
      <w:r w:rsidRPr="00F2205B">
        <w:t xml:space="preserve">Potential </w:t>
      </w:r>
      <w:r w:rsidR="0001398D">
        <w:t>n</w:t>
      </w:r>
      <w:r w:rsidRPr="00F2205B">
        <w:t xml:space="preserve">egative </w:t>
      </w:r>
      <w:r w:rsidR="0001398D">
        <w:t>i</w:t>
      </w:r>
      <w:r w:rsidRPr="00F2205B">
        <w:t xml:space="preserve">mpact on </w:t>
      </w:r>
      <w:r w:rsidR="0001398D">
        <w:t>o</w:t>
      </w:r>
      <w:r w:rsidRPr="00F2205B">
        <w:t xml:space="preserve">verall </w:t>
      </w:r>
      <w:r w:rsidR="0001398D">
        <w:t>f</w:t>
      </w:r>
      <w:r w:rsidRPr="00F2205B">
        <w:t xml:space="preserve">ood </w:t>
      </w:r>
      <w:r w:rsidR="0001398D">
        <w:t>p</w:t>
      </w:r>
      <w:r w:rsidRPr="00F2205B">
        <w:t>roduction</w:t>
      </w:r>
    </w:p>
    <w:p w14:paraId="5FD70B2A" w14:textId="77777777" w:rsidR="00195BD4" w:rsidRDefault="00195BD4" w:rsidP="00F2205B">
      <w:pPr>
        <w:spacing w:after="0" w:line="240" w:lineRule="auto"/>
        <w:jc w:val="both"/>
        <w:rPr>
          <w:rFonts w:ascii="Calibri" w:hAnsi="Calibri" w:cs="Calibri"/>
          <w:sz w:val="22"/>
        </w:rPr>
      </w:pPr>
    </w:p>
    <w:p w14:paraId="04BA87FE" w14:textId="2F978FF7" w:rsidR="009B0BC0" w:rsidRPr="00F2205B" w:rsidRDefault="009B0BC0" w:rsidP="00F2205B">
      <w:pPr>
        <w:spacing w:after="0" w:line="240" w:lineRule="auto"/>
        <w:jc w:val="both"/>
        <w:rPr>
          <w:rFonts w:ascii="Calibri" w:hAnsi="Calibri" w:cs="Calibri"/>
          <w:sz w:val="22"/>
        </w:rPr>
      </w:pPr>
      <w:r w:rsidRPr="00F2205B">
        <w:rPr>
          <w:rFonts w:ascii="Calibri" w:hAnsi="Calibri" w:cs="Calibri"/>
          <w:sz w:val="22"/>
        </w:rPr>
        <w:t>F</w:t>
      </w:r>
      <w:r w:rsidR="00121305" w:rsidRPr="00F2205B">
        <w:rPr>
          <w:rFonts w:ascii="Calibri" w:hAnsi="Calibri" w:cs="Calibri"/>
          <w:sz w:val="22"/>
        </w:rPr>
        <w:t>ood producers currently have varying levels of food waste from operations.</w:t>
      </w:r>
      <w:r w:rsidR="008B7389" w:rsidRPr="00F2205B">
        <w:rPr>
          <w:rFonts w:ascii="Calibri" w:hAnsi="Calibri" w:cs="Calibri"/>
          <w:sz w:val="22"/>
        </w:rPr>
        <w:t xml:space="preserve"> The amount of food waste is heavily dependent on the types of food being produced</w:t>
      </w:r>
      <w:r w:rsidR="00CA4E57" w:rsidRPr="00F2205B">
        <w:rPr>
          <w:rFonts w:ascii="Calibri" w:hAnsi="Calibri" w:cs="Calibri"/>
          <w:sz w:val="22"/>
        </w:rPr>
        <w:t>, with fruits and vegetables having the hi</w:t>
      </w:r>
      <w:r w:rsidR="0049789F" w:rsidRPr="00F2205B">
        <w:rPr>
          <w:rFonts w:ascii="Calibri" w:hAnsi="Calibri" w:cs="Calibri"/>
          <w:sz w:val="22"/>
        </w:rPr>
        <w:t xml:space="preserve">ghest rates of being discarded </w:t>
      </w:r>
      <w:r w:rsidR="00333861" w:rsidRPr="00F2205B">
        <w:rPr>
          <w:rFonts w:ascii="Calibri" w:hAnsi="Calibri" w:cs="Calibri"/>
          <w:sz w:val="22"/>
        </w:rPr>
        <w:t xml:space="preserve">at the farm level </w:t>
      </w:r>
      <w:r w:rsidR="002720AE" w:rsidRPr="00F2205B">
        <w:rPr>
          <w:rFonts w:ascii="Calibri" w:hAnsi="Calibri" w:cs="Calibri"/>
          <w:sz w:val="22"/>
        </w:rPr>
        <w:t>(</w:t>
      </w:r>
      <w:r w:rsidR="0085081F" w:rsidRPr="00F2205B">
        <w:rPr>
          <w:rFonts w:ascii="Calibri" w:hAnsi="Calibri" w:cs="Calibri"/>
          <w:sz w:val="22"/>
        </w:rPr>
        <w:t>FAO</w:t>
      </w:r>
      <w:r w:rsidR="00DF0074">
        <w:rPr>
          <w:rFonts w:ascii="Calibri" w:hAnsi="Calibri" w:cs="Calibri"/>
          <w:sz w:val="22"/>
        </w:rPr>
        <w:t>,</w:t>
      </w:r>
      <w:r w:rsidR="00333861" w:rsidRPr="00F2205B">
        <w:rPr>
          <w:rFonts w:ascii="Calibri" w:hAnsi="Calibri" w:cs="Calibri"/>
          <w:sz w:val="22"/>
        </w:rPr>
        <w:t xml:space="preserve"> 2011).</w:t>
      </w:r>
      <w:r w:rsidR="002A3489" w:rsidRPr="00F2205B">
        <w:rPr>
          <w:rFonts w:ascii="Calibri" w:hAnsi="Calibri" w:cs="Calibri"/>
          <w:sz w:val="22"/>
        </w:rPr>
        <w:t xml:space="preserve"> A significant driver of food wastage is due to consumer sentiment and inability to sell in financial markets.</w:t>
      </w:r>
    </w:p>
    <w:p w14:paraId="02C40A60" w14:textId="77777777" w:rsidR="00195BD4" w:rsidRDefault="00195BD4" w:rsidP="00F2205B">
      <w:pPr>
        <w:spacing w:after="0" w:line="240" w:lineRule="auto"/>
        <w:jc w:val="both"/>
        <w:rPr>
          <w:rFonts w:ascii="Calibri" w:hAnsi="Calibri" w:cs="Calibri"/>
          <w:sz w:val="22"/>
        </w:rPr>
      </w:pPr>
    </w:p>
    <w:p w14:paraId="4241272F" w14:textId="62F2CB0D" w:rsidR="002D6319" w:rsidRPr="00F2205B" w:rsidRDefault="00333861" w:rsidP="00F2205B">
      <w:pPr>
        <w:spacing w:after="0" w:line="240" w:lineRule="auto"/>
        <w:jc w:val="both"/>
        <w:rPr>
          <w:rFonts w:ascii="Calibri" w:hAnsi="Calibri" w:cs="Calibri"/>
          <w:sz w:val="22"/>
        </w:rPr>
      </w:pPr>
      <w:r w:rsidRPr="00F2205B">
        <w:rPr>
          <w:rFonts w:ascii="Calibri" w:hAnsi="Calibri" w:cs="Calibri"/>
          <w:sz w:val="22"/>
        </w:rPr>
        <w:t xml:space="preserve">Currently, it can be safely assumed that </w:t>
      </w:r>
      <w:r w:rsidR="002A3489" w:rsidRPr="00F2205B">
        <w:rPr>
          <w:rFonts w:ascii="Calibri" w:hAnsi="Calibri" w:cs="Calibri"/>
          <w:sz w:val="22"/>
        </w:rPr>
        <w:t xml:space="preserve">producers are discarding food that </w:t>
      </w:r>
      <w:r w:rsidR="00C67A5B" w:rsidRPr="00F2205B">
        <w:rPr>
          <w:rFonts w:ascii="Calibri" w:hAnsi="Calibri" w:cs="Calibri"/>
          <w:sz w:val="22"/>
        </w:rPr>
        <w:t xml:space="preserve">would not be saleable. Discarding food is most likely due to it being the most </w:t>
      </w:r>
      <w:r w:rsidR="00502272" w:rsidRPr="00F2205B">
        <w:rPr>
          <w:rFonts w:ascii="Calibri" w:hAnsi="Calibri" w:cs="Calibri"/>
          <w:sz w:val="22"/>
        </w:rPr>
        <w:t>cost-effective</w:t>
      </w:r>
      <w:r w:rsidR="00C67A5B" w:rsidRPr="00F2205B">
        <w:rPr>
          <w:rFonts w:ascii="Calibri" w:hAnsi="Calibri" w:cs="Calibri"/>
          <w:sz w:val="22"/>
        </w:rPr>
        <w:t xml:space="preserve"> option for this food.</w:t>
      </w:r>
      <w:r w:rsidR="003A1741" w:rsidRPr="00F2205B">
        <w:rPr>
          <w:rFonts w:ascii="Calibri" w:hAnsi="Calibri" w:cs="Calibri"/>
          <w:sz w:val="22"/>
        </w:rPr>
        <w:t xml:space="preserve"> If it is assumed that non-saleable food is an inevitable by-product of food production, then any additional costs placed on </w:t>
      </w:r>
      <w:r w:rsidR="007830AB" w:rsidRPr="00F2205B">
        <w:rPr>
          <w:rFonts w:ascii="Calibri" w:hAnsi="Calibri" w:cs="Calibri"/>
          <w:sz w:val="22"/>
        </w:rPr>
        <w:t xml:space="preserve">food waste would unavoidably increase costs to producers. This cost may be directly due to fines, or additional logistical costs of </w:t>
      </w:r>
      <w:r w:rsidR="00623FDD" w:rsidRPr="00F2205B">
        <w:rPr>
          <w:rFonts w:ascii="Calibri" w:hAnsi="Calibri" w:cs="Calibri"/>
          <w:sz w:val="22"/>
        </w:rPr>
        <w:t xml:space="preserve">finding alternative options. Economic theory would indicate that this would likely result in a reduction of total </w:t>
      </w:r>
      <w:r w:rsidR="006765A0" w:rsidRPr="00F2205B">
        <w:rPr>
          <w:rFonts w:ascii="Calibri" w:hAnsi="Calibri" w:cs="Calibri"/>
          <w:sz w:val="22"/>
        </w:rPr>
        <w:t>food produced. Additionally, it is likely this sort of penalty would see some amount of the cost of food waste passed on to consumers</w:t>
      </w:r>
      <w:r w:rsidR="002366FE" w:rsidRPr="00F2205B">
        <w:rPr>
          <w:rFonts w:ascii="Calibri" w:hAnsi="Calibri" w:cs="Calibri"/>
          <w:sz w:val="22"/>
        </w:rPr>
        <w:t>, increasing cost of food and increasing cost-of-living pressures.</w:t>
      </w:r>
      <w:r w:rsidR="00A91F41" w:rsidRPr="00F2205B">
        <w:rPr>
          <w:rFonts w:ascii="Calibri" w:hAnsi="Calibri" w:cs="Calibri"/>
          <w:sz w:val="22"/>
        </w:rPr>
        <w:t xml:space="preserve"> A theoretical model of this is shown visually in </w:t>
      </w:r>
      <w:r w:rsidR="00E91FF8">
        <w:rPr>
          <w:rFonts w:ascii="Calibri" w:hAnsi="Calibri" w:cs="Calibri"/>
          <w:sz w:val="22"/>
        </w:rPr>
        <w:t xml:space="preserve">Figure </w:t>
      </w:r>
      <w:r w:rsidR="00A91F41" w:rsidRPr="00F2205B">
        <w:rPr>
          <w:rFonts w:ascii="Calibri" w:hAnsi="Calibri" w:cs="Calibri"/>
          <w:sz w:val="22"/>
        </w:rPr>
        <w:t>2</w:t>
      </w:r>
      <w:r w:rsidR="00E61DF4" w:rsidRPr="00F2205B">
        <w:rPr>
          <w:rFonts w:ascii="Calibri" w:hAnsi="Calibri" w:cs="Calibri"/>
          <w:sz w:val="22"/>
        </w:rPr>
        <w:t>.</w:t>
      </w:r>
    </w:p>
    <w:p w14:paraId="56F06174" w14:textId="77777777" w:rsidR="00195BD4" w:rsidRDefault="00195BD4" w:rsidP="00F2205B">
      <w:pPr>
        <w:spacing w:after="0" w:line="240" w:lineRule="auto"/>
        <w:jc w:val="both"/>
        <w:rPr>
          <w:rFonts w:ascii="Calibri" w:hAnsi="Calibri" w:cs="Calibri"/>
          <w:b/>
          <w:bCs/>
          <w:sz w:val="22"/>
        </w:rPr>
      </w:pPr>
    </w:p>
    <w:p w14:paraId="31AC9AEA" w14:textId="19EBD9E6" w:rsidR="00972A3C" w:rsidRPr="002B32C4" w:rsidRDefault="00E91FF8" w:rsidP="002B32C4">
      <w:pPr>
        <w:spacing w:after="0" w:line="240" w:lineRule="auto"/>
        <w:jc w:val="center"/>
        <w:rPr>
          <w:rFonts w:ascii="Calibri" w:hAnsi="Calibri" w:cs="Calibri"/>
          <w:b/>
          <w:bCs/>
          <w:sz w:val="22"/>
        </w:rPr>
      </w:pPr>
      <w:r>
        <w:rPr>
          <w:rFonts w:ascii="Calibri" w:hAnsi="Calibri" w:cs="Calibri"/>
          <w:b/>
          <w:bCs/>
          <w:sz w:val="22"/>
        </w:rPr>
        <w:lastRenderedPageBreak/>
        <w:t>Figure</w:t>
      </w:r>
      <w:r w:rsidR="00E61DF4" w:rsidRPr="002B32C4">
        <w:rPr>
          <w:rFonts w:ascii="Calibri" w:hAnsi="Calibri" w:cs="Calibri"/>
          <w:b/>
          <w:bCs/>
          <w:sz w:val="22"/>
        </w:rPr>
        <w:t xml:space="preserve"> 2</w:t>
      </w:r>
      <w:r w:rsidR="00FB4C40">
        <w:rPr>
          <w:rFonts w:ascii="Calibri" w:hAnsi="Calibri" w:cs="Calibri"/>
          <w:b/>
          <w:bCs/>
          <w:sz w:val="22"/>
        </w:rPr>
        <w:t>.</w:t>
      </w:r>
      <w:r w:rsidR="00E61DF4" w:rsidRPr="002B32C4">
        <w:rPr>
          <w:rFonts w:ascii="Calibri" w:hAnsi="Calibri" w:cs="Calibri"/>
          <w:b/>
          <w:bCs/>
          <w:sz w:val="22"/>
        </w:rPr>
        <w:t xml:space="preserve"> A theoretical model of the addition of </w:t>
      </w:r>
      <w:r w:rsidR="00CA3412" w:rsidRPr="002B32C4">
        <w:rPr>
          <w:rFonts w:ascii="Calibri" w:hAnsi="Calibri" w:cs="Calibri"/>
          <w:b/>
          <w:bCs/>
          <w:sz w:val="22"/>
        </w:rPr>
        <w:t>penalties for food waste to food markets</w:t>
      </w:r>
    </w:p>
    <w:p w14:paraId="6B1E12CC" w14:textId="77777777" w:rsidR="00972A3C" w:rsidRPr="00F2205B" w:rsidRDefault="00972A3C" w:rsidP="00F2205B">
      <w:pPr>
        <w:spacing w:after="0" w:line="240" w:lineRule="auto"/>
        <w:jc w:val="both"/>
        <w:rPr>
          <w:rFonts w:ascii="Calibri" w:hAnsi="Calibri" w:cs="Calibri"/>
          <w:sz w:val="22"/>
        </w:rPr>
      </w:pPr>
    </w:p>
    <w:p w14:paraId="3A0BFC55" w14:textId="157B2E51" w:rsidR="00E61DF4" w:rsidRPr="00F2205B" w:rsidRDefault="00972A3C" w:rsidP="00F2205B">
      <w:pPr>
        <w:spacing w:after="0" w:line="240" w:lineRule="auto"/>
        <w:jc w:val="both"/>
        <w:rPr>
          <w:rFonts w:ascii="Calibri" w:hAnsi="Calibri" w:cs="Calibri"/>
          <w:sz w:val="22"/>
        </w:rPr>
      </w:pPr>
      <w:r w:rsidRPr="00F2205B">
        <w:rPr>
          <w:rFonts w:ascii="Calibri" w:hAnsi="Calibri" w:cs="Calibri"/>
          <w:noProof/>
          <w:sz w:val="22"/>
        </w:rPr>
        <mc:AlternateContent>
          <mc:Choice Requires="wpc">
            <w:drawing>
              <wp:inline distT="0" distB="0" distL="0" distR="0" wp14:anchorId="0CCE4633" wp14:editId="5D51AFBD">
                <wp:extent cx="4784271" cy="2977515"/>
                <wp:effectExtent l="0" t="0" r="0" b="0"/>
                <wp:docPr id="85797763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38925597" name="Straight Arrow Connector 1138925597"/>
                        <wps:cNvCnPr/>
                        <wps:spPr>
                          <a:xfrm flipV="1">
                            <a:off x="345375" y="277091"/>
                            <a:ext cx="0" cy="243147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919995532" name="Straight Arrow Connector 919995532"/>
                        <wps:cNvCnPr/>
                        <wps:spPr>
                          <a:xfrm>
                            <a:off x="345375" y="2701637"/>
                            <a:ext cx="3782291"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125478334" name="Text Box 1125478334"/>
                        <wps:cNvSpPr txBox="1"/>
                        <wps:spPr>
                          <a:xfrm>
                            <a:off x="158338" y="41556"/>
                            <a:ext cx="502920" cy="311785"/>
                          </a:xfrm>
                          <a:prstGeom prst="rect">
                            <a:avLst/>
                          </a:prstGeom>
                          <a:noFill/>
                          <a:ln w="6350">
                            <a:noFill/>
                          </a:ln>
                        </wps:spPr>
                        <wps:txbx>
                          <w:txbxContent>
                            <w:p w14:paraId="14CA9FFD" w14:textId="77777777" w:rsidR="00972A3C" w:rsidRDefault="00972A3C" w:rsidP="00972A3C">
                              <w:r>
                                <w:t>Price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46342139" name="Text Box 1"/>
                        <wps:cNvSpPr txBox="1"/>
                        <wps:spPr>
                          <a:xfrm>
                            <a:off x="3969745" y="2652203"/>
                            <a:ext cx="722630" cy="311150"/>
                          </a:xfrm>
                          <a:prstGeom prst="rect">
                            <a:avLst/>
                          </a:prstGeom>
                          <a:noFill/>
                          <a:ln w="6350">
                            <a:noFill/>
                          </a:ln>
                        </wps:spPr>
                        <wps:txbx>
                          <w:txbxContent>
                            <w:p w14:paraId="3C685C31" w14:textId="77777777" w:rsidR="00972A3C" w:rsidRDefault="00972A3C" w:rsidP="00972A3C">
                              <w:pPr>
                                <w:rPr>
                                  <w14:ligatures w14:val="none"/>
                                </w:rPr>
                              </w:pPr>
                              <w:r>
                                <w:t>Quantity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41215025" name="Straight Connector 1441215025"/>
                        <wps:cNvCnPr/>
                        <wps:spPr>
                          <a:xfrm>
                            <a:off x="1719025" y="1846263"/>
                            <a:ext cx="0" cy="85537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022325781" name="Straight Connector 1022325781"/>
                        <wps:cNvCnPr/>
                        <wps:spPr>
                          <a:xfrm flipH="1">
                            <a:off x="361430" y="1857376"/>
                            <a:ext cx="13630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789833559" name="Straight Connector 1789833559"/>
                        <wps:cNvCnPr/>
                        <wps:spPr>
                          <a:xfrm flipH="1">
                            <a:off x="352880" y="1951650"/>
                            <a:ext cx="1496483"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42965426" name="Straight Connector 842965426"/>
                        <wps:cNvCnPr/>
                        <wps:spPr>
                          <a:xfrm>
                            <a:off x="1842674" y="1938338"/>
                            <a:ext cx="0" cy="75829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932264535" name="Straight Connector 932264535"/>
                        <wps:cNvCnPr/>
                        <wps:spPr>
                          <a:xfrm>
                            <a:off x="352880" y="831850"/>
                            <a:ext cx="2476500" cy="1854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9215689" name="Straight Connector 279215689"/>
                        <wps:cNvCnPr/>
                        <wps:spPr>
                          <a:xfrm flipV="1">
                            <a:off x="654273" y="433917"/>
                            <a:ext cx="3575050" cy="22571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4998111" name="Straight Connector 574998111"/>
                        <wps:cNvCnPr/>
                        <wps:spPr>
                          <a:xfrm flipV="1">
                            <a:off x="361430" y="364976"/>
                            <a:ext cx="3712550" cy="2343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9294591" name="Text Box 1"/>
                        <wps:cNvSpPr txBox="1"/>
                        <wps:spPr>
                          <a:xfrm>
                            <a:off x="1724480" y="2659234"/>
                            <a:ext cx="350520" cy="311785"/>
                          </a:xfrm>
                          <a:prstGeom prst="rect">
                            <a:avLst/>
                          </a:prstGeom>
                          <a:noFill/>
                          <a:ln w="6350">
                            <a:noFill/>
                          </a:ln>
                        </wps:spPr>
                        <wps:txbx>
                          <w:txbxContent>
                            <w:p w14:paraId="0AA58EE2" w14:textId="77777777" w:rsidR="00972A3C" w:rsidRDefault="00972A3C" w:rsidP="00972A3C">
                              <w:pPr>
                                <w:rPr>
                                  <w14:ligatures w14:val="none"/>
                                </w:rPr>
                              </w:pPr>
                              <w:r>
                                <w:t>Q</w:t>
                              </w:r>
                              <w:r>
                                <w:rPr>
                                  <w:position w:val="-4"/>
                                  <w:vertAlign w:val="subscript"/>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14101189" name="Text Box 1"/>
                        <wps:cNvSpPr txBox="1"/>
                        <wps:spPr>
                          <a:xfrm>
                            <a:off x="1465028" y="2647505"/>
                            <a:ext cx="350520" cy="311785"/>
                          </a:xfrm>
                          <a:prstGeom prst="rect">
                            <a:avLst/>
                          </a:prstGeom>
                          <a:noFill/>
                          <a:ln w="6350">
                            <a:noFill/>
                          </a:ln>
                        </wps:spPr>
                        <wps:txbx>
                          <w:txbxContent>
                            <w:p w14:paraId="0C6727BB" w14:textId="77777777" w:rsidR="00972A3C" w:rsidRDefault="00972A3C" w:rsidP="00972A3C">
                              <w:pPr>
                                <w:rPr>
                                  <w14:ligatures w14:val="none"/>
                                </w:rPr>
                              </w:pPr>
                              <w:r>
                                <w:t>Q</w:t>
                              </w:r>
                              <w:r>
                                <w:rPr>
                                  <w:position w:val="-4"/>
                                  <w:vertAlign w:val="subscript"/>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8694164" name="Text Box 1"/>
                        <wps:cNvSpPr txBox="1"/>
                        <wps:spPr>
                          <a:xfrm>
                            <a:off x="75191" y="1871669"/>
                            <a:ext cx="325120" cy="311785"/>
                          </a:xfrm>
                          <a:prstGeom prst="rect">
                            <a:avLst/>
                          </a:prstGeom>
                          <a:noFill/>
                          <a:ln w="6350">
                            <a:noFill/>
                          </a:ln>
                        </wps:spPr>
                        <wps:txbx>
                          <w:txbxContent>
                            <w:p w14:paraId="6C6BEA2D" w14:textId="77777777" w:rsidR="00972A3C" w:rsidRDefault="00972A3C" w:rsidP="00972A3C">
                              <w:pPr>
                                <w:rPr>
                                  <w14:ligatures w14:val="none"/>
                                </w:rPr>
                              </w:pPr>
                              <w:r>
                                <w:t>P</w:t>
                              </w:r>
                              <w:r>
                                <w:rPr>
                                  <w:position w:val="-4"/>
                                  <w:vertAlign w:val="subscript"/>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57016485" name="Text Box 1"/>
                        <wps:cNvSpPr txBox="1"/>
                        <wps:spPr>
                          <a:xfrm>
                            <a:off x="83658" y="1651885"/>
                            <a:ext cx="325120" cy="311785"/>
                          </a:xfrm>
                          <a:prstGeom prst="rect">
                            <a:avLst/>
                          </a:prstGeom>
                          <a:noFill/>
                          <a:ln w="6350">
                            <a:noFill/>
                          </a:ln>
                        </wps:spPr>
                        <wps:txbx>
                          <w:txbxContent>
                            <w:p w14:paraId="0303B7DD" w14:textId="77777777" w:rsidR="00972A3C" w:rsidRDefault="00972A3C" w:rsidP="00972A3C">
                              <w:pPr>
                                <w:rPr>
                                  <w14:ligatures w14:val="none"/>
                                </w:rPr>
                              </w:pPr>
                              <w:r>
                                <w:t>P</w:t>
                              </w:r>
                              <w:r>
                                <w:rPr>
                                  <w:position w:val="-4"/>
                                  <w:vertAlign w:val="subscript"/>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63720573" name="Text Box 1"/>
                        <wps:cNvSpPr txBox="1"/>
                        <wps:spPr>
                          <a:xfrm>
                            <a:off x="2533130" y="2372983"/>
                            <a:ext cx="299720" cy="311785"/>
                          </a:xfrm>
                          <a:prstGeom prst="rect">
                            <a:avLst/>
                          </a:prstGeom>
                          <a:noFill/>
                          <a:ln w="6350">
                            <a:noFill/>
                          </a:ln>
                        </wps:spPr>
                        <wps:txbx>
                          <w:txbxContent>
                            <w:p w14:paraId="40B141F9" w14:textId="05D1A20E" w:rsidR="00972A3C" w:rsidRDefault="00972A3C" w:rsidP="00972A3C">
                              <w:pPr>
                                <w:rPr>
                                  <w14:ligatures w14:val="none"/>
                                </w:rPr>
                              </w:pPr>
                              <w: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53752145" name="Text Box 1"/>
                        <wps:cNvSpPr txBox="1"/>
                        <wps:spPr>
                          <a:xfrm>
                            <a:off x="3699048" y="672397"/>
                            <a:ext cx="325120" cy="311785"/>
                          </a:xfrm>
                          <a:prstGeom prst="rect">
                            <a:avLst/>
                          </a:prstGeom>
                          <a:noFill/>
                          <a:ln w="6350">
                            <a:noFill/>
                          </a:ln>
                        </wps:spPr>
                        <wps:txbx>
                          <w:txbxContent>
                            <w:p w14:paraId="6B3CB922" w14:textId="0B0B9362" w:rsidR="00972A3C" w:rsidRDefault="00972A3C" w:rsidP="00972A3C">
                              <w:pPr>
                                <w:rPr>
                                  <w14:ligatures w14:val="none"/>
                                </w:rPr>
                              </w:pPr>
                              <w:r>
                                <w:t>S</w:t>
                              </w:r>
                              <w:r w:rsidRPr="006738E4">
                                <w:rPr>
                                  <w:vertAlign w:val="subscript"/>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1966440" name="Text Box 1"/>
                        <wps:cNvSpPr txBox="1"/>
                        <wps:spPr>
                          <a:xfrm>
                            <a:off x="3341915" y="304785"/>
                            <a:ext cx="325120" cy="288290"/>
                          </a:xfrm>
                          <a:prstGeom prst="rect">
                            <a:avLst/>
                          </a:prstGeom>
                          <a:noFill/>
                          <a:ln w="6350">
                            <a:noFill/>
                          </a:ln>
                        </wps:spPr>
                        <wps:txbx>
                          <w:txbxContent>
                            <w:p w14:paraId="13974FBB" w14:textId="08696DA2" w:rsidR="00972A3C" w:rsidRDefault="00972A3C" w:rsidP="00972A3C">
                              <w:pPr>
                                <w:rPr>
                                  <w14:ligatures w14:val="none"/>
                                </w:rPr>
                              </w:pPr>
                              <w:r>
                                <w:t>S</w:t>
                              </w:r>
                              <w:r>
                                <w:rPr>
                                  <w:position w:val="-4"/>
                                  <w:vertAlign w:val="subscript"/>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96280180" name="Straight Arrow Connector 996280180"/>
                        <wps:cNvCnPr/>
                        <wps:spPr>
                          <a:xfrm flipH="1">
                            <a:off x="1719025" y="2374265"/>
                            <a:ext cx="123649" cy="0"/>
                          </a:xfrm>
                          <a:prstGeom prst="straightConnector1">
                            <a:avLst/>
                          </a:prstGeom>
                          <a:ln>
                            <a:tailEnd type="arrow" w="sm" len="sm"/>
                          </a:ln>
                        </wps:spPr>
                        <wps:style>
                          <a:lnRef idx="1">
                            <a:schemeClr val="accent1"/>
                          </a:lnRef>
                          <a:fillRef idx="0">
                            <a:schemeClr val="accent1"/>
                          </a:fillRef>
                          <a:effectRef idx="0">
                            <a:schemeClr val="accent1"/>
                          </a:effectRef>
                          <a:fontRef idx="minor">
                            <a:schemeClr val="tx1"/>
                          </a:fontRef>
                        </wps:style>
                        <wps:bodyPr/>
                      </wps:wsp>
                      <wps:wsp>
                        <wps:cNvPr id="2130974050" name="Straight Arrow Connector 2130974050"/>
                        <wps:cNvCnPr/>
                        <wps:spPr>
                          <a:xfrm flipV="1">
                            <a:off x="994230" y="1857376"/>
                            <a:ext cx="0" cy="94274"/>
                          </a:xfrm>
                          <a:prstGeom prst="straightConnector1">
                            <a:avLst/>
                          </a:prstGeom>
                          <a:ln w="6350" cap="flat">
                            <a:headEnd type="none"/>
                            <a:tailEnd type="arrow" w="sm" len="sm"/>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CE4633" id="_x0000_s1042" editas="canvas" style="width:376.7pt;height:234.45pt;mso-position-horizontal-relative:char;mso-position-vertical-relative:line" coordsize="47840,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">
                <v:shape id="_x0000_s1043" type="#_x0000_t75" style="position:absolute;width:47840;height:29775;visibility:visible;mso-wrap-style:square" filled="t">
                  <v:fill o:detectmouseclick="t"/>
                  <v:path o:connecttype="none"/>
                </v:shape>
                <v:shape id="Straight Arrow Connector 1138925597" o:spid="_x0000_s1044" type="#_x0000_t32" style="position:absolute;left:3453;top:2770;width:0;height:24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" strokecolor="#156082 [3204]" strokeweight="1.5pt">
                  <v:stroke endarrow="block" joinstyle="miter"/>
                </v:shape>
                <v:shape id="Straight Arrow Connector 919995532" o:spid="_x0000_s1045" type="#_x0000_t32" style="position:absolute;left:3453;top:27016;width:378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" strokecolor="#156082 [3204]" strokeweight="1.5pt">
                  <v:stroke endarrow="block" joinstyle="miter"/>
                </v:shape>
                <v:shape id="Text Box 1125478334" o:spid="_x0000_s1046" type="#_x0000_t202" style="position:absolute;left:1583;top:415;width:502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" filled="f" stroked="f" strokeweight=".5pt">
                  <v:textbox>
                    <w:txbxContent>
                      <w:p w14:paraId="14CA9FFD" w14:textId="77777777" w:rsidR="00972A3C" w:rsidRDefault="00972A3C" w:rsidP="00972A3C">
                        <w:r>
                          <w:t>Price</w:t>
                        </w:r>
                      </w:p>
                    </w:txbxContent>
                  </v:textbox>
                </v:shape>
                <v:shape id="_x0000_s1047" type="#_x0000_t202" style="position:absolute;left:39697;top:26522;width:7226;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" filled="f" stroked="f" strokeweight=".5pt">
                  <v:textbox>
                    <w:txbxContent>
                      <w:p w14:paraId="3C685C31" w14:textId="77777777" w:rsidR="00972A3C" w:rsidRDefault="00972A3C" w:rsidP="00972A3C">
                        <w:pPr>
                          <w:rPr>
                            <w14:ligatures w14:val="none"/>
                          </w:rPr>
                        </w:pPr>
                        <w:r>
                          <w:t>Quantity</w:t>
                        </w:r>
                      </w:p>
                    </w:txbxContent>
                  </v:textbox>
                </v:shape>
                <v:line id="Straight Connector 1441215025" o:spid="_x0000_s1048" style="position:absolute;visibility:visible;mso-wrap-style:square" from="17190,18462" to="17190,2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" strokecolor="#156082 [3204]" strokeweight=".5pt">
                  <v:stroke dashstyle="3 1" joinstyle="miter"/>
                </v:line>
                <v:line id="Straight Connector 1022325781" o:spid="_x0000_s1049" style="position:absolute;flip:x;visibility:visible;mso-wrap-style:square" from="3614,18573" to="17244,1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" strokecolor="#156082 [3204]">
                  <v:stroke joinstyle="miter"/>
                </v:line>
                <v:line id="Straight Connector 1789833559" o:spid="_x0000_s1050" style="position:absolute;flip:x;visibility:visible;mso-wrap-style:square" from="3528,19516" to="18493,19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" strokecolor="#156082 [3204]">
                  <v:stroke joinstyle="miter"/>
                </v:line>
                <v:line id="Straight Connector 842965426" o:spid="_x0000_s1051" style="position:absolute;visibility:visible;mso-wrap-style:square" from="18426,19383" to="18426,2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" strokecolor="#156082 [3204]" strokeweight=".5pt">
                  <v:stroke dashstyle="3 1" joinstyle="miter"/>
                </v:line>
                <v:line id="Straight Connector 932264535" o:spid="_x0000_s1052" style="position:absolute;visibility:visible;mso-wrap-style:square" from="3528,8318" to="28293,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" strokecolor="#156082 [3204]" strokeweight=".5pt">
                  <v:stroke joinstyle="miter"/>
                </v:line>
                <v:line id="Straight Connector 279215689" o:spid="_x0000_s1053" style="position:absolute;flip:y;visibility:visible;mso-wrap-style:square" from="6542,4339" to="42293,2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" strokecolor="#156082 [3204]" strokeweight=".5pt">
                  <v:stroke joinstyle="miter"/>
                </v:line>
                <v:line id="Straight Connector 574998111" o:spid="_x0000_s1054" style="position:absolute;flip:y;visibility:visible;mso-wrap-style:square" from="3614,3649" to="40739,2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" strokecolor="#156082 [3204]" strokeweight=".5pt">
                  <v:stroke joinstyle="miter"/>
                </v:line>
                <v:shape id="_x0000_s1055" type="#_x0000_t202" style="position:absolute;left:17244;top:26592;width:3506;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" filled="f" stroked="f" strokeweight=".5pt">
                  <v:textbox>
                    <w:txbxContent>
                      <w:p w14:paraId="0AA58EE2" w14:textId="77777777" w:rsidR="00972A3C" w:rsidRDefault="00972A3C" w:rsidP="00972A3C">
                        <w:pPr>
                          <w:rPr>
                            <w14:ligatures w14:val="none"/>
                          </w:rPr>
                        </w:pPr>
                        <w:r>
                          <w:t>Q</w:t>
                        </w:r>
                        <w:r>
                          <w:rPr>
                            <w:position w:val="-4"/>
                            <w:vertAlign w:val="subscript"/>
                          </w:rPr>
                          <w:t>0</w:t>
                        </w:r>
                      </w:p>
                    </w:txbxContent>
                  </v:textbox>
                </v:shape>
                <v:shape id="_x0000_s1056" type="#_x0000_t202" style="position:absolute;left:14650;top:26475;width:3505;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" filled="f" stroked="f" strokeweight=".5pt">
                  <v:textbox>
                    <w:txbxContent>
                      <w:p w14:paraId="0C6727BB" w14:textId="77777777" w:rsidR="00972A3C" w:rsidRDefault="00972A3C" w:rsidP="00972A3C">
                        <w:pPr>
                          <w:rPr>
                            <w14:ligatures w14:val="none"/>
                          </w:rPr>
                        </w:pPr>
                        <w:r>
                          <w:t>Q</w:t>
                        </w:r>
                        <w:r>
                          <w:rPr>
                            <w:position w:val="-4"/>
                            <w:vertAlign w:val="subscript"/>
                          </w:rPr>
                          <w:t>1</w:t>
                        </w:r>
                      </w:p>
                    </w:txbxContent>
                  </v:textbox>
                </v:shape>
                <v:shape id="_x0000_s1057" type="#_x0000_t202" style="position:absolute;left:751;top:18716;width:3252;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" filled="f" stroked="f" strokeweight=".5pt">
                  <v:textbox>
                    <w:txbxContent>
                      <w:p w14:paraId="6C6BEA2D" w14:textId="77777777" w:rsidR="00972A3C" w:rsidRDefault="00972A3C" w:rsidP="00972A3C">
                        <w:pPr>
                          <w:rPr>
                            <w14:ligatures w14:val="none"/>
                          </w:rPr>
                        </w:pPr>
                        <w:r>
                          <w:t>P</w:t>
                        </w:r>
                        <w:r>
                          <w:rPr>
                            <w:position w:val="-4"/>
                            <w:vertAlign w:val="subscript"/>
                          </w:rPr>
                          <w:t>0</w:t>
                        </w:r>
                      </w:p>
                    </w:txbxContent>
                  </v:textbox>
                </v:shape>
                <v:shape id="_x0000_s1058" type="#_x0000_t202" style="position:absolute;left:836;top:16518;width:325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" filled="f" stroked="f" strokeweight=".5pt">
                  <v:textbox>
                    <w:txbxContent>
                      <w:p w14:paraId="0303B7DD" w14:textId="77777777" w:rsidR="00972A3C" w:rsidRDefault="00972A3C" w:rsidP="00972A3C">
                        <w:pPr>
                          <w:rPr>
                            <w14:ligatures w14:val="none"/>
                          </w:rPr>
                        </w:pPr>
                        <w:r>
                          <w:t>P</w:t>
                        </w:r>
                        <w:r>
                          <w:rPr>
                            <w:position w:val="-4"/>
                            <w:vertAlign w:val="subscript"/>
                          </w:rPr>
                          <w:t>1</w:t>
                        </w:r>
                      </w:p>
                    </w:txbxContent>
                  </v:textbox>
                </v:shape>
                <v:shape id="_x0000_s1059" type="#_x0000_t202" style="position:absolute;left:25331;top:23729;width:2997;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" filled="f" stroked="f" strokeweight=".5pt">
                  <v:textbox>
                    <w:txbxContent>
                      <w:p w14:paraId="40B141F9" w14:textId="05D1A20E" w:rsidR="00972A3C" w:rsidRDefault="00972A3C" w:rsidP="00972A3C">
                        <w:pPr>
                          <w:rPr>
                            <w14:ligatures w14:val="none"/>
                          </w:rPr>
                        </w:pPr>
                        <w:r>
                          <w:t>D</w:t>
                        </w:r>
                      </w:p>
                    </w:txbxContent>
                  </v:textbox>
                </v:shape>
                <v:shape id="_x0000_s1060" type="#_x0000_t202" style="position:absolute;left:36990;top:6723;width:325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" filled="f" stroked="f" strokeweight=".5pt">
                  <v:textbox>
                    <w:txbxContent>
                      <w:p w14:paraId="6B3CB922" w14:textId="0B0B9362" w:rsidR="00972A3C" w:rsidRDefault="00972A3C" w:rsidP="00972A3C">
                        <w:pPr>
                          <w:rPr>
                            <w14:ligatures w14:val="none"/>
                          </w:rPr>
                        </w:pPr>
                        <w:r>
                          <w:t>S</w:t>
                        </w:r>
                        <w:r w:rsidRPr="006738E4">
                          <w:rPr>
                            <w:vertAlign w:val="subscript"/>
                          </w:rPr>
                          <w:t>0</w:t>
                        </w:r>
                      </w:p>
                    </w:txbxContent>
                  </v:textbox>
                </v:shape>
                <v:shape id="_x0000_s1061" type="#_x0000_t202" style="position:absolute;left:33419;top:3047;width:3251;height:28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" filled="f" stroked="f" strokeweight=".5pt">
                  <v:textbox>
                    <w:txbxContent>
                      <w:p w14:paraId="13974FBB" w14:textId="08696DA2" w:rsidR="00972A3C" w:rsidRDefault="00972A3C" w:rsidP="00972A3C">
                        <w:pPr>
                          <w:rPr>
                            <w14:ligatures w14:val="none"/>
                          </w:rPr>
                        </w:pPr>
                        <w:r>
                          <w:t>S</w:t>
                        </w:r>
                        <w:r>
                          <w:rPr>
                            <w:position w:val="-4"/>
                            <w:vertAlign w:val="subscript"/>
                          </w:rPr>
                          <w:t>1</w:t>
                        </w:r>
                      </w:p>
                    </w:txbxContent>
                  </v:textbox>
                </v:shape>
                <v:shape id="Straight Arrow Connector 996280180" o:spid="_x0000_s1062" type="#_x0000_t32" style="position:absolute;left:17190;top:23742;width:12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" strokecolor="#156082 [3204]" strokeweight=".5pt">
                  <v:stroke endarrow="open" endarrowwidth="narrow" endarrowlength="short" joinstyle="miter"/>
                </v:shape>
                <v:shape id="Straight Arrow Connector 2130974050" o:spid="_x0000_s1063" type="#_x0000_t32" style="position:absolute;left:9942;top:18573;width:0;height:9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" strokecolor="#156082 [3204]" strokeweight=".5pt">
                  <v:stroke endarrow="open" endarrowwidth="narrow" endarrowlength="short" joinstyle="miter"/>
                </v:shape>
                <w10:anchorlock/>
              </v:group>
            </w:pict>
          </mc:Fallback>
        </mc:AlternateContent>
      </w:r>
    </w:p>
    <w:p w14:paraId="0757B165" w14:textId="62F4CA45" w:rsidR="00E61DF4" w:rsidRPr="00F2205B" w:rsidRDefault="00E61DF4" w:rsidP="00F2205B">
      <w:pPr>
        <w:spacing w:after="0" w:line="240" w:lineRule="auto"/>
        <w:jc w:val="both"/>
        <w:rPr>
          <w:rFonts w:ascii="Calibri" w:hAnsi="Calibri" w:cs="Calibri"/>
          <w:sz w:val="22"/>
        </w:rPr>
      </w:pPr>
    </w:p>
    <w:p w14:paraId="5C4CA90C" w14:textId="533B86E3" w:rsidR="002366FE" w:rsidRPr="00F2205B" w:rsidRDefault="00335CA9" w:rsidP="00F2205B">
      <w:pPr>
        <w:spacing w:after="0" w:line="240" w:lineRule="auto"/>
        <w:jc w:val="both"/>
        <w:rPr>
          <w:rFonts w:ascii="Calibri" w:hAnsi="Calibri" w:cs="Calibri"/>
          <w:sz w:val="22"/>
        </w:rPr>
      </w:pPr>
      <w:r>
        <w:rPr>
          <w:rFonts w:ascii="Calibri" w:hAnsi="Calibri" w:cs="Calibri"/>
          <w:sz w:val="22"/>
        </w:rPr>
        <w:t xml:space="preserve">Penalising food waste would raise the overall cost of production from </w:t>
      </w:r>
      <w:r w:rsidR="00323AE4">
        <w:rPr>
          <w:rFonts w:ascii="Calibri" w:hAnsi="Calibri" w:cs="Calibri"/>
          <w:sz w:val="22"/>
        </w:rPr>
        <w:t>S</w:t>
      </w:r>
      <w:r w:rsidR="00323AE4" w:rsidRPr="00B024B6">
        <w:rPr>
          <w:rFonts w:ascii="Calibri" w:hAnsi="Calibri" w:cs="Calibri"/>
          <w:sz w:val="22"/>
          <w:vertAlign w:val="subscript"/>
        </w:rPr>
        <w:t>0</w:t>
      </w:r>
      <w:r w:rsidR="00323AE4">
        <w:rPr>
          <w:rFonts w:ascii="Calibri" w:hAnsi="Calibri" w:cs="Calibri"/>
          <w:sz w:val="22"/>
        </w:rPr>
        <w:t xml:space="preserve"> to S</w:t>
      </w:r>
      <w:r w:rsidR="00323AE4" w:rsidRPr="00B024B6">
        <w:rPr>
          <w:rFonts w:ascii="Calibri" w:hAnsi="Calibri" w:cs="Calibri"/>
          <w:sz w:val="22"/>
          <w:vertAlign w:val="subscript"/>
        </w:rPr>
        <w:t>1</w:t>
      </w:r>
      <w:r w:rsidR="00323AE4">
        <w:rPr>
          <w:rFonts w:ascii="Calibri" w:hAnsi="Calibri" w:cs="Calibri"/>
          <w:sz w:val="22"/>
        </w:rPr>
        <w:t xml:space="preserve">, reducing output </w:t>
      </w:r>
      <w:r w:rsidR="0039608F">
        <w:rPr>
          <w:rFonts w:ascii="Calibri" w:hAnsi="Calibri" w:cs="Calibri"/>
          <w:sz w:val="22"/>
        </w:rPr>
        <w:t>from Q</w:t>
      </w:r>
      <w:r w:rsidR="0039608F" w:rsidRPr="00B024B6">
        <w:rPr>
          <w:rFonts w:ascii="Calibri" w:hAnsi="Calibri" w:cs="Calibri"/>
          <w:sz w:val="22"/>
          <w:vertAlign w:val="subscript"/>
        </w:rPr>
        <w:t>0</w:t>
      </w:r>
      <w:r w:rsidR="0039608F">
        <w:rPr>
          <w:rFonts w:ascii="Calibri" w:hAnsi="Calibri" w:cs="Calibri"/>
          <w:sz w:val="22"/>
        </w:rPr>
        <w:t xml:space="preserve"> to Q</w:t>
      </w:r>
      <w:r w:rsidR="0039608F" w:rsidRPr="00B024B6">
        <w:rPr>
          <w:rFonts w:ascii="Calibri" w:hAnsi="Calibri" w:cs="Calibri"/>
          <w:sz w:val="22"/>
          <w:vertAlign w:val="subscript"/>
        </w:rPr>
        <w:t>1</w:t>
      </w:r>
      <w:r w:rsidR="0039608F">
        <w:rPr>
          <w:rFonts w:ascii="Calibri" w:hAnsi="Calibri" w:cs="Calibri"/>
          <w:sz w:val="22"/>
        </w:rPr>
        <w:t xml:space="preserve"> and </w:t>
      </w:r>
      <w:r w:rsidR="00B024B6">
        <w:rPr>
          <w:rFonts w:ascii="Calibri" w:hAnsi="Calibri" w:cs="Calibri"/>
          <w:sz w:val="22"/>
        </w:rPr>
        <w:t>raising</w:t>
      </w:r>
      <w:r w:rsidR="0039608F">
        <w:rPr>
          <w:rFonts w:ascii="Calibri" w:hAnsi="Calibri" w:cs="Calibri"/>
          <w:sz w:val="22"/>
        </w:rPr>
        <w:t xml:space="preserve"> the price of food from P</w:t>
      </w:r>
      <w:r w:rsidR="0039608F" w:rsidRPr="00B024B6">
        <w:rPr>
          <w:rFonts w:ascii="Calibri" w:hAnsi="Calibri" w:cs="Calibri"/>
          <w:sz w:val="22"/>
          <w:vertAlign w:val="subscript"/>
        </w:rPr>
        <w:t>0</w:t>
      </w:r>
      <w:r w:rsidR="0039608F">
        <w:rPr>
          <w:rFonts w:ascii="Calibri" w:hAnsi="Calibri" w:cs="Calibri"/>
          <w:sz w:val="22"/>
        </w:rPr>
        <w:t xml:space="preserve"> to P</w:t>
      </w:r>
      <w:r w:rsidR="0039608F" w:rsidRPr="00B024B6">
        <w:rPr>
          <w:rFonts w:ascii="Calibri" w:hAnsi="Calibri" w:cs="Calibri"/>
          <w:sz w:val="22"/>
          <w:vertAlign w:val="subscript"/>
        </w:rPr>
        <w:t>1</w:t>
      </w:r>
      <w:r w:rsidR="0039608F">
        <w:rPr>
          <w:rFonts w:ascii="Calibri" w:hAnsi="Calibri" w:cs="Calibri"/>
          <w:sz w:val="22"/>
        </w:rPr>
        <w:t xml:space="preserve">. </w:t>
      </w:r>
      <w:r w:rsidR="002366FE" w:rsidRPr="00F2205B">
        <w:rPr>
          <w:rFonts w:ascii="Calibri" w:hAnsi="Calibri" w:cs="Calibri"/>
          <w:sz w:val="22"/>
        </w:rPr>
        <w:t xml:space="preserve">The reduction in food production from </w:t>
      </w:r>
      <w:r w:rsidR="00A91F41" w:rsidRPr="00F2205B">
        <w:rPr>
          <w:rFonts w:ascii="Calibri" w:hAnsi="Calibri" w:cs="Calibri"/>
          <w:sz w:val="22"/>
        </w:rPr>
        <w:t xml:space="preserve">increased costs should be </w:t>
      </w:r>
      <w:r w:rsidR="00482786" w:rsidRPr="00F2205B">
        <w:rPr>
          <w:rFonts w:ascii="Calibri" w:hAnsi="Calibri" w:cs="Calibri"/>
          <w:sz w:val="22"/>
        </w:rPr>
        <w:t>carefully considered before introduction</w:t>
      </w:r>
      <w:r w:rsidR="004A73F0">
        <w:rPr>
          <w:rFonts w:ascii="Calibri" w:hAnsi="Calibri" w:cs="Calibri"/>
          <w:sz w:val="22"/>
        </w:rPr>
        <w:t xml:space="preserve">, however there could be </w:t>
      </w:r>
      <w:r w:rsidR="00482786" w:rsidRPr="00F2205B">
        <w:rPr>
          <w:rFonts w:ascii="Calibri" w:hAnsi="Calibri" w:cs="Calibri"/>
          <w:sz w:val="22"/>
        </w:rPr>
        <w:t xml:space="preserve">other initiatives implemented </w:t>
      </w:r>
      <w:r w:rsidR="00F82441" w:rsidRPr="00F2205B">
        <w:rPr>
          <w:rFonts w:ascii="Calibri" w:hAnsi="Calibri" w:cs="Calibri"/>
          <w:sz w:val="22"/>
        </w:rPr>
        <w:t xml:space="preserve">to offset this cost. For example, government investment in supply chains to redistribute the food would enable producers to provide excess food </w:t>
      </w:r>
      <w:r w:rsidR="000213E3" w:rsidRPr="00F2205B">
        <w:rPr>
          <w:rFonts w:ascii="Calibri" w:hAnsi="Calibri" w:cs="Calibri"/>
          <w:sz w:val="22"/>
        </w:rPr>
        <w:t>as donations, rather than discarding, without incurring additional costs.</w:t>
      </w:r>
    </w:p>
    <w:p w14:paraId="3EC209B3" w14:textId="77777777" w:rsidR="00125731" w:rsidRDefault="00125731" w:rsidP="00ED1374">
      <w:pPr>
        <w:pStyle w:val="Heading4"/>
      </w:pPr>
    </w:p>
    <w:p w14:paraId="23687FF7" w14:textId="4E3E1540" w:rsidR="00A926F7" w:rsidRPr="00F2205B" w:rsidRDefault="00F9447C" w:rsidP="00ED1374">
      <w:pPr>
        <w:pStyle w:val="Heading4"/>
      </w:pPr>
      <w:r w:rsidRPr="00F2205B">
        <w:t xml:space="preserve">How </w:t>
      </w:r>
      <w:r w:rsidR="00B23822">
        <w:t>f</w:t>
      </w:r>
      <w:r w:rsidRPr="00F2205B">
        <w:t xml:space="preserve">ood </w:t>
      </w:r>
      <w:r w:rsidR="00B23822">
        <w:t>w</w:t>
      </w:r>
      <w:r w:rsidRPr="00F2205B">
        <w:t xml:space="preserve">aste is </w:t>
      </w:r>
      <w:r w:rsidR="00B23822">
        <w:t>m</w:t>
      </w:r>
      <w:r w:rsidRPr="00F2205B">
        <w:t>easured</w:t>
      </w:r>
    </w:p>
    <w:p w14:paraId="57FCD505" w14:textId="77777777" w:rsidR="00195BD4" w:rsidRDefault="00195BD4" w:rsidP="00F2205B">
      <w:pPr>
        <w:spacing w:after="0" w:line="240" w:lineRule="auto"/>
        <w:jc w:val="both"/>
        <w:rPr>
          <w:rFonts w:ascii="Calibri" w:hAnsi="Calibri" w:cs="Calibri"/>
          <w:sz w:val="22"/>
        </w:rPr>
      </w:pPr>
    </w:p>
    <w:p w14:paraId="50748460" w14:textId="7F443EC0" w:rsidR="0037296A" w:rsidRPr="00F2205B" w:rsidRDefault="00A02A7A" w:rsidP="00F2205B">
      <w:pPr>
        <w:spacing w:after="0" w:line="240" w:lineRule="auto"/>
        <w:jc w:val="both"/>
        <w:rPr>
          <w:rFonts w:ascii="Calibri" w:hAnsi="Calibri" w:cs="Calibri"/>
          <w:sz w:val="22"/>
        </w:rPr>
      </w:pPr>
      <w:r w:rsidRPr="00F2205B">
        <w:rPr>
          <w:rFonts w:ascii="Calibri" w:hAnsi="Calibri" w:cs="Calibri"/>
          <w:sz w:val="22"/>
        </w:rPr>
        <w:t xml:space="preserve">Measurement of food waste is difficult, </w:t>
      </w:r>
      <w:r w:rsidR="003730C4" w:rsidRPr="00F2205B">
        <w:rPr>
          <w:rFonts w:ascii="Calibri" w:hAnsi="Calibri" w:cs="Calibri"/>
          <w:sz w:val="22"/>
        </w:rPr>
        <w:t xml:space="preserve">partially because not all discarded </w:t>
      </w:r>
      <w:r w:rsidR="00004A8E" w:rsidRPr="00F2205B">
        <w:rPr>
          <w:rFonts w:ascii="Calibri" w:hAnsi="Calibri" w:cs="Calibri"/>
          <w:sz w:val="22"/>
        </w:rPr>
        <w:t xml:space="preserve">food </w:t>
      </w:r>
      <w:r w:rsidR="003730C4" w:rsidRPr="00F2205B">
        <w:rPr>
          <w:rFonts w:ascii="Calibri" w:hAnsi="Calibri" w:cs="Calibri"/>
          <w:sz w:val="22"/>
        </w:rPr>
        <w:t>is the same</w:t>
      </w:r>
      <w:r w:rsidR="007717BE">
        <w:rPr>
          <w:rFonts w:ascii="Calibri" w:hAnsi="Calibri" w:cs="Calibri"/>
          <w:sz w:val="22"/>
        </w:rPr>
        <w:t xml:space="preserve"> and definitions of food waste vary</w:t>
      </w:r>
      <w:r w:rsidR="003730C4" w:rsidRPr="00F2205B">
        <w:rPr>
          <w:rFonts w:ascii="Calibri" w:hAnsi="Calibri" w:cs="Calibri"/>
          <w:sz w:val="22"/>
        </w:rPr>
        <w:t>.</w:t>
      </w:r>
      <w:r w:rsidR="00E352F4" w:rsidRPr="00F2205B">
        <w:rPr>
          <w:rFonts w:ascii="Calibri" w:hAnsi="Calibri" w:cs="Calibri"/>
          <w:sz w:val="22"/>
        </w:rPr>
        <w:t xml:space="preserve"> </w:t>
      </w:r>
      <w:r w:rsidR="002B15A3" w:rsidRPr="00F2205B">
        <w:rPr>
          <w:rFonts w:ascii="Calibri" w:hAnsi="Calibri" w:cs="Calibri"/>
          <w:sz w:val="22"/>
        </w:rPr>
        <w:t xml:space="preserve">Some </w:t>
      </w:r>
      <w:r w:rsidR="0031134E" w:rsidRPr="00F2205B">
        <w:rPr>
          <w:rFonts w:ascii="Calibri" w:hAnsi="Calibri" w:cs="Calibri"/>
          <w:sz w:val="22"/>
        </w:rPr>
        <w:t xml:space="preserve">percentage of this </w:t>
      </w:r>
      <w:r w:rsidR="00C93A7D" w:rsidRPr="00F2205B">
        <w:rPr>
          <w:rFonts w:ascii="Calibri" w:hAnsi="Calibri" w:cs="Calibri"/>
          <w:sz w:val="22"/>
        </w:rPr>
        <w:t xml:space="preserve">discarded food is non-edible products that are not fit for human consumption, or unable to be repurposed into other items (i.e. pet or </w:t>
      </w:r>
      <w:r w:rsidR="0037296A" w:rsidRPr="00F2205B">
        <w:rPr>
          <w:rFonts w:ascii="Calibri" w:hAnsi="Calibri" w:cs="Calibri"/>
          <w:sz w:val="22"/>
        </w:rPr>
        <w:t>livestock feed) (Rezaei and Liu</w:t>
      </w:r>
      <w:r w:rsidR="00907D92">
        <w:rPr>
          <w:rFonts w:ascii="Calibri" w:hAnsi="Calibri" w:cs="Calibri"/>
          <w:sz w:val="22"/>
        </w:rPr>
        <w:t>,</w:t>
      </w:r>
      <w:r w:rsidR="0037296A" w:rsidRPr="00F2205B">
        <w:rPr>
          <w:rFonts w:ascii="Calibri" w:hAnsi="Calibri" w:cs="Calibri"/>
          <w:sz w:val="22"/>
        </w:rPr>
        <w:t xml:space="preserve"> 2017). This type of waste is known as food loss.</w:t>
      </w:r>
      <w:r w:rsidR="005B075F" w:rsidRPr="00F2205B">
        <w:rPr>
          <w:rFonts w:ascii="Calibri" w:hAnsi="Calibri" w:cs="Calibri"/>
          <w:sz w:val="22"/>
        </w:rPr>
        <w:t xml:space="preserve"> Some food </w:t>
      </w:r>
      <w:r w:rsidR="005872A1" w:rsidRPr="00F2205B">
        <w:rPr>
          <w:rFonts w:ascii="Calibri" w:hAnsi="Calibri" w:cs="Calibri"/>
          <w:sz w:val="22"/>
        </w:rPr>
        <w:t xml:space="preserve">loss is an unfortunate but inevitable outcome of all food </w:t>
      </w:r>
      <w:r w:rsidR="00CA3412" w:rsidRPr="00F2205B">
        <w:rPr>
          <w:rFonts w:ascii="Calibri" w:hAnsi="Calibri" w:cs="Calibri"/>
          <w:sz w:val="22"/>
        </w:rPr>
        <w:t>production;</w:t>
      </w:r>
      <w:r w:rsidR="005872A1" w:rsidRPr="00F2205B">
        <w:rPr>
          <w:rFonts w:ascii="Calibri" w:hAnsi="Calibri" w:cs="Calibri"/>
          <w:sz w:val="22"/>
        </w:rPr>
        <w:t xml:space="preserve"> however good agricultural and logistical practices can help to minimise food losses.</w:t>
      </w:r>
    </w:p>
    <w:p w14:paraId="1CBEFA25" w14:textId="77777777" w:rsidR="00195BD4" w:rsidRDefault="00195BD4" w:rsidP="00F2205B">
      <w:pPr>
        <w:spacing w:after="0" w:line="240" w:lineRule="auto"/>
        <w:jc w:val="both"/>
        <w:rPr>
          <w:rFonts w:ascii="Calibri" w:hAnsi="Calibri" w:cs="Calibri"/>
          <w:sz w:val="22"/>
        </w:rPr>
      </w:pPr>
    </w:p>
    <w:p w14:paraId="17D82663" w14:textId="15CEAA9F" w:rsidR="000542AC" w:rsidRPr="00F2205B" w:rsidRDefault="003730C4" w:rsidP="00F2205B">
      <w:pPr>
        <w:spacing w:after="0" w:line="240" w:lineRule="auto"/>
        <w:jc w:val="both"/>
        <w:rPr>
          <w:rFonts w:ascii="Calibri" w:hAnsi="Calibri" w:cs="Calibri"/>
          <w:sz w:val="22"/>
        </w:rPr>
      </w:pPr>
      <w:r w:rsidRPr="00F2205B">
        <w:rPr>
          <w:rFonts w:ascii="Calibri" w:hAnsi="Calibri" w:cs="Calibri"/>
          <w:sz w:val="22"/>
        </w:rPr>
        <w:t xml:space="preserve">Food </w:t>
      </w:r>
      <w:r w:rsidR="00D524D8" w:rsidRPr="00F2205B">
        <w:rPr>
          <w:rFonts w:ascii="Calibri" w:hAnsi="Calibri" w:cs="Calibri"/>
          <w:sz w:val="22"/>
        </w:rPr>
        <w:t>w</w:t>
      </w:r>
      <w:r w:rsidRPr="00F2205B">
        <w:rPr>
          <w:rFonts w:ascii="Calibri" w:hAnsi="Calibri" w:cs="Calibri"/>
          <w:sz w:val="22"/>
        </w:rPr>
        <w:t xml:space="preserve">aste on the other </w:t>
      </w:r>
      <w:r w:rsidR="00E149CB">
        <w:rPr>
          <w:rFonts w:ascii="Calibri" w:hAnsi="Calibri" w:cs="Calibri"/>
          <w:sz w:val="22"/>
        </w:rPr>
        <w:t>hand</w:t>
      </w:r>
      <w:r w:rsidR="000542AC" w:rsidRPr="00F2205B">
        <w:rPr>
          <w:rFonts w:ascii="Calibri" w:hAnsi="Calibri" w:cs="Calibri"/>
          <w:sz w:val="22"/>
        </w:rPr>
        <w:t xml:space="preserve"> is the food that is removed from the supply chain </w:t>
      </w:r>
      <w:r w:rsidR="00D05A30" w:rsidRPr="00F2205B">
        <w:rPr>
          <w:rFonts w:ascii="Calibri" w:hAnsi="Calibri" w:cs="Calibri"/>
          <w:sz w:val="22"/>
        </w:rPr>
        <w:t xml:space="preserve">that was at some point fit for human consumption. This occurs often due to personal preferences, </w:t>
      </w:r>
      <w:r w:rsidR="002F671A" w:rsidRPr="00F2205B">
        <w:rPr>
          <w:rFonts w:ascii="Calibri" w:hAnsi="Calibri" w:cs="Calibri"/>
          <w:sz w:val="22"/>
        </w:rPr>
        <w:t xml:space="preserve">preconceived </w:t>
      </w:r>
      <w:r w:rsidR="00CA3412" w:rsidRPr="00F2205B">
        <w:rPr>
          <w:rFonts w:ascii="Calibri" w:hAnsi="Calibri" w:cs="Calibri"/>
          <w:sz w:val="22"/>
        </w:rPr>
        <w:t>ideas</w:t>
      </w:r>
      <w:r w:rsidR="002F671A" w:rsidRPr="00F2205B">
        <w:rPr>
          <w:rFonts w:ascii="Calibri" w:hAnsi="Calibri" w:cs="Calibri"/>
          <w:sz w:val="22"/>
        </w:rPr>
        <w:t xml:space="preserve"> on edibility or taste, or sometimes due to mismanagement.</w:t>
      </w:r>
      <w:r w:rsidRPr="00F2205B">
        <w:rPr>
          <w:rFonts w:ascii="Calibri" w:hAnsi="Calibri" w:cs="Calibri"/>
          <w:sz w:val="22"/>
        </w:rPr>
        <w:t xml:space="preserve"> </w:t>
      </w:r>
    </w:p>
    <w:p w14:paraId="414E8214" w14:textId="77777777" w:rsidR="00195BD4" w:rsidRDefault="00195BD4" w:rsidP="00F2205B">
      <w:pPr>
        <w:spacing w:after="0" w:line="240" w:lineRule="auto"/>
        <w:jc w:val="both"/>
        <w:rPr>
          <w:rFonts w:ascii="Calibri" w:hAnsi="Calibri" w:cs="Calibri"/>
          <w:sz w:val="22"/>
        </w:rPr>
      </w:pPr>
    </w:p>
    <w:p w14:paraId="4145B5FA" w14:textId="6D470E07" w:rsidR="005B075F" w:rsidRPr="00F2205B" w:rsidRDefault="00731AE3" w:rsidP="00F2205B">
      <w:pPr>
        <w:spacing w:after="0" w:line="240" w:lineRule="auto"/>
        <w:jc w:val="both"/>
        <w:rPr>
          <w:rFonts w:ascii="Calibri" w:hAnsi="Calibri" w:cs="Calibri"/>
          <w:sz w:val="22"/>
        </w:rPr>
      </w:pPr>
      <w:r w:rsidRPr="00F2205B">
        <w:rPr>
          <w:rFonts w:ascii="Calibri" w:hAnsi="Calibri" w:cs="Calibri"/>
          <w:sz w:val="22"/>
        </w:rPr>
        <w:t xml:space="preserve">Food </w:t>
      </w:r>
      <w:r w:rsidR="00D524D8" w:rsidRPr="00F2205B">
        <w:rPr>
          <w:rFonts w:ascii="Calibri" w:hAnsi="Calibri" w:cs="Calibri"/>
          <w:sz w:val="22"/>
        </w:rPr>
        <w:t>l</w:t>
      </w:r>
      <w:r w:rsidRPr="00F2205B">
        <w:rPr>
          <w:rFonts w:ascii="Calibri" w:hAnsi="Calibri" w:cs="Calibri"/>
          <w:sz w:val="22"/>
        </w:rPr>
        <w:t>oss and food waste occur for various reasons at different stages of the supply chain</w:t>
      </w:r>
      <w:r w:rsidR="00DD1C99" w:rsidRPr="00F2205B">
        <w:rPr>
          <w:rFonts w:ascii="Calibri" w:hAnsi="Calibri" w:cs="Calibri"/>
          <w:sz w:val="22"/>
        </w:rPr>
        <w:t>. To understand these</w:t>
      </w:r>
      <w:r w:rsidR="00B3344C" w:rsidRPr="00F2205B">
        <w:rPr>
          <w:rFonts w:ascii="Calibri" w:hAnsi="Calibri" w:cs="Calibri"/>
          <w:sz w:val="22"/>
        </w:rPr>
        <w:t xml:space="preserve">, the supply chain needs to be broken down into distinct </w:t>
      </w:r>
      <w:r w:rsidR="000B13E1" w:rsidRPr="00F2205B">
        <w:rPr>
          <w:rFonts w:ascii="Calibri" w:hAnsi="Calibri" w:cs="Calibri"/>
          <w:sz w:val="22"/>
        </w:rPr>
        <w:t>stages</w:t>
      </w:r>
      <w:r w:rsidR="00B3344C" w:rsidRPr="00F2205B">
        <w:rPr>
          <w:rFonts w:ascii="Calibri" w:hAnsi="Calibri" w:cs="Calibri"/>
          <w:sz w:val="22"/>
        </w:rPr>
        <w:t xml:space="preserve">. The chosen </w:t>
      </w:r>
      <w:r w:rsidR="000B13E1" w:rsidRPr="00F2205B">
        <w:rPr>
          <w:rFonts w:ascii="Calibri" w:hAnsi="Calibri" w:cs="Calibri"/>
          <w:sz w:val="22"/>
        </w:rPr>
        <w:t>stages</w:t>
      </w:r>
      <w:r w:rsidR="00B3344C" w:rsidRPr="00F2205B">
        <w:rPr>
          <w:rFonts w:ascii="Calibri" w:hAnsi="Calibri" w:cs="Calibri"/>
          <w:sz w:val="22"/>
        </w:rPr>
        <w:t xml:space="preserve"> are </w:t>
      </w:r>
      <w:r w:rsidR="004C4E05" w:rsidRPr="00F2205B">
        <w:rPr>
          <w:rFonts w:ascii="Calibri" w:hAnsi="Calibri" w:cs="Calibri"/>
          <w:sz w:val="22"/>
        </w:rPr>
        <w:t>standardised</w:t>
      </w:r>
      <w:r w:rsidR="00B3344C" w:rsidRPr="00F2205B">
        <w:rPr>
          <w:rFonts w:ascii="Calibri" w:hAnsi="Calibri" w:cs="Calibri"/>
          <w:sz w:val="22"/>
        </w:rPr>
        <w:t xml:space="preserve"> in research in the area</w:t>
      </w:r>
      <w:r w:rsidR="000B13E1" w:rsidRPr="00F2205B">
        <w:rPr>
          <w:rFonts w:ascii="Calibri" w:hAnsi="Calibri" w:cs="Calibri"/>
          <w:sz w:val="22"/>
        </w:rPr>
        <w:t xml:space="preserve"> (Rezaei and Liu</w:t>
      </w:r>
      <w:r w:rsidR="00A80B88">
        <w:rPr>
          <w:rFonts w:ascii="Calibri" w:hAnsi="Calibri" w:cs="Calibri"/>
          <w:sz w:val="22"/>
        </w:rPr>
        <w:t>,</w:t>
      </w:r>
      <w:r w:rsidR="000B13E1" w:rsidRPr="00F2205B">
        <w:rPr>
          <w:rFonts w:ascii="Calibri" w:hAnsi="Calibri" w:cs="Calibri"/>
          <w:sz w:val="22"/>
        </w:rPr>
        <w:t xml:space="preserve"> 2017</w:t>
      </w:r>
      <w:r w:rsidR="00A80B88">
        <w:rPr>
          <w:rFonts w:ascii="Calibri" w:hAnsi="Calibri" w:cs="Calibri"/>
          <w:sz w:val="22"/>
        </w:rPr>
        <w:t>;</w:t>
      </w:r>
      <w:r w:rsidR="000B13E1" w:rsidRPr="00F2205B">
        <w:rPr>
          <w:rFonts w:ascii="Calibri" w:hAnsi="Calibri" w:cs="Calibri"/>
          <w:sz w:val="22"/>
        </w:rPr>
        <w:t xml:space="preserve"> FAO</w:t>
      </w:r>
      <w:r w:rsidR="00A80B88">
        <w:rPr>
          <w:rFonts w:ascii="Calibri" w:hAnsi="Calibri" w:cs="Calibri"/>
          <w:sz w:val="22"/>
        </w:rPr>
        <w:t>,</w:t>
      </w:r>
      <w:r w:rsidR="000B13E1" w:rsidRPr="00F2205B">
        <w:rPr>
          <w:rFonts w:ascii="Calibri" w:hAnsi="Calibri" w:cs="Calibri"/>
          <w:sz w:val="22"/>
        </w:rPr>
        <w:t xml:space="preserve"> 2011).</w:t>
      </w:r>
      <w:r w:rsidR="004C4E05" w:rsidRPr="00F2205B">
        <w:rPr>
          <w:rFonts w:ascii="Calibri" w:hAnsi="Calibri" w:cs="Calibri"/>
          <w:sz w:val="22"/>
        </w:rPr>
        <w:t xml:space="preserve"> </w:t>
      </w:r>
      <w:r w:rsidR="00E149CB">
        <w:rPr>
          <w:rFonts w:ascii="Calibri" w:hAnsi="Calibri" w:cs="Calibri"/>
          <w:sz w:val="22"/>
        </w:rPr>
        <w:t>H</w:t>
      </w:r>
      <w:r w:rsidR="004C4E05" w:rsidRPr="00F2205B">
        <w:rPr>
          <w:rFonts w:ascii="Calibri" w:hAnsi="Calibri" w:cs="Calibri"/>
          <w:sz w:val="22"/>
        </w:rPr>
        <w:t xml:space="preserve">owever not all supply chains include all the </w:t>
      </w:r>
      <w:r w:rsidR="000B13E1" w:rsidRPr="00F2205B">
        <w:rPr>
          <w:rFonts w:ascii="Calibri" w:hAnsi="Calibri" w:cs="Calibri"/>
          <w:sz w:val="22"/>
        </w:rPr>
        <w:t>stages, and there is often a blurred overlap in some of these, for example where processing happens on the same site as the agricultural product is farmed</w:t>
      </w:r>
      <w:r w:rsidR="004C4E05" w:rsidRPr="00F2205B">
        <w:rPr>
          <w:rFonts w:ascii="Calibri" w:hAnsi="Calibri" w:cs="Calibri"/>
          <w:sz w:val="22"/>
        </w:rPr>
        <w:t>:</w:t>
      </w:r>
    </w:p>
    <w:p w14:paraId="058F336F" w14:textId="46E9B9C7" w:rsidR="00FB4095" w:rsidRPr="00F2205B" w:rsidRDefault="000B13E1" w:rsidP="00F2205B">
      <w:pPr>
        <w:pStyle w:val="ListParagraph"/>
        <w:numPr>
          <w:ilvl w:val="0"/>
          <w:numId w:val="17"/>
        </w:numPr>
        <w:spacing w:after="0" w:line="240" w:lineRule="auto"/>
        <w:ind w:left="0" w:firstLine="0"/>
        <w:jc w:val="both"/>
        <w:rPr>
          <w:rFonts w:ascii="Calibri" w:hAnsi="Calibri" w:cs="Calibri"/>
          <w:sz w:val="22"/>
        </w:rPr>
      </w:pPr>
      <w:r w:rsidRPr="00F2205B">
        <w:rPr>
          <w:rFonts w:ascii="Calibri" w:hAnsi="Calibri" w:cs="Calibri"/>
          <w:sz w:val="22"/>
        </w:rPr>
        <w:t xml:space="preserve">Agriculture </w:t>
      </w:r>
      <w:r w:rsidR="00FB4095" w:rsidRPr="00F2205B">
        <w:rPr>
          <w:rFonts w:ascii="Calibri" w:hAnsi="Calibri" w:cs="Calibri"/>
          <w:sz w:val="22"/>
        </w:rPr>
        <w:t>–</w:t>
      </w:r>
      <w:r w:rsidR="00C431B9" w:rsidRPr="00F2205B">
        <w:rPr>
          <w:rFonts w:ascii="Calibri" w:hAnsi="Calibri" w:cs="Calibri"/>
          <w:sz w:val="22"/>
        </w:rPr>
        <w:t xml:space="preserve"> </w:t>
      </w:r>
      <w:r w:rsidR="008859E0" w:rsidRPr="00F2205B">
        <w:rPr>
          <w:rFonts w:ascii="Calibri" w:hAnsi="Calibri" w:cs="Calibri"/>
          <w:sz w:val="22"/>
        </w:rPr>
        <w:t>any action taken through the growth, harvest operations, sorting or grading.</w:t>
      </w:r>
    </w:p>
    <w:p w14:paraId="30F14898" w14:textId="25C177AC" w:rsidR="000B13E1" w:rsidRPr="00F2205B" w:rsidRDefault="000B13E1" w:rsidP="00F2205B">
      <w:pPr>
        <w:pStyle w:val="ListParagraph"/>
        <w:numPr>
          <w:ilvl w:val="0"/>
          <w:numId w:val="17"/>
        </w:numPr>
        <w:spacing w:after="0" w:line="240" w:lineRule="auto"/>
        <w:ind w:left="0" w:firstLine="0"/>
        <w:jc w:val="both"/>
        <w:rPr>
          <w:rFonts w:ascii="Calibri" w:hAnsi="Calibri" w:cs="Calibri"/>
          <w:sz w:val="22"/>
        </w:rPr>
      </w:pPr>
      <w:r w:rsidRPr="00F2205B">
        <w:rPr>
          <w:rFonts w:ascii="Calibri" w:hAnsi="Calibri" w:cs="Calibri"/>
          <w:sz w:val="22"/>
        </w:rPr>
        <w:t>Transport</w:t>
      </w:r>
      <w:r w:rsidR="00FB4095" w:rsidRPr="00F2205B">
        <w:rPr>
          <w:rFonts w:ascii="Calibri" w:hAnsi="Calibri" w:cs="Calibri"/>
          <w:sz w:val="22"/>
        </w:rPr>
        <w:t xml:space="preserve"> </w:t>
      </w:r>
      <w:r w:rsidR="00C431B9" w:rsidRPr="00F2205B">
        <w:rPr>
          <w:rFonts w:ascii="Calibri" w:hAnsi="Calibri" w:cs="Calibri"/>
          <w:sz w:val="22"/>
        </w:rPr>
        <w:t>–</w:t>
      </w:r>
      <w:r w:rsidR="00FB4095" w:rsidRPr="00F2205B">
        <w:rPr>
          <w:rFonts w:ascii="Calibri" w:hAnsi="Calibri" w:cs="Calibri"/>
          <w:sz w:val="22"/>
        </w:rPr>
        <w:t xml:space="preserve"> </w:t>
      </w:r>
      <w:r w:rsidR="008859E0" w:rsidRPr="00F2205B">
        <w:rPr>
          <w:rFonts w:ascii="Calibri" w:hAnsi="Calibri" w:cs="Calibri"/>
          <w:sz w:val="22"/>
        </w:rPr>
        <w:t xml:space="preserve">Any </w:t>
      </w:r>
      <w:r w:rsidR="00903D1F" w:rsidRPr="00F2205B">
        <w:rPr>
          <w:rFonts w:ascii="Calibri" w:hAnsi="Calibri" w:cs="Calibri"/>
          <w:sz w:val="22"/>
        </w:rPr>
        <w:t>handling, transportation, or storage between other stages of the supply chain.</w:t>
      </w:r>
    </w:p>
    <w:p w14:paraId="26ED2110" w14:textId="1BDA69E3" w:rsidR="00941DE0" w:rsidRPr="00F2205B" w:rsidRDefault="000B13E1" w:rsidP="00F2205B">
      <w:pPr>
        <w:pStyle w:val="ListParagraph"/>
        <w:numPr>
          <w:ilvl w:val="0"/>
          <w:numId w:val="17"/>
        </w:numPr>
        <w:spacing w:after="0" w:line="240" w:lineRule="auto"/>
        <w:ind w:left="0" w:firstLine="0"/>
        <w:jc w:val="both"/>
        <w:rPr>
          <w:rFonts w:ascii="Calibri" w:hAnsi="Calibri" w:cs="Calibri"/>
          <w:sz w:val="22"/>
        </w:rPr>
      </w:pPr>
      <w:r w:rsidRPr="00F2205B">
        <w:rPr>
          <w:rFonts w:ascii="Calibri" w:hAnsi="Calibri" w:cs="Calibri"/>
          <w:sz w:val="22"/>
        </w:rPr>
        <w:t>Processing</w:t>
      </w:r>
      <w:r w:rsidR="00903D1F" w:rsidRPr="00F2205B">
        <w:rPr>
          <w:rFonts w:ascii="Calibri" w:hAnsi="Calibri" w:cs="Calibri"/>
          <w:sz w:val="22"/>
        </w:rPr>
        <w:t xml:space="preserve"> </w:t>
      </w:r>
      <w:r w:rsidR="00B07644" w:rsidRPr="00F2205B">
        <w:rPr>
          <w:rFonts w:ascii="Calibri" w:hAnsi="Calibri" w:cs="Calibri"/>
          <w:sz w:val="22"/>
        </w:rPr>
        <w:t>–</w:t>
      </w:r>
      <w:r w:rsidR="00903D1F" w:rsidRPr="00F2205B">
        <w:rPr>
          <w:rFonts w:ascii="Calibri" w:hAnsi="Calibri" w:cs="Calibri"/>
          <w:sz w:val="22"/>
        </w:rPr>
        <w:t xml:space="preserve"> </w:t>
      </w:r>
      <w:r w:rsidR="00B07644" w:rsidRPr="00F2205B">
        <w:rPr>
          <w:rFonts w:ascii="Calibri" w:hAnsi="Calibri" w:cs="Calibri"/>
          <w:sz w:val="22"/>
        </w:rPr>
        <w:t>All modifications, combination, or packaging of food products</w:t>
      </w:r>
    </w:p>
    <w:p w14:paraId="473C65F1" w14:textId="520815E5" w:rsidR="000B13E1" w:rsidRPr="00F2205B" w:rsidRDefault="000B13E1" w:rsidP="00F2205B">
      <w:pPr>
        <w:pStyle w:val="ListParagraph"/>
        <w:numPr>
          <w:ilvl w:val="0"/>
          <w:numId w:val="17"/>
        </w:numPr>
        <w:spacing w:after="0" w:line="240" w:lineRule="auto"/>
        <w:ind w:left="0" w:firstLine="0"/>
        <w:jc w:val="both"/>
        <w:rPr>
          <w:rFonts w:ascii="Calibri" w:hAnsi="Calibri" w:cs="Calibri"/>
          <w:sz w:val="22"/>
        </w:rPr>
      </w:pPr>
      <w:r w:rsidRPr="00F2205B">
        <w:rPr>
          <w:rFonts w:ascii="Calibri" w:hAnsi="Calibri" w:cs="Calibri"/>
          <w:sz w:val="22"/>
        </w:rPr>
        <w:t>Distribution</w:t>
      </w:r>
      <w:r w:rsidR="00941DE0" w:rsidRPr="00F2205B">
        <w:rPr>
          <w:rFonts w:ascii="Calibri" w:hAnsi="Calibri" w:cs="Calibri"/>
          <w:sz w:val="22"/>
        </w:rPr>
        <w:t xml:space="preserve"> – The at-market sale of the products, either raw or processed foods</w:t>
      </w:r>
    </w:p>
    <w:p w14:paraId="2E396E1C" w14:textId="698061D4" w:rsidR="00731AE3" w:rsidRPr="00F2205B" w:rsidRDefault="000B13E1" w:rsidP="00F2205B">
      <w:pPr>
        <w:pStyle w:val="ListParagraph"/>
        <w:numPr>
          <w:ilvl w:val="0"/>
          <w:numId w:val="17"/>
        </w:numPr>
        <w:spacing w:after="0" w:line="240" w:lineRule="auto"/>
        <w:ind w:left="0" w:firstLine="0"/>
        <w:jc w:val="both"/>
        <w:rPr>
          <w:rFonts w:ascii="Calibri" w:hAnsi="Calibri" w:cs="Calibri"/>
          <w:sz w:val="22"/>
        </w:rPr>
      </w:pPr>
      <w:r w:rsidRPr="00F2205B">
        <w:rPr>
          <w:rFonts w:ascii="Calibri" w:hAnsi="Calibri" w:cs="Calibri"/>
          <w:sz w:val="22"/>
        </w:rPr>
        <w:t>Consumption</w:t>
      </w:r>
      <w:r w:rsidR="00E3109F" w:rsidRPr="00F2205B">
        <w:rPr>
          <w:rFonts w:ascii="Calibri" w:hAnsi="Calibri" w:cs="Calibri"/>
          <w:sz w:val="22"/>
        </w:rPr>
        <w:t xml:space="preserve"> – Anything following sale of the product to consumers</w:t>
      </w:r>
    </w:p>
    <w:p w14:paraId="7C3BD0F5" w14:textId="7BE11FEA" w:rsidR="00612666" w:rsidRDefault="00B05B09" w:rsidP="00F2205B">
      <w:pPr>
        <w:spacing w:after="0" w:line="240" w:lineRule="auto"/>
        <w:jc w:val="both"/>
        <w:rPr>
          <w:rFonts w:ascii="Calibri" w:hAnsi="Calibri" w:cs="Calibri"/>
          <w:sz w:val="22"/>
        </w:rPr>
      </w:pPr>
      <w:r w:rsidRPr="00F2205B">
        <w:rPr>
          <w:rFonts w:ascii="Calibri" w:hAnsi="Calibri" w:cs="Calibri"/>
          <w:sz w:val="22"/>
        </w:rPr>
        <w:lastRenderedPageBreak/>
        <w:t xml:space="preserve">Table 1 shows some examples of </w:t>
      </w:r>
      <w:r w:rsidR="005502C6" w:rsidRPr="00F2205B">
        <w:rPr>
          <w:rFonts w:ascii="Calibri" w:hAnsi="Calibri" w:cs="Calibri"/>
          <w:sz w:val="22"/>
        </w:rPr>
        <w:t xml:space="preserve">the </w:t>
      </w:r>
      <w:r w:rsidRPr="00F2205B">
        <w:rPr>
          <w:rFonts w:ascii="Calibri" w:hAnsi="Calibri" w:cs="Calibri"/>
          <w:sz w:val="22"/>
        </w:rPr>
        <w:t xml:space="preserve">causes of food loss or waste through the supply chain. Notably, food waste </w:t>
      </w:r>
      <w:r w:rsidR="00D0725A" w:rsidRPr="00F2205B">
        <w:rPr>
          <w:rFonts w:ascii="Calibri" w:hAnsi="Calibri" w:cs="Calibri"/>
          <w:sz w:val="22"/>
        </w:rPr>
        <w:t xml:space="preserve">is significantly higher than food loss once food reaches the distribution and consumption stages. </w:t>
      </w:r>
      <w:r w:rsidR="00F42800" w:rsidRPr="00F2205B">
        <w:rPr>
          <w:rFonts w:ascii="Calibri" w:hAnsi="Calibri" w:cs="Calibri"/>
          <w:sz w:val="22"/>
        </w:rPr>
        <w:t>Most food loss of unusable products has been seen and discarded before the products reach the distribution phase.</w:t>
      </w:r>
    </w:p>
    <w:p w14:paraId="0F579F98" w14:textId="77777777" w:rsidR="00B7373A" w:rsidRDefault="00B7373A" w:rsidP="00F2205B">
      <w:pPr>
        <w:spacing w:after="0" w:line="240" w:lineRule="auto"/>
        <w:jc w:val="both"/>
        <w:rPr>
          <w:rFonts w:ascii="Calibri" w:hAnsi="Calibri" w:cs="Calibri"/>
          <w:sz w:val="22"/>
        </w:rPr>
      </w:pPr>
    </w:p>
    <w:p w14:paraId="56D378B4" w14:textId="24F58B96" w:rsidR="00B05B09" w:rsidRPr="00AA4A1D" w:rsidRDefault="00612666" w:rsidP="00071B15">
      <w:pPr>
        <w:spacing w:after="0" w:line="240" w:lineRule="auto"/>
        <w:jc w:val="center"/>
        <w:rPr>
          <w:rFonts w:ascii="Calibri" w:hAnsi="Calibri" w:cs="Calibri"/>
          <w:b/>
          <w:bCs/>
          <w:sz w:val="22"/>
        </w:rPr>
      </w:pPr>
      <w:r w:rsidRPr="00AA4A1D">
        <w:rPr>
          <w:rFonts w:ascii="Calibri" w:hAnsi="Calibri" w:cs="Calibri"/>
          <w:b/>
          <w:bCs/>
          <w:sz w:val="22"/>
        </w:rPr>
        <w:t>Table 1</w:t>
      </w:r>
      <w:r w:rsidR="00B7373A" w:rsidRPr="00AA4A1D">
        <w:rPr>
          <w:rFonts w:ascii="Calibri" w:hAnsi="Calibri" w:cs="Calibri"/>
          <w:b/>
          <w:bCs/>
          <w:sz w:val="22"/>
        </w:rPr>
        <w:t>.</w:t>
      </w:r>
      <w:r w:rsidRPr="00AA4A1D">
        <w:rPr>
          <w:rFonts w:ascii="Calibri" w:hAnsi="Calibri" w:cs="Calibri"/>
          <w:b/>
          <w:bCs/>
          <w:sz w:val="22"/>
        </w:rPr>
        <w:t xml:space="preserve"> Examples of causes of food losses or food waste at various stages of the supply chain</w:t>
      </w:r>
    </w:p>
    <w:p w14:paraId="47D9EFF2" w14:textId="77777777" w:rsidR="00B7373A" w:rsidRPr="00F2205B" w:rsidRDefault="00B7373A" w:rsidP="00071B15">
      <w:pPr>
        <w:spacing w:after="0" w:line="240" w:lineRule="auto"/>
        <w:jc w:val="center"/>
        <w:rPr>
          <w:rFonts w:ascii="Calibri" w:hAnsi="Calibri" w:cs="Calibri"/>
          <w:sz w:val="22"/>
        </w:rPr>
      </w:pPr>
    </w:p>
    <w:tbl>
      <w:tblPr>
        <w:tblStyle w:val="GridTable6Colorful-Accent1"/>
        <w:tblW w:w="9067" w:type="dxa"/>
        <w:jc w:val="center"/>
        <w:tblLook w:val="04A0" w:firstRow="1" w:lastRow="0" w:firstColumn="1" w:lastColumn="0" w:noHBand="0" w:noVBand="1"/>
      </w:tblPr>
      <w:tblGrid>
        <w:gridCol w:w="1436"/>
        <w:gridCol w:w="3607"/>
        <w:gridCol w:w="4024"/>
      </w:tblGrid>
      <w:tr w:rsidR="00E3109F" w:rsidRPr="00F2205B" w14:paraId="56845F42" w14:textId="77777777" w:rsidTr="00071B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shd w:val="clear" w:color="auto" w:fill="0F4761" w:themeFill="accent1" w:themeFillShade="BF"/>
          </w:tcPr>
          <w:p w14:paraId="3E626CB3" w14:textId="7B316DE9" w:rsidR="00E3109F" w:rsidRPr="00F2205B" w:rsidRDefault="00E3109F" w:rsidP="00F2205B">
            <w:pPr>
              <w:pStyle w:val="NoSpacing"/>
              <w:jc w:val="both"/>
              <w:rPr>
                <w:rFonts w:ascii="Calibri" w:hAnsi="Calibri" w:cs="Calibri"/>
                <w:color w:val="FFFFFF" w:themeColor="background1"/>
              </w:rPr>
            </w:pPr>
            <w:r w:rsidRPr="00F2205B">
              <w:rPr>
                <w:rFonts w:ascii="Calibri" w:hAnsi="Calibri" w:cs="Calibri"/>
                <w:color w:val="FFFFFF" w:themeColor="background1"/>
              </w:rPr>
              <w:t>Supply Chain Stage</w:t>
            </w:r>
          </w:p>
        </w:tc>
        <w:tc>
          <w:tcPr>
            <w:tcW w:w="3607" w:type="dxa"/>
            <w:shd w:val="clear" w:color="auto" w:fill="0F4761" w:themeFill="accent1" w:themeFillShade="BF"/>
          </w:tcPr>
          <w:p w14:paraId="60F0F108" w14:textId="31C44EFB" w:rsidR="00E3109F" w:rsidRPr="00F2205B" w:rsidRDefault="00E3109F" w:rsidP="00F2205B">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rPr>
            </w:pPr>
            <w:r w:rsidRPr="00F2205B">
              <w:rPr>
                <w:rFonts w:ascii="Calibri" w:hAnsi="Calibri" w:cs="Calibri"/>
                <w:color w:val="FFFFFF" w:themeColor="background1"/>
              </w:rPr>
              <w:t>Food Loss</w:t>
            </w:r>
          </w:p>
        </w:tc>
        <w:tc>
          <w:tcPr>
            <w:tcW w:w="4024" w:type="dxa"/>
            <w:shd w:val="clear" w:color="auto" w:fill="0F4761" w:themeFill="accent1" w:themeFillShade="BF"/>
          </w:tcPr>
          <w:p w14:paraId="165BB03A" w14:textId="002A51F0" w:rsidR="00E3109F" w:rsidRPr="00F2205B" w:rsidRDefault="00E3109F" w:rsidP="00F2205B">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rPr>
            </w:pPr>
            <w:r w:rsidRPr="00F2205B">
              <w:rPr>
                <w:rFonts w:ascii="Calibri" w:hAnsi="Calibri" w:cs="Calibri"/>
                <w:color w:val="FFFFFF" w:themeColor="background1"/>
              </w:rPr>
              <w:t>Food Waste</w:t>
            </w:r>
          </w:p>
        </w:tc>
      </w:tr>
      <w:tr w:rsidR="00E3109F" w:rsidRPr="00F2205B" w14:paraId="2BB9F6C3" w14:textId="77777777" w:rsidTr="00071B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tcPr>
          <w:p w14:paraId="2F475E0A" w14:textId="2BEF1AB2" w:rsidR="00E3109F" w:rsidRPr="00F2205B" w:rsidRDefault="00E3109F" w:rsidP="00F2205B">
            <w:pPr>
              <w:pStyle w:val="NoSpacing"/>
              <w:jc w:val="both"/>
              <w:rPr>
                <w:rFonts w:ascii="Calibri" w:hAnsi="Calibri" w:cs="Calibri"/>
                <w:color w:val="auto"/>
              </w:rPr>
            </w:pPr>
            <w:r w:rsidRPr="00F2205B">
              <w:rPr>
                <w:rFonts w:ascii="Calibri" w:hAnsi="Calibri" w:cs="Calibri"/>
                <w:color w:val="auto"/>
              </w:rPr>
              <w:t>Agriculture</w:t>
            </w:r>
          </w:p>
        </w:tc>
        <w:tc>
          <w:tcPr>
            <w:tcW w:w="3607" w:type="dxa"/>
          </w:tcPr>
          <w:p w14:paraId="5FEF7129" w14:textId="1CA0390C" w:rsidR="00E3109F" w:rsidRPr="00F2205B" w:rsidRDefault="00BE5961"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Food discarded because it is unusable</w:t>
            </w:r>
            <w:r w:rsidR="000049FA" w:rsidRPr="00F2205B">
              <w:rPr>
                <w:rFonts w:ascii="Calibri" w:hAnsi="Calibri" w:cs="Calibri"/>
                <w:color w:val="auto"/>
              </w:rPr>
              <w:t>, inedible or spoiled.</w:t>
            </w:r>
            <w:r w:rsidR="00907B9A" w:rsidRPr="00F2205B">
              <w:rPr>
                <w:rFonts w:ascii="Calibri" w:hAnsi="Calibri" w:cs="Calibri"/>
                <w:color w:val="auto"/>
              </w:rPr>
              <w:t xml:space="preserve"> </w:t>
            </w:r>
          </w:p>
        </w:tc>
        <w:tc>
          <w:tcPr>
            <w:tcW w:w="4024" w:type="dxa"/>
          </w:tcPr>
          <w:p w14:paraId="416607E9" w14:textId="77777777" w:rsidR="00E3109F" w:rsidRPr="00F2205B" w:rsidRDefault="00E3109F"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Food discarded due to shape, size or other consumer preference.</w:t>
            </w:r>
          </w:p>
          <w:p w14:paraId="7FD50F54" w14:textId="22941BC0" w:rsidR="00145FEE" w:rsidRPr="00F2205B" w:rsidRDefault="00145FEE"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 xml:space="preserve">Food improperly stored, or lost </w:t>
            </w:r>
            <w:r w:rsidR="00361387">
              <w:rPr>
                <w:rFonts w:ascii="Calibri" w:hAnsi="Calibri" w:cs="Calibri"/>
                <w:color w:val="auto"/>
              </w:rPr>
              <w:t xml:space="preserve">due </w:t>
            </w:r>
            <w:r w:rsidRPr="00F2205B">
              <w:rPr>
                <w:rFonts w:ascii="Calibri" w:hAnsi="Calibri" w:cs="Calibri"/>
                <w:color w:val="auto"/>
              </w:rPr>
              <w:t>to poor agricultural practices</w:t>
            </w:r>
            <w:r w:rsidR="00361387">
              <w:rPr>
                <w:rFonts w:ascii="Calibri" w:hAnsi="Calibri" w:cs="Calibri"/>
                <w:color w:val="auto"/>
              </w:rPr>
              <w:t>.</w:t>
            </w:r>
          </w:p>
        </w:tc>
      </w:tr>
      <w:tr w:rsidR="00E3109F" w:rsidRPr="00F2205B" w14:paraId="79C30DF7" w14:textId="77777777" w:rsidTr="00071B15">
        <w:trPr>
          <w:jc w:val="center"/>
        </w:trPr>
        <w:tc>
          <w:tcPr>
            <w:cnfStyle w:val="001000000000" w:firstRow="0" w:lastRow="0" w:firstColumn="1" w:lastColumn="0" w:oddVBand="0" w:evenVBand="0" w:oddHBand="0" w:evenHBand="0" w:firstRowFirstColumn="0" w:firstRowLastColumn="0" w:lastRowFirstColumn="0" w:lastRowLastColumn="0"/>
            <w:tcW w:w="1436" w:type="dxa"/>
          </w:tcPr>
          <w:p w14:paraId="183C6A63" w14:textId="72B21D0B" w:rsidR="00E3109F" w:rsidRPr="00F2205B" w:rsidRDefault="00E3109F" w:rsidP="00F2205B">
            <w:pPr>
              <w:pStyle w:val="NoSpacing"/>
              <w:jc w:val="both"/>
              <w:rPr>
                <w:rFonts w:ascii="Calibri" w:hAnsi="Calibri" w:cs="Calibri"/>
                <w:color w:val="auto"/>
              </w:rPr>
            </w:pPr>
            <w:r w:rsidRPr="00F2205B">
              <w:rPr>
                <w:rFonts w:ascii="Calibri" w:hAnsi="Calibri" w:cs="Calibri"/>
                <w:color w:val="auto"/>
              </w:rPr>
              <w:t>Transport</w:t>
            </w:r>
          </w:p>
        </w:tc>
        <w:tc>
          <w:tcPr>
            <w:tcW w:w="3607" w:type="dxa"/>
          </w:tcPr>
          <w:p w14:paraId="1AFC0F4E" w14:textId="631D7DCE" w:rsidR="00E3109F" w:rsidRPr="00F2205B" w:rsidRDefault="00907B9A" w:rsidP="00F2205B">
            <w:pPr>
              <w:pStyle w:val="NoSpacing"/>
              <w:numPr>
                <w:ilvl w:val="0"/>
                <w:numId w:val="22"/>
              </w:num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2205B">
              <w:rPr>
                <w:rFonts w:ascii="Calibri" w:hAnsi="Calibri" w:cs="Calibri"/>
                <w:color w:val="auto"/>
              </w:rPr>
              <w:t>Natural losses due to unavoidable damage to a certain amount of goods during transport</w:t>
            </w:r>
            <w:r w:rsidR="00613BA7">
              <w:rPr>
                <w:rFonts w:ascii="Calibri" w:hAnsi="Calibri" w:cs="Calibri"/>
                <w:color w:val="auto"/>
              </w:rPr>
              <w:t>.</w:t>
            </w:r>
          </w:p>
          <w:p w14:paraId="60CA1FBF" w14:textId="6F490310" w:rsidR="00F864B9" w:rsidRPr="00F2205B" w:rsidRDefault="00F864B9" w:rsidP="00F2205B">
            <w:pPr>
              <w:pStyle w:val="NoSpacing"/>
              <w:numPr>
                <w:ilvl w:val="0"/>
                <w:numId w:val="22"/>
              </w:num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2205B">
              <w:rPr>
                <w:rFonts w:ascii="Calibri" w:hAnsi="Calibri" w:cs="Calibri"/>
                <w:color w:val="auto"/>
              </w:rPr>
              <w:t>Natural</w:t>
            </w:r>
            <w:r w:rsidR="006B4CAA" w:rsidRPr="00F2205B">
              <w:rPr>
                <w:rFonts w:ascii="Calibri" w:hAnsi="Calibri" w:cs="Calibri"/>
                <w:color w:val="auto"/>
              </w:rPr>
              <w:t xml:space="preserve"> losses due to unexpectedly rapid </w:t>
            </w:r>
            <w:r w:rsidR="00252C50" w:rsidRPr="00F2205B">
              <w:rPr>
                <w:rFonts w:ascii="Calibri" w:hAnsi="Calibri" w:cs="Calibri"/>
                <w:color w:val="auto"/>
              </w:rPr>
              <w:t>spoilage.</w:t>
            </w:r>
          </w:p>
        </w:tc>
        <w:tc>
          <w:tcPr>
            <w:tcW w:w="4024" w:type="dxa"/>
          </w:tcPr>
          <w:p w14:paraId="765D0CAE" w14:textId="77777777" w:rsidR="00E3109F" w:rsidRPr="00F2205B" w:rsidRDefault="002D389F" w:rsidP="00F2205B">
            <w:pPr>
              <w:pStyle w:val="NoSpacing"/>
              <w:numPr>
                <w:ilvl w:val="0"/>
                <w:numId w:val="22"/>
              </w:num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2205B">
              <w:rPr>
                <w:rFonts w:ascii="Calibri" w:hAnsi="Calibri" w:cs="Calibri"/>
                <w:color w:val="auto"/>
              </w:rPr>
              <w:t>Food damaged due to poor handling processes or accidents.</w:t>
            </w:r>
          </w:p>
          <w:p w14:paraId="4530BCAD" w14:textId="5150EE0F" w:rsidR="00BE5961" w:rsidRPr="00F2205B" w:rsidRDefault="00BE5961" w:rsidP="00F2205B">
            <w:pPr>
              <w:pStyle w:val="NoSpacing"/>
              <w:numPr>
                <w:ilvl w:val="0"/>
                <w:numId w:val="22"/>
              </w:num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2205B">
              <w:rPr>
                <w:rFonts w:ascii="Calibri" w:hAnsi="Calibri" w:cs="Calibri"/>
                <w:color w:val="auto"/>
              </w:rPr>
              <w:t>Food stored incorrectly</w:t>
            </w:r>
            <w:r w:rsidR="00252C50" w:rsidRPr="00F2205B">
              <w:rPr>
                <w:rFonts w:ascii="Calibri" w:hAnsi="Calibri" w:cs="Calibri"/>
                <w:color w:val="auto"/>
              </w:rPr>
              <w:t>, stored too long or improper care taken.</w:t>
            </w:r>
          </w:p>
        </w:tc>
      </w:tr>
      <w:tr w:rsidR="00E3109F" w:rsidRPr="00F2205B" w14:paraId="6527C6C2" w14:textId="77777777" w:rsidTr="00071B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tcPr>
          <w:p w14:paraId="2D1933FF" w14:textId="56F07909" w:rsidR="00E3109F" w:rsidRPr="00F2205B" w:rsidRDefault="00E3109F" w:rsidP="00F2205B">
            <w:pPr>
              <w:pStyle w:val="NoSpacing"/>
              <w:jc w:val="both"/>
              <w:rPr>
                <w:rFonts w:ascii="Calibri" w:hAnsi="Calibri" w:cs="Calibri"/>
                <w:color w:val="auto"/>
              </w:rPr>
            </w:pPr>
            <w:r w:rsidRPr="00F2205B">
              <w:rPr>
                <w:rFonts w:ascii="Calibri" w:hAnsi="Calibri" w:cs="Calibri"/>
                <w:color w:val="auto"/>
              </w:rPr>
              <w:t>Processing</w:t>
            </w:r>
          </w:p>
        </w:tc>
        <w:tc>
          <w:tcPr>
            <w:tcW w:w="3607" w:type="dxa"/>
          </w:tcPr>
          <w:p w14:paraId="205033B9" w14:textId="77777777" w:rsidR="00E3109F" w:rsidRPr="00F2205B" w:rsidRDefault="00F864B9"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Food lost due to technological limitations that have not been overcome</w:t>
            </w:r>
            <w:r w:rsidR="00023CE5" w:rsidRPr="00F2205B">
              <w:rPr>
                <w:rFonts w:ascii="Calibri" w:hAnsi="Calibri" w:cs="Calibri"/>
                <w:color w:val="auto"/>
              </w:rPr>
              <w:t xml:space="preserve">. </w:t>
            </w:r>
          </w:p>
          <w:p w14:paraId="3AEC7F6D" w14:textId="413D08F8" w:rsidR="00AB5FE7" w:rsidRPr="00F2205B" w:rsidRDefault="00AB5FE7"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 xml:space="preserve">Discarding unusable portions of certain processed raw foods, where it would be unreasonable to </w:t>
            </w:r>
            <w:r w:rsidR="000049FA" w:rsidRPr="00F2205B">
              <w:rPr>
                <w:rFonts w:ascii="Calibri" w:hAnsi="Calibri" w:cs="Calibri"/>
                <w:color w:val="auto"/>
              </w:rPr>
              <w:t>utilise the waste.</w:t>
            </w:r>
          </w:p>
        </w:tc>
        <w:tc>
          <w:tcPr>
            <w:tcW w:w="4024" w:type="dxa"/>
          </w:tcPr>
          <w:p w14:paraId="1DE13E82" w14:textId="26F98652" w:rsidR="00E3109F" w:rsidRPr="00F2205B" w:rsidRDefault="00BE5961"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Food damaged due to poor handling processes or accidents.</w:t>
            </w:r>
          </w:p>
        </w:tc>
      </w:tr>
      <w:tr w:rsidR="00E3109F" w:rsidRPr="00F2205B" w14:paraId="4E82F901" w14:textId="77777777" w:rsidTr="00071B15">
        <w:trPr>
          <w:jc w:val="center"/>
        </w:trPr>
        <w:tc>
          <w:tcPr>
            <w:cnfStyle w:val="001000000000" w:firstRow="0" w:lastRow="0" w:firstColumn="1" w:lastColumn="0" w:oddVBand="0" w:evenVBand="0" w:oddHBand="0" w:evenHBand="0" w:firstRowFirstColumn="0" w:firstRowLastColumn="0" w:lastRowFirstColumn="0" w:lastRowLastColumn="0"/>
            <w:tcW w:w="1436" w:type="dxa"/>
          </w:tcPr>
          <w:p w14:paraId="41181C0E" w14:textId="5DF3EB51" w:rsidR="00E3109F" w:rsidRPr="00F2205B" w:rsidRDefault="00E3109F" w:rsidP="00F2205B">
            <w:pPr>
              <w:pStyle w:val="NoSpacing"/>
              <w:jc w:val="both"/>
              <w:rPr>
                <w:rFonts w:ascii="Calibri" w:hAnsi="Calibri" w:cs="Calibri"/>
                <w:color w:val="auto"/>
              </w:rPr>
            </w:pPr>
            <w:r w:rsidRPr="00F2205B">
              <w:rPr>
                <w:rFonts w:ascii="Calibri" w:hAnsi="Calibri" w:cs="Calibri"/>
                <w:color w:val="auto"/>
              </w:rPr>
              <w:t>Distribution</w:t>
            </w:r>
          </w:p>
        </w:tc>
        <w:tc>
          <w:tcPr>
            <w:tcW w:w="3607" w:type="dxa"/>
          </w:tcPr>
          <w:p w14:paraId="54F920F2" w14:textId="3652248D" w:rsidR="00E3109F" w:rsidRPr="00F2205B" w:rsidRDefault="00E3109F" w:rsidP="00F2205B">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4024" w:type="dxa"/>
          </w:tcPr>
          <w:p w14:paraId="7471D846" w14:textId="26F94A8D" w:rsidR="00E3109F" w:rsidRPr="00F2205B" w:rsidRDefault="00252C50" w:rsidP="00F2205B">
            <w:pPr>
              <w:pStyle w:val="NoSpacing"/>
              <w:numPr>
                <w:ilvl w:val="0"/>
                <w:numId w:val="22"/>
              </w:num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F2205B">
              <w:rPr>
                <w:rFonts w:ascii="Calibri" w:hAnsi="Calibri" w:cs="Calibri"/>
                <w:color w:val="auto"/>
              </w:rPr>
              <w:t xml:space="preserve">Food </w:t>
            </w:r>
            <w:r w:rsidR="00A811FE" w:rsidRPr="00F2205B">
              <w:rPr>
                <w:rFonts w:ascii="Calibri" w:hAnsi="Calibri" w:cs="Calibri"/>
                <w:color w:val="auto"/>
              </w:rPr>
              <w:t>which was fit for sale that became spoiled whilst on store shelves</w:t>
            </w:r>
            <w:r w:rsidR="00361387">
              <w:rPr>
                <w:rFonts w:ascii="Calibri" w:hAnsi="Calibri" w:cs="Calibri"/>
                <w:color w:val="auto"/>
              </w:rPr>
              <w:t>.</w:t>
            </w:r>
          </w:p>
        </w:tc>
      </w:tr>
      <w:tr w:rsidR="00E3109F" w:rsidRPr="00F2205B" w14:paraId="749311FB" w14:textId="77777777" w:rsidTr="00071B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6" w:type="dxa"/>
          </w:tcPr>
          <w:p w14:paraId="0562D775" w14:textId="193284D1" w:rsidR="00E3109F" w:rsidRPr="00F2205B" w:rsidRDefault="00E3109F" w:rsidP="00F2205B">
            <w:pPr>
              <w:spacing w:line="240" w:lineRule="auto"/>
              <w:jc w:val="both"/>
              <w:rPr>
                <w:rFonts w:ascii="Calibri" w:hAnsi="Calibri" w:cs="Calibri"/>
                <w:color w:val="auto"/>
                <w:sz w:val="22"/>
              </w:rPr>
            </w:pPr>
            <w:r w:rsidRPr="00F2205B">
              <w:rPr>
                <w:rFonts w:ascii="Calibri" w:hAnsi="Calibri" w:cs="Calibri"/>
                <w:color w:val="auto"/>
                <w:sz w:val="22"/>
              </w:rPr>
              <w:t>Consumption</w:t>
            </w:r>
          </w:p>
        </w:tc>
        <w:tc>
          <w:tcPr>
            <w:tcW w:w="3607" w:type="dxa"/>
          </w:tcPr>
          <w:p w14:paraId="3BF05D20" w14:textId="61503917" w:rsidR="00E3109F" w:rsidRPr="00F2205B" w:rsidRDefault="00E3109F" w:rsidP="00F2205B">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4024" w:type="dxa"/>
          </w:tcPr>
          <w:p w14:paraId="0F316241" w14:textId="0B08D939" w:rsidR="00E3109F" w:rsidRPr="00F2205B" w:rsidRDefault="00AA79F6" w:rsidP="00F2205B">
            <w:pPr>
              <w:pStyle w:val="NoSpacing"/>
              <w:numPr>
                <w:ilvl w:val="0"/>
                <w:numId w:val="22"/>
              </w:num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F2205B">
              <w:rPr>
                <w:rFonts w:ascii="Calibri" w:hAnsi="Calibri" w:cs="Calibri"/>
                <w:color w:val="auto"/>
              </w:rPr>
              <w:t>Purchased food that spoiled or was discarded due to over</w:t>
            </w:r>
            <w:r w:rsidR="004173F2" w:rsidRPr="00F2205B">
              <w:rPr>
                <w:rFonts w:ascii="Calibri" w:hAnsi="Calibri" w:cs="Calibri"/>
                <w:color w:val="auto"/>
              </w:rPr>
              <w:t>-</w:t>
            </w:r>
            <w:r w:rsidRPr="00F2205B">
              <w:rPr>
                <w:rFonts w:ascii="Calibri" w:hAnsi="Calibri" w:cs="Calibri"/>
                <w:color w:val="auto"/>
              </w:rPr>
              <w:t xml:space="preserve">purchasing, </w:t>
            </w:r>
            <w:r w:rsidR="004173F2" w:rsidRPr="00F2205B">
              <w:rPr>
                <w:rFonts w:ascii="Calibri" w:hAnsi="Calibri" w:cs="Calibri"/>
                <w:color w:val="auto"/>
              </w:rPr>
              <w:t>lack of care in handling, poor storage, or consumer preferences.</w:t>
            </w:r>
          </w:p>
        </w:tc>
      </w:tr>
    </w:tbl>
    <w:p w14:paraId="417398DA" w14:textId="493C0217" w:rsidR="00AA79F6" w:rsidRPr="003F7123" w:rsidRDefault="003F7123" w:rsidP="003F7123">
      <w:pPr>
        <w:spacing w:after="0" w:line="240" w:lineRule="auto"/>
        <w:jc w:val="center"/>
        <w:rPr>
          <w:rFonts w:ascii="Calibri" w:hAnsi="Calibri" w:cs="Calibri"/>
          <w:sz w:val="20"/>
          <w:szCs w:val="20"/>
        </w:rPr>
      </w:pPr>
      <w:r w:rsidRPr="003F7123">
        <w:rPr>
          <w:rFonts w:ascii="Calibri" w:hAnsi="Calibri" w:cs="Calibri"/>
          <w:i/>
          <w:iCs/>
          <w:sz w:val="20"/>
          <w:szCs w:val="20"/>
        </w:rPr>
        <w:t>Source</w:t>
      </w:r>
      <w:r w:rsidRPr="003F7123">
        <w:rPr>
          <w:rFonts w:ascii="Calibri" w:hAnsi="Calibri" w:cs="Calibri"/>
          <w:sz w:val="20"/>
          <w:szCs w:val="20"/>
        </w:rPr>
        <w:t>: (Rezaei and Liu, 2017; FAO, 2011</w:t>
      </w:r>
      <w:r>
        <w:rPr>
          <w:rFonts w:ascii="Calibri" w:hAnsi="Calibri" w:cs="Calibri"/>
          <w:sz w:val="20"/>
          <w:szCs w:val="20"/>
        </w:rPr>
        <w:t>)</w:t>
      </w:r>
    </w:p>
    <w:p w14:paraId="33482851" w14:textId="77777777" w:rsidR="002B555E" w:rsidRDefault="002B555E" w:rsidP="002B555E">
      <w:pPr>
        <w:spacing w:after="0" w:line="240" w:lineRule="auto"/>
        <w:jc w:val="both"/>
        <w:rPr>
          <w:rFonts w:ascii="Calibri" w:hAnsi="Calibri" w:cs="Calibri"/>
          <w:sz w:val="22"/>
        </w:rPr>
      </w:pPr>
    </w:p>
    <w:p w14:paraId="61FC27A6" w14:textId="0C5BA7FC" w:rsidR="002B555E" w:rsidRPr="00F2205B" w:rsidRDefault="002B555E" w:rsidP="002B555E">
      <w:pPr>
        <w:spacing w:after="0" w:line="240" w:lineRule="auto"/>
        <w:jc w:val="both"/>
        <w:rPr>
          <w:rFonts w:ascii="Calibri" w:hAnsi="Calibri" w:cs="Calibri"/>
          <w:sz w:val="22"/>
        </w:rPr>
      </w:pPr>
      <w:r w:rsidRPr="00F2205B">
        <w:rPr>
          <w:rFonts w:ascii="Calibri" w:hAnsi="Calibri" w:cs="Calibri"/>
          <w:sz w:val="22"/>
        </w:rPr>
        <w:t xml:space="preserve">Both food loss and food waste can represent significant efficiency losses through the supply chain. They both have almost equal impact per kilogram of food due to climate change. However, for the purposes of relieving food insecurity, only food waste is relevant. </w:t>
      </w:r>
    </w:p>
    <w:p w14:paraId="2189F794" w14:textId="77777777" w:rsidR="002B555E" w:rsidRDefault="002B555E" w:rsidP="002B555E">
      <w:pPr>
        <w:spacing w:after="0" w:line="240" w:lineRule="auto"/>
        <w:jc w:val="both"/>
        <w:rPr>
          <w:rFonts w:ascii="Calibri" w:hAnsi="Calibri" w:cs="Calibri"/>
          <w:sz w:val="22"/>
        </w:rPr>
      </w:pPr>
    </w:p>
    <w:p w14:paraId="44EBAE4D" w14:textId="77777777" w:rsidR="002B555E" w:rsidRPr="00F2205B" w:rsidRDefault="002B555E" w:rsidP="002B555E">
      <w:pPr>
        <w:spacing w:after="0" w:line="240" w:lineRule="auto"/>
        <w:jc w:val="both"/>
        <w:rPr>
          <w:rFonts w:ascii="Calibri" w:hAnsi="Calibri" w:cs="Calibri"/>
          <w:sz w:val="22"/>
        </w:rPr>
      </w:pPr>
      <w:r w:rsidRPr="00F2205B">
        <w:rPr>
          <w:rFonts w:ascii="Calibri" w:hAnsi="Calibri" w:cs="Calibri"/>
          <w:sz w:val="22"/>
        </w:rPr>
        <w:t xml:space="preserve">Any penalty that also impacted food loss may have environmental impacts but would not increase the amount of edible food available. Additionally, penalties applied to food loss could provide incentives for bad actors to attempt to shift inedible food through the supply chains to avoid penalties. This could cause further issues including contamination of otherwise healthy products, or complications and tensions with other portions of the supply chain. </w:t>
      </w:r>
    </w:p>
    <w:p w14:paraId="208A8908" w14:textId="77777777" w:rsidR="002B555E" w:rsidRDefault="002B555E" w:rsidP="002B555E">
      <w:pPr>
        <w:spacing w:after="0" w:line="240" w:lineRule="auto"/>
        <w:jc w:val="both"/>
        <w:rPr>
          <w:rFonts w:ascii="Calibri" w:hAnsi="Calibri" w:cs="Calibri"/>
          <w:sz w:val="22"/>
        </w:rPr>
      </w:pPr>
    </w:p>
    <w:p w14:paraId="7DB7AF33" w14:textId="77777777" w:rsidR="002B555E" w:rsidRPr="00F2205B" w:rsidRDefault="002B555E" w:rsidP="002B555E">
      <w:pPr>
        <w:spacing w:after="0" w:line="240" w:lineRule="auto"/>
        <w:jc w:val="both"/>
        <w:rPr>
          <w:rFonts w:ascii="Calibri" w:hAnsi="Calibri" w:cs="Calibri"/>
          <w:sz w:val="22"/>
        </w:rPr>
      </w:pPr>
      <w:r w:rsidRPr="00F2205B">
        <w:rPr>
          <w:rFonts w:ascii="Calibri" w:hAnsi="Calibri" w:cs="Calibri"/>
          <w:sz w:val="22"/>
        </w:rPr>
        <w:t xml:space="preserve">To appropriately charge a penalty for food waste, the government would need to determine a system to measure what percentage of discarded food would have been otherwise edible. </w:t>
      </w:r>
    </w:p>
    <w:p w14:paraId="0AC939AE" w14:textId="77777777" w:rsidR="002B555E" w:rsidRDefault="002B555E" w:rsidP="002B555E">
      <w:pPr>
        <w:pStyle w:val="Heading4"/>
      </w:pPr>
    </w:p>
    <w:p w14:paraId="64B68F51" w14:textId="77777777" w:rsidR="002B555E" w:rsidRPr="00F2205B" w:rsidRDefault="002B555E" w:rsidP="002B555E">
      <w:pPr>
        <w:pStyle w:val="Heading4"/>
      </w:pPr>
      <w:r w:rsidRPr="00F2205B">
        <w:t xml:space="preserve">Which </w:t>
      </w:r>
      <w:r>
        <w:t>s</w:t>
      </w:r>
      <w:r w:rsidRPr="00F2205B">
        <w:t xml:space="preserve">tages of the </w:t>
      </w:r>
      <w:r>
        <w:t>s</w:t>
      </w:r>
      <w:r w:rsidRPr="00F2205B">
        <w:t xml:space="preserve">upply </w:t>
      </w:r>
      <w:r>
        <w:t>c</w:t>
      </w:r>
      <w:r w:rsidRPr="00F2205B">
        <w:t xml:space="preserve">hain will be </w:t>
      </w:r>
      <w:r>
        <w:t>a</w:t>
      </w:r>
      <w:r w:rsidRPr="00F2205B">
        <w:t>ffected?</w:t>
      </w:r>
    </w:p>
    <w:p w14:paraId="4AA4FEBA" w14:textId="77777777" w:rsidR="002B555E" w:rsidRDefault="002B555E" w:rsidP="002B555E">
      <w:pPr>
        <w:spacing w:after="0" w:line="240" w:lineRule="auto"/>
        <w:jc w:val="both"/>
        <w:rPr>
          <w:rFonts w:ascii="Calibri" w:hAnsi="Calibri" w:cs="Calibri"/>
          <w:sz w:val="22"/>
        </w:rPr>
      </w:pPr>
    </w:p>
    <w:p w14:paraId="36CCF96A" w14:textId="77777777" w:rsidR="002B555E" w:rsidRPr="00F2205B" w:rsidRDefault="002B555E" w:rsidP="002B555E">
      <w:pPr>
        <w:spacing w:after="0" w:line="240" w:lineRule="auto"/>
        <w:jc w:val="both"/>
        <w:rPr>
          <w:rFonts w:ascii="Calibri" w:hAnsi="Calibri" w:cs="Calibri"/>
          <w:sz w:val="22"/>
        </w:rPr>
      </w:pPr>
      <w:r w:rsidRPr="00F2205B">
        <w:rPr>
          <w:rFonts w:ascii="Calibri" w:hAnsi="Calibri" w:cs="Calibri"/>
          <w:sz w:val="22"/>
        </w:rPr>
        <w:t xml:space="preserve">At some levels of the supply chain measuring food waste may not be complicated. For example, China penalises food waste at the consumer level by adding fees for green waste disposal and assumes that </w:t>
      </w:r>
      <w:r w:rsidRPr="00F2205B">
        <w:rPr>
          <w:rFonts w:ascii="Calibri" w:hAnsi="Calibri" w:cs="Calibri"/>
          <w:sz w:val="22"/>
        </w:rPr>
        <w:lastRenderedPageBreak/>
        <w:t xml:space="preserve">a certain percentage of green waste disposed is food waste (Wang </w:t>
      </w:r>
      <w:r>
        <w:rPr>
          <w:rFonts w:ascii="Calibri" w:hAnsi="Calibri" w:cs="Calibri"/>
          <w:sz w:val="22"/>
        </w:rPr>
        <w:t xml:space="preserve">et al., </w:t>
      </w:r>
      <w:r w:rsidRPr="00F2205B">
        <w:rPr>
          <w:rFonts w:ascii="Calibri" w:hAnsi="Calibri" w:cs="Calibri"/>
          <w:sz w:val="22"/>
        </w:rPr>
        <w:t xml:space="preserve">2024). This works at the consumer level because there is little food loss to consider. At other stages on the supply chain determining the ratio of food loss to food waste becomes complicated, administratively burdensome, or impossible. </w:t>
      </w:r>
    </w:p>
    <w:p w14:paraId="1BDC9762" w14:textId="77777777" w:rsidR="00071B15" w:rsidRDefault="00071B15" w:rsidP="00ED1374">
      <w:pPr>
        <w:pStyle w:val="Heading4"/>
      </w:pPr>
    </w:p>
    <w:p w14:paraId="32BF8303" w14:textId="17562825" w:rsidR="008408BB" w:rsidRPr="00F2205B" w:rsidRDefault="00612666" w:rsidP="00F2205B">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Recommendation 13 </w:t>
      </w:r>
      <w:r w:rsidR="00293E16">
        <w:rPr>
          <w:rFonts w:ascii="Calibri" w:hAnsi="Calibri" w:cs="Calibri"/>
          <w:sz w:val="22"/>
          <w:szCs w:val="22"/>
        </w:rPr>
        <w:t>c</w:t>
      </w:r>
      <w:r w:rsidR="008408BB" w:rsidRPr="00F2205B">
        <w:rPr>
          <w:rFonts w:ascii="Calibri" w:hAnsi="Calibri" w:cs="Calibri"/>
          <w:sz w:val="22"/>
          <w:szCs w:val="22"/>
        </w:rPr>
        <w:t>onclusion</w:t>
      </w:r>
    </w:p>
    <w:p w14:paraId="194BE64D" w14:textId="77777777" w:rsidR="00071B15" w:rsidRDefault="00071B15" w:rsidP="00F2205B">
      <w:pPr>
        <w:spacing w:after="0" w:line="240" w:lineRule="auto"/>
        <w:jc w:val="both"/>
        <w:rPr>
          <w:rFonts w:ascii="Calibri" w:hAnsi="Calibri" w:cs="Calibri"/>
          <w:sz w:val="22"/>
        </w:rPr>
      </w:pPr>
    </w:p>
    <w:p w14:paraId="1B4B2982" w14:textId="078727F8" w:rsidR="00C6504D" w:rsidRPr="00F2205B" w:rsidRDefault="00533D9B" w:rsidP="00F2205B">
      <w:pPr>
        <w:spacing w:after="0" w:line="240" w:lineRule="auto"/>
        <w:jc w:val="both"/>
        <w:rPr>
          <w:rFonts w:ascii="Calibri" w:hAnsi="Calibri" w:cs="Calibri"/>
          <w:sz w:val="22"/>
        </w:rPr>
      </w:pPr>
      <w:r w:rsidRPr="00F2205B">
        <w:rPr>
          <w:rFonts w:ascii="Calibri" w:hAnsi="Calibri" w:cs="Calibri"/>
          <w:sz w:val="22"/>
        </w:rPr>
        <w:t xml:space="preserve">The report </w:t>
      </w:r>
      <w:r w:rsidR="004A13A0" w:rsidRPr="00F2205B">
        <w:rPr>
          <w:rFonts w:ascii="Calibri" w:hAnsi="Calibri" w:cs="Calibri"/>
          <w:sz w:val="22"/>
        </w:rPr>
        <w:t>recommended that the Victorian government explore penalties to various actors along the supply chain where food waste occurs. The report did not provide any supporting evidence for this proposal.</w:t>
      </w:r>
    </w:p>
    <w:p w14:paraId="0E7EE880" w14:textId="77777777" w:rsidR="00071B15" w:rsidRDefault="00071B15" w:rsidP="00F2205B">
      <w:pPr>
        <w:spacing w:after="0" w:line="240" w:lineRule="auto"/>
        <w:jc w:val="both"/>
        <w:rPr>
          <w:rFonts w:ascii="Calibri" w:hAnsi="Calibri" w:cs="Calibri"/>
          <w:sz w:val="22"/>
        </w:rPr>
      </w:pPr>
    </w:p>
    <w:p w14:paraId="6944D810" w14:textId="0FCEE048" w:rsidR="004A13A0" w:rsidRPr="00F2205B" w:rsidRDefault="004A13A0" w:rsidP="00F2205B">
      <w:pPr>
        <w:spacing w:after="0" w:line="240" w:lineRule="auto"/>
        <w:jc w:val="both"/>
        <w:rPr>
          <w:rFonts w:ascii="Calibri" w:hAnsi="Calibri" w:cs="Calibri"/>
          <w:sz w:val="22"/>
        </w:rPr>
      </w:pPr>
      <w:r w:rsidRPr="00F2205B">
        <w:rPr>
          <w:rFonts w:ascii="Calibri" w:hAnsi="Calibri" w:cs="Calibri"/>
          <w:sz w:val="22"/>
        </w:rPr>
        <w:t xml:space="preserve">The penalties-based approach is likely to have a positive effect on reducing food waste and potentially have positive environmental effects. However, theory on the subject is unclear if that would translate to an increase of food provided to the food relief industry. </w:t>
      </w:r>
    </w:p>
    <w:p w14:paraId="5CD12537" w14:textId="77777777" w:rsidR="00071B15" w:rsidRDefault="00071B15" w:rsidP="00F2205B">
      <w:pPr>
        <w:spacing w:after="0" w:line="240" w:lineRule="auto"/>
        <w:jc w:val="both"/>
        <w:rPr>
          <w:rFonts w:ascii="Calibri" w:hAnsi="Calibri" w:cs="Calibri"/>
          <w:sz w:val="22"/>
        </w:rPr>
      </w:pPr>
    </w:p>
    <w:p w14:paraId="7F8EAF61" w14:textId="35AA2EC6" w:rsidR="00B73801" w:rsidRPr="00F2205B" w:rsidRDefault="004A13A0" w:rsidP="00F2205B">
      <w:pPr>
        <w:spacing w:after="0" w:line="240" w:lineRule="auto"/>
        <w:jc w:val="both"/>
        <w:rPr>
          <w:rFonts w:ascii="Calibri" w:hAnsi="Calibri" w:cs="Calibri"/>
          <w:sz w:val="22"/>
        </w:rPr>
      </w:pPr>
      <w:r w:rsidRPr="00F2205B">
        <w:rPr>
          <w:rFonts w:ascii="Calibri" w:hAnsi="Calibri" w:cs="Calibri"/>
          <w:sz w:val="22"/>
        </w:rPr>
        <w:t>T</w:t>
      </w:r>
      <w:r w:rsidR="00F9561F" w:rsidRPr="00F2205B">
        <w:rPr>
          <w:rFonts w:ascii="Calibri" w:hAnsi="Calibri" w:cs="Calibri"/>
          <w:sz w:val="22"/>
        </w:rPr>
        <w:t>here</w:t>
      </w:r>
      <w:r w:rsidR="00AD74BC" w:rsidRPr="00F2205B">
        <w:rPr>
          <w:rFonts w:ascii="Calibri" w:hAnsi="Calibri" w:cs="Calibri"/>
          <w:sz w:val="22"/>
        </w:rPr>
        <w:t xml:space="preserve"> is very real potential that the fees would reduce</w:t>
      </w:r>
      <w:r w:rsidRPr="00F2205B">
        <w:rPr>
          <w:rFonts w:ascii="Calibri" w:hAnsi="Calibri" w:cs="Calibri"/>
          <w:sz w:val="22"/>
        </w:rPr>
        <w:t xml:space="preserve"> overall</w:t>
      </w:r>
      <w:r w:rsidR="00AD74BC" w:rsidRPr="00F2205B">
        <w:rPr>
          <w:rFonts w:ascii="Calibri" w:hAnsi="Calibri" w:cs="Calibri"/>
          <w:sz w:val="22"/>
        </w:rPr>
        <w:t xml:space="preserve"> food production and </w:t>
      </w:r>
      <w:r w:rsidR="00F9561F" w:rsidRPr="00F2205B">
        <w:rPr>
          <w:rFonts w:ascii="Calibri" w:hAnsi="Calibri" w:cs="Calibri"/>
          <w:sz w:val="22"/>
        </w:rPr>
        <w:t>increase costs</w:t>
      </w:r>
      <w:r w:rsidRPr="00F2205B">
        <w:rPr>
          <w:rFonts w:ascii="Calibri" w:hAnsi="Calibri" w:cs="Calibri"/>
          <w:sz w:val="22"/>
        </w:rPr>
        <w:t>.</w:t>
      </w:r>
      <w:r w:rsidR="00F9561F" w:rsidRPr="00F2205B">
        <w:rPr>
          <w:rFonts w:ascii="Calibri" w:hAnsi="Calibri" w:cs="Calibri"/>
          <w:sz w:val="22"/>
        </w:rPr>
        <w:t xml:space="preserve"> </w:t>
      </w:r>
      <w:r w:rsidRPr="00F2205B">
        <w:rPr>
          <w:rFonts w:ascii="Calibri" w:hAnsi="Calibri" w:cs="Calibri"/>
          <w:sz w:val="22"/>
        </w:rPr>
        <w:t>C</w:t>
      </w:r>
      <w:r w:rsidR="00F9561F" w:rsidRPr="00F2205B">
        <w:rPr>
          <w:rFonts w:ascii="Calibri" w:hAnsi="Calibri" w:cs="Calibri"/>
          <w:sz w:val="22"/>
        </w:rPr>
        <w:t>ompounding the potential negative outcomes with the enormous logistical and administrative burdens in measuring waste and assigning fees, it is understandable why few countries have attempted to implement similar policies.</w:t>
      </w:r>
    </w:p>
    <w:p w14:paraId="776D6A75" w14:textId="77777777" w:rsidR="00071B15" w:rsidRDefault="00071B15" w:rsidP="00F2205B">
      <w:pPr>
        <w:spacing w:after="0" w:line="240" w:lineRule="auto"/>
        <w:jc w:val="both"/>
        <w:rPr>
          <w:rFonts w:ascii="Calibri" w:hAnsi="Calibri" w:cs="Calibri"/>
          <w:sz w:val="22"/>
        </w:rPr>
      </w:pPr>
    </w:p>
    <w:p w14:paraId="7C9F5865" w14:textId="6C14E285" w:rsidR="00490FB0" w:rsidRDefault="004A13A0" w:rsidP="00490FB0">
      <w:pPr>
        <w:spacing w:after="0" w:line="240" w:lineRule="auto"/>
        <w:jc w:val="both"/>
        <w:rPr>
          <w:rFonts w:ascii="Calibri" w:hAnsi="Calibri" w:cs="Calibri"/>
          <w:sz w:val="22"/>
        </w:rPr>
      </w:pPr>
      <w:r w:rsidRPr="00F2205B">
        <w:rPr>
          <w:rFonts w:ascii="Calibri" w:hAnsi="Calibri" w:cs="Calibri"/>
          <w:sz w:val="22"/>
        </w:rPr>
        <w:t xml:space="preserve">Any policy plan would require significant work to determine how the fee rates would be determined, how they would be assigned to different actors in the supply chain, and how negative outcomes are avoided. Given </w:t>
      </w:r>
      <w:r w:rsidR="00361387">
        <w:rPr>
          <w:rFonts w:ascii="Calibri" w:hAnsi="Calibri" w:cs="Calibri"/>
          <w:sz w:val="22"/>
        </w:rPr>
        <w:t xml:space="preserve">that </w:t>
      </w:r>
      <w:r w:rsidRPr="00F2205B">
        <w:rPr>
          <w:rFonts w:ascii="Calibri" w:hAnsi="Calibri" w:cs="Calibri"/>
          <w:sz w:val="22"/>
        </w:rPr>
        <w:t xml:space="preserve">there are alternatives to the penalties-based approach which have more evidence surrounding impacts and less likely negative outcomes, the work required to implement a penalties-based approach may </w:t>
      </w:r>
      <w:r w:rsidR="00752AE0">
        <w:rPr>
          <w:rFonts w:ascii="Calibri" w:hAnsi="Calibri" w:cs="Calibri"/>
          <w:sz w:val="22"/>
        </w:rPr>
        <w:t>have little useful outcome</w:t>
      </w:r>
      <w:r w:rsidRPr="00F2205B">
        <w:rPr>
          <w:rFonts w:ascii="Calibri" w:hAnsi="Calibri" w:cs="Calibri"/>
          <w:sz w:val="22"/>
        </w:rPr>
        <w:t>.</w:t>
      </w:r>
    </w:p>
    <w:p w14:paraId="04DE2288" w14:textId="77777777" w:rsidR="00490FB0" w:rsidRDefault="00490FB0" w:rsidP="00490FB0">
      <w:pPr>
        <w:spacing w:after="0" w:line="240" w:lineRule="auto"/>
        <w:jc w:val="both"/>
        <w:rPr>
          <w:rFonts w:ascii="Calibri" w:hAnsi="Calibri" w:cs="Calibri"/>
          <w:sz w:val="22"/>
        </w:rPr>
      </w:pPr>
    </w:p>
    <w:p w14:paraId="741A018D" w14:textId="4EC208F3" w:rsidR="00B1450C" w:rsidRPr="00490FB0" w:rsidRDefault="004E6C47" w:rsidP="00490FB0">
      <w:pPr>
        <w:spacing w:after="0" w:line="240" w:lineRule="auto"/>
        <w:jc w:val="both"/>
        <w:rPr>
          <w:rFonts w:ascii="Calibri" w:hAnsi="Calibri" w:cs="Calibri"/>
          <w:b/>
          <w:bCs/>
        </w:rPr>
      </w:pPr>
      <w:r w:rsidRPr="00490FB0">
        <w:rPr>
          <w:rFonts w:ascii="Calibri" w:hAnsi="Calibri" w:cs="Calibri"/>
          <w:b/>
          <w:bCs/>
        </w:rPr>
        <w:t>Recommendation</w:t>
      </w:r>
      <w:r w:rsidR="0060761A" w:rsidRPr="00490FB0">
        <w:rPr>
          <w:rFonts w:ascii="Calibri" w:hAnsi="Calibri" w:cs="Calibri"/>
          <w:b/>
          <w:bCs/>
        </w:rPr>
        <w:t xml:space="preserve"> 20 - </w:t>
      </w:r>
      <w:r w:rsidR="00BA2D5D" w:rsidRPr="00490FB0">
        <w:rPr>
          <w:rFonts w:ascii="Calibri" w:hAnsi="Calibri" w:cs="Calibri"/>
          <w:b/>
          <w:bCs/>
        </w:rPr>
        <w:t xml:space="preserve">Food </w:t>
      </w:r>
      <w:r w:rsidR="00C03D3D" w:rsidRPr="00490FB0">
        <w:rPr>
          <w:rFonts w:ascii="Calibri" w:hAnsi="Calibri" w:cs="Calibri"/>
          <w:b/>
          <w:bCs/>
        </w:rPr>
        <w:t>R</w:t>
      </w:r>
      <w:r w:rsidR="00BA2D5D" w:rsidRPr="00490FB0">
        <w:rPr>
          <w:rFonts w:ascii="Calibri" w:hAnsi="Calibri" w:cs="Calibri"/>
          <w:b/>
          <w:bCs/>
        </w:rPr>
        <w:t xml:space="preserve">elief </w:t>
      </w:r>
      <w:r w:rsidR="00C03D3D" w:rsidRPr="00490FB0">
        <w:rPr>
          <w:rFonts w:ascii="Calibri" w:hAnsi="Calibri" w:cs="Calibri"/>
          <w:b/>
          <w:bCs/>
        </w:rPr>
        <w:t>S</w:t>
      </w:r>
      <w:r w:rsidR="00BA2D5D" w:rsidRPr="00490FB0">
        <w:rPr>
          <w:rFonts w:ascii="Calibri" w:hAnsi="Calibri" w:cs="Calibri"/>
          <w:b/>
          <w:bCs/>
        </w:rPr>
        <w:t xml:space="preserve">ervices </w:t>
      </w:r>
      <w:r w:rsidR="00C03D3D" w:rsidRPr="00490FB0">
        <w:rPr>
          <w:rFonts w:ascii="Calibri" w:hAnsi="Calibri" w:cs="Calibri"/>
          <w:b/>
          <w:bCs/>
        </w:rPr>
        <w:t>M</w:t>
      </w:r>
      <w:r w:rsidR="00BA2D5D" w:rsidRPr="00490FB0">
        <w:rPr>
          <w:rFonts w:ascii="Calibri" w:hAnsi="Calibri" w:cs="Calibri"/>
          <w:b/>
          <w:bCs/>
        </w:rPr>
        <w:t>ap</w:t>
      </w:r>
    </w:p>
    <w:p w14:paraId="7D0B69E1" w14:textId="77777777" w:rsidR="00071B15" w:rsidRDefault="00071B15" w:rsidP="00F2205B">
      <w:pPr>
        <w:spacing w:after="0" w:line="240" w:lineRule="auto"/>
        <w:jc w:val="both"/>
        <w:rPr>
          <w:rFonts w:ascii="Calibri" w:hAnsi="Calibri" w:cs="Calibri"/>
          <w:sz w:val="22"/>
        </w:rPr>
      </w:pPr>
    </w:p>
    <w:p w14:paraId="39374BA8" w14:textId="4F31958F" w:rsidR="00C6504D" w:rsidRPr="00F2205B" w:rsidRDefault="004A13A0" w:rsidP="00F2205B">
      <w:pPr>
        <w:spacing w:after="0" w:line="240" w:lineRule="auto"/>
        <w:jc w:val="both"/>
        <w:rPr>
          <w:rFonts w:ascii="Calibri" w:hAnsi="Calibri" w:cs="Calibri"/>
          <w:sz w:val="22"/>
        </w:rPr>
      </w:pPr>
      <w:r w:rsidRPr="00F2205B">
        <w:rPr>
          <w:rFonts w:ascii="Calibri" w:hAnsi="Calibri" w:cs="Calibri"/>
          <w:sz w:val="22"/>
        </w:rPr>
        <w:t xml:space="preserve">Recommendation 20 of the report is a compound recommendation. The committee advocates that the Victorian government should conduct a comprehensive audit of food relief services across Victoria to identify service gaps. Following the initial audit, a Food Relief Services </w:t>
      </w:r>
      <w:r w:rsidR="00C03D3D" w:rsidRPr="00F2205B">
        <w:rPr>
          <w:rFonts w:ascii="Calibri" w:hAnsi="Calibri" w:cs="Calibri"/>
          <w:sz w:val="22"/>
        </w:rPr>
        <w:t>M</w:t>
      </w:r>
      <w:r w:rsidRPr="00F2205B">
        <w:rPr>
          <w:rFonts w:ascii="Calibri" w:hAnsi="Calibri" w:cs="Calibri"/>
          <w:sz w:val="22"/>
        </w:rPr>
        <w:t>ap should be made publicly available which provides real</w:t>
      </w:r>
      <w:r w:rsidRPr="00F2205B">
        <w:rPr>
          <w:rFonts w:ascii="Calibri" w:hAnsi="Calibri" w:cs="Calibri"/>
          <w:sz w:val="22"/>
        </w:rPr>
        <w:noBreakHyphen/>
        <w:t xml:space="preserve">time information to the public on available food relief resources. </w:t>
      </w:r>
    </w:p>
    <w:p w14:paraId="00D8A1E7" w14:textId="77777777" w:rsidR="003F318D" w:rsidRDefault="003F318D" w:rsidP="00F2205B">
      <w:pPr>
        <w:spacing w:after="0" w:line="240" w:lineRule="auto"/>
        <w:jc w:val="both"/>
        <w:rPr>
          <w:rFonts w:ascii="Calibri" w:hAnsi="Calibri" w:cs="Calibri"/>
          <w:sz w:val="22"/>
        </w:rPr>
      </w:pPr>
    </w:p>
    <w:p w14:paraId="7800EB95" w14:textId="6F1A73A6" w:rsidR="005A0336" w:rsidRPr="00F2205B" w:rsidRDefault="0034758E" w:rsidP="00F2205B">
      <w:pPr>
        <w:spacing w:after="0" w:line="240" w:lineRule="auto"/>
        <w:jc w:val="both"/>
        <w:rPr>
          <w:rFonts w:ascii="Calibri" w:hAnsi="Calibri" w:cs="Calibri"/>
          <w:sz w:val="22"/>
        </w:rPr>
      </w:pPr>
      <w:r w:rsidRPr="00F2205B">
        <w:rPr>
          <w:rFonts w:ascii="Calibri" w:hAnsi="Calibri" w:cs="Calibri"/>
          <w:sz w:val="22"/>
        </w:rPr>
        <w:t>The Victorian government</w:t>
      </w:r>
      <w:r w:rsidR="000E1518" w:rsidRPr="00F2205B">
        <w:rPr>
          <w:rFonts w:ascii="Calibri" w:hAnsi="Calibri" w:cs="Calibri"/>
          <w:sz w:val="22"/>
        </w:rPr>
        <w:t xml:space="preserve"> response acknowledged that there </w:t>
      </w:r>
      <w:r w:rsidR="00792369" w:rsidRPr="00F2205B">
        <w:rPr>
          <w:rFonts w:ascii="Calibri" w:hAnsi="Calibri" w:cs="Calibri"/>
          <w:sz w:val="22"/>
        </w:rPr>
        <w:t xml:space="preserve">was potential to improve </w:t>
      </w:r>
      <w:r w:rsidR="00FF0D13" w:rsidRPr="00F2205B">
        <w:rPr>
          <w:rFonts w:ascii="Calibri" w:hAnsi="Calibri" w:cs="Calibri"/>
          <w:sz w:val="22"/>
        </w:rPr>
        <w:t>public information surrounding food relie</w:t>
      </w:r>
      <w:r w:rsidR="00575526" w:rsidRPr="00F2205B">
        <w:rPr>
          <w:rFonts w:ascii="Calibri" w:hAnsi="Calibri" w:cs="Calibri"/>
          <w:sz w:val="22"/>
        </w:rPr>
        <w:t xml:space="preserve">f. </w:t>
      </w:r>
      <w:r w:rsidR="00E164BD" w:rsidRPr="00F2205B">
        <w:rPr>
          <w:rFonts w:ascii="Calibri" w:hAnsi="Calibri" w:cs="Calibri"/>
          <w:sz w:val="22"/>
        </w:rPr>
        <w:t>In the response they highlighted that there is currently a publicly availabl</w:t>
      </w:r>
      <w:r w:rsidR="002A100C" w:rsidRPr="00F2205B">
        <w:rPr>
          <w:rFonts w:ascii="Calibri" w:hAnsi="Calibri" w:cs="Calibri"/>
          <w:sz w:val="22"/>
        </w:rPr>
        <w:t xml:space="preserve">e </w:t>
      </w:r>
      <w:r w:rsidR="00E96E49" w:rsidRPr="00F2205B">
        <w:rPr>
          <w:rFonts w:ascii="Calibri" w:hAnsi="Calibri" w:cs="Calibri"/>
          <w:sz w:val="22"/>
        </w:rPr>
        <w:t xml:space="preserve">platform </w:t>
      </w:r>
      <w:r w:rsidR="002A100C" w:rsidRPr="00F2205B">
        <w:rPr>
          <w:rFonts w:ascii="Calibri" w:hAnsi="Calibri" w:cs="Calibri"/>
          <w:sz w:val="22"/>
        </w:rPr>
        <w:t xml:space="preserve">in </w:t>
      </w:r>
      <w:r w:rsidR="002A100C" w:rsidRPr="00F2205B">
        <w:rPr>
          <w:rFonts w:ascii="Calibri" w:hAnsi="Calibri" w:cs="Calibri"/>
          <w:i/>
          <w:iCs/>
          <w:sz w:val="22"/>
        </w:rPr>
        <w:t>Ask Izzy</w:t>
      </w:r>
      <w:r w:rsidR="00435AC9" w:rsidRPr="00F2205B">
        <w:rPr>
          <w:rFonts w:ascii="Calibri" w:hAnsi="Calibri" w:cs="Calibri"/>
          <w:sz w:val="22"/>
        </w:rPr>
        <w:t xml:space="preserve"> that helps people locate food relief services in their area.</w:t>
      </w:r>
      <w:r w:rsidR="004A13A0" w:rsidRPr="00F2205B">
        <w:rPr>
          <w:rFonts w:ascii="Calibri" w:hAnsi="Calibri" w:cs="Calibri"/>
          <w:sz w:val="22"/>
        </w:rPr>
        <w:t xml:space="preserve">  However there remain importa</w:t>
      </w:r>
      <w:r w:rsidR="00D77450">
        <w:rPr>
          <w:rFonts w:ascii="Calibri" w:hAnsi="Calibri" w:cs="Calibri"/>
          <w:sz w:val="22"/>
        </w:rPr>
        <w:t>nt issues about a</w:t>
      </w:r>
      <w:r w:rsidR="004A13A0" w:rsidRPr="00F2205B">
        <w:rPr>
          <w:rFonts w:ascii="Calibri" w:hAnsi="Calibri" w:cs="Calibri"/>
          <w:sz w:val="22"/>
        </w:rPr>
        <w:t xml:space="preserve"> reliance on private enterprise to support a public need.</w:t>
      </w:r>
    </w:p>
    <w:p w14:paraId="2F70A10A" w14:textId="77777777" w:rsidR="00071B15" w:rsidRDefault="00071B15" w:rsidP="00F2205B">
      <w:pPr>
        <w:pStyle w:val="Heading3"/>
        <w:spacing w:before="0" w:after="0" w:line="240" w:lineRule="auto"/>
        <w:jc w:val="both"/>
        <w:rPr>
          <w:rFonts w:ascii="Calibri" w:hAnsi="Calibri" w:cs="Calibri"/>
          <w:sz w:val="22"/>
          <w:szCs w:val="22"/>
        </w:rPr>
      </w:pPr>
    </w:p>
    <w:p w14:paraId="06D35195" w14:textId="36E71707" w:rsidR="005A0336" w:rsidRPr="00F2205B" w:rsidRDefault="00612666" w:rsidP="00F2205B">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Risks of </w:t>
      </w:r>
      <w:r w:rsidR="000F6A77">
        <w:rPr>
          <w:rFonts w:ascii="Calibri" w:hAnsi="Calibri" w:cs="Calibri"/>
          <w:sz w:val="22"/>
          <w:szCs w:val="22"/>
        </w:rPr>
        <w:t>p</w:t>
      </w:r>
      <w:r w:rsidRPr="00F2205B">
        <w:rPr>
          <w:rFonts w:ascii="Calibri" w:hAnsi="Calibri" w:cs="Calibri"/>
          <w:sz w:val="22"/>
          <w:szCs w:val="22"/>
        </w:rPr>
        <w:t>rivatisation</w:t>
      </w:r>
    </w:p>
    <w:p w14:paraId="1224FC2E" w14:textId="77777777" w:rsidR="00071B15" w:rsidRDefault="00071B15" w:rsidP="00F2205B">
      <w:pPr>
        <w:spacing w:after="0" w:line="240" w:lineRule="auto"/>
        <w:jc w:val="both"/>
        <w:rPr>
          <w:rFonts w:ascii="Calibri" w:hAnsi="Calibri" w:cs="Calibri"/>
          <w:sz w:val="22"/>
        </w:rPr>
      </w:pPr>
    </w:p>
    <w:p w14:paraId="24D0B7A5" w14:textId="575178BE" w:rsidR="004D6002" w:rsidRPr="00F2205B" w:rsidRDefault="004D6002" w:rsidP="00F2205B">
      <w:pPr>
        <w:spacing w:after="0" w:line="240" w:lineRule="auto"/>
        <w:jc w:val="both"/>
        <w:rPr>
          <w:rFonts w:ascii="Calibri" w:hAnsi="Calibri" w:cs="Calibri"/>
          <w:sz w:val="22"/>
        </w:rPr>
      </w:pPr>
      <w:r w:rsidRPr="008130DD">
        <w:rPr>
          <w:rFonts w:ascii="Calibri" w:hAnsi="Calibri" w:cs="Calibri"/>
          <w:i/>
          <w:iCs/>
          <w:sz w:val="22"/>
        </w:rPr>
        <w:t>Ask Izzy</w:t>
      </w:r>
      <w:r w:rsidRPr="00F2205B">
        <w:rPr>
          <w:rFonts w:ascii="Calibri" w:hAnsi="Calibri" w:cs="Calibri"/>
          <w:sz w:val="22"/>
        </w:rPr>
        <w:t xml:space="preserve"> is a website connecting people in need with housing, meals, financial help, family violence </w:t>
      </w:r>
      <w:r w:rsidR="006436CF" w:rsidRPr="00F2205B">
        <w:rPr>
          <w:rFonts w:ascii="Calibri" w:hAnsi="Calibri" w:cs="Calibri"/>
          <w:sz w:val="22"/>
        </w:rPr>
        <w:t>support</w:t>
      </w:r>
      <w:r w:rsidRPr="00F2205B">
        <w:rPr>
          <w:rFonts w:ascii="Calibri" w:hAnsi="Calibri" w:cs="Calibri"/>
          <w:sz w:val="22"/>
        </w:rPr>
        <w:t xml:space="preserve"> </w:t>
      </w:r>
      <w:r w:rsidR="00FA6642" w:rsidRPr="00F2205B">
        <w:rPr>
          <w:rFonts w:ascii="Calibri" w:hAnsi="Calibri" w:cs="Calibri"/>
          <w:sz w:val="22"/>
        </w:rPr>
        <w:t>and other supports</w:t>
      </w:r>
      <w:r w:rsidRPr="00F2205B">
        <w:rPr>
          <w:rFonts w:ascii="Calibri" w:hAnsi="Calibri" w:cs="Calibri"/>
          <w:sz w:val="22"/>
        </w:rPr>
        <w:t xml:space="preserve"> (Ask Izzy</w:t>
      </w:r>
      <w:r w:rsidR="00BF33B8">
        <w:rPr>
          <w:rFonts w:ascii="Calibri" w:hAnsi="Calibri" w:cs="Calibri"/>
          <w:sz w:val="22"/>
        </w:rPr>
        <w:t>,</w:t>
      </w:r>
      <w:r w:rsidRPr="00F2205B">
        <w:rPr>
          <w:rFonts w:ascii="Calibri" w:hAnsi="Calibri" w:cs="Calibri"/>
          <w:sz w:val="22"/>
        </w:rPr>
        <w:t xml:space="preserve"> 2025)</w:t>
      </w:r>
      <w:r w:rsidR="00870E45" w:rsidRPr="00F2205B">
        <w:rPr>
          <w:rFonts w:ascii="Calibri" w:hAnsi="Calibri" w:cs="Calibri"/>
          <w:sz w:val="22"/>
        </w:rPr>
        <w:t xml:space="preserve">. </w:t>
      </w:r>
      <w:r w:rsidR="00FA6642" w:rsidRPr="00BF33B8">
        <w:rPr>
          <w:rFonts w:ascii="Calibri" w:hAnsi="Calibri" w:cs="Calibri"/>
          <w:i/>
          <w:iCs/>
          <w:sz w:val="22"/>
        </w:rPr>
        <w:t>Ask Izzy</w:t>
      </w:r>
      <w:r w:rsidR="00FA6642" w:rsidRPr="00F2205B">
        <w:rPr>
          <w:rFonts w:ascii="Calibri" w:hAnsi="Calibri" w:cs="Calibri"/>
          <w:sz w:val="22"/>
        </w:rPr>
        <w:t xml:space="preserve"> is </w:t>
      </w:r>
      <w:r w:rsidR="004A6466" w:rsidRPr="00F2205B">
        <w:rPr>
          <w:rFonts w:ascii="Calibri" w:hAnsi="Calibri" w:cs="Calibri"/>
          <w:sz w:val="22"/>
        </w:rPr>
        <w:t xml:space="preserve">hosted by ‘Infoxchange’, a </w:t>
      </w:r>
      <w:r w:rsidR="00983661" w:rsidRPr="00F2205B">
        <w:rPr>
          <w:rFonts w:ascii="Calibri" w:hAnsi="Calibri" w:cs="Calibri"/>
          <w:sz w:val="22"/>
        </w:rPr>
        <w:t>not-for-profit</w:t>
      </w:r>
      <w:r w:rsidR="004A6466" w:rsidRPr="00F2205B">
        <w:rPr>
          <w:rFonts w:ascii="Calibri" w:hAnsi="Calibri" w:cs="Calibri"/>
          <w:sz w:val="22"/>
        </w:rPr>
        <w:t xml:space="preserve"> enterprise that provides digital technology </w:t>
      </w:r>
      <w:r w:rsidR="00E05B8E" w:rsidRPr="00F2205B">
        <w:rPr>
          <w:rFonts w:ascii="Calibri" w:hAnsi="Calibri" w:cs="Calibri"/>
          <w:sz w:val="22"/>
        </w:rPr>
        <w:t>in the charity space.</w:t>
      </w:r>
      <w:r w:rsidR="004A6466" w:rsidRPr="00F2205B">
        <w:rPr>
          <w:rFonts w:ascii="Calibri" w:hAnsi="Calibri" w:cs="Calibri"/>
          <w:sz w:val="22"/>
        </w:rPr>
        <w:t xml:space="preserve"> </w:t>
      </w:r>
      <w:r w:rsidR="0001664E" w:rsidRPr="00F2205B">
        <w:rPr>
          <w:rFonts w:ascii="Calibri" w:hAnsi="Calibri" w:cs="Calibri"/>
          <w:sz w:val="22"/>
        </w:rPr>
        <w:t xml:space="preserve">Infoxchange </w:t>
      </w:r>
      <w:r w:rsidR="000324FD" w:rsidRPr="00F2205B">
        <w:rPr>
          <w:rFonts w:ascii="Calibri" w:hAnsi="Calibri" w:cs="Calibri"/>
          <w:sz w:val="22"/>
        </w:rPr>
        <w:t xml:space="preserve">operates largely through charity and donations from corporations and individuals, </w:t>
      </w:r>
      <w:r w:rsidR="007121E4" w:rsidRPr="00F2205B">
        <w:rPr>
          <w:rFonts w:ascii="Calibri" w:hAnsi="Calibri" w:cs="Calibri"/>
          <w:sz w:val="22"/>
        </w:rPr>
        <w:t>and some grant revenue from State and Local Governments.</w:t>
      </w:r>
    </w:p>
    <w:p w14:paraId="6CBDE140" w14:textId="77777777" w:rsidR="00071B15" w:rsidRDefault="00071B15" w:rsidP="00F2205B">
      <w:pPr>
        <w:spacing w:after="0" w:line="240" w:lineRule="auto"/>
        <w:jc w:val="both"/>
        <w:rPr>
          <w:rFonts w:ascii="Calibri" w:hAnsi="Calibri" w:cs="Calibri"/>
          <w:sz w:val="22"/>
        </w:rPr>
      </w:pPr>
    </w:p>
    <w:p w14:paraId="62BC2664" w14:textId="7D63C6DA" w:rsidR="00435AC9" w:rsidRPr="00F2205B" w:rsidRDefault="007121E4" w:rsidP="00F2205B">
      <w:pPr>
        <w:spacing w:after="0" w:line="240" w:lineRule="auto"/>
        <w:jc w:val="both"/>
        <w:rPr>
          <w:rFonts w:ascii="Calibri" w:hAnsi="Calibri" w:cs="Calibri"/>
          <w:sz w:val="22"/>
        </w:rPr>
      </w:pPr>
      <w:r w:rsidRPr="00F2205B">
        <w:rPr>
          <w:rFonts w:ascii="Calibri" w:hAnsi="Calibri" w:cs="Calibri"/>
          <w:sz w:val="22"/>
        </w:rPr>
        <w:t xml:space="preserve">Undoubtably the </w:t>
      </w:r>
      <w:r w:rsidR="00071848" w:rsidRPr="00BF33B8">
        <w:rPr>
          <w:rFonts w:ascii="Calibri" w:hAnsi="Calibri" w:cs="Calibri"/>
          <w:i/>
          <w:iCs/>
          <w:sz w:val="22"/>
        </w:rPr>
        <w:t>Ask Izzy</w:t>
      </w:r>
      <w:r w:rsidR="00071848" w:rsidRPr="00F2205B">
        <w:rPr>
          <w:rFonts w:ascii="Calibri" w:hAnsi="Calibri" w:cs="Calibri"/>
          <w:sz w:val="22"/>
        </w:rPr>
        <w:t xml:space="preserve"> platform provides a fundamentally necessary service to Australians in need.</w:t>
      </w:r>
      <w:r w:rsidR="00B1450C" w:rsidRPr="00F2205B">
        <w:rPr>
          <w:rFonts w:ascii="Calibri" w:hAnsi="Calibri" w:cs="Calibri"/>
          <w:sz w:val="22"/>
        </w:rPr>
        <w:t xml:space="preserve"> The platform</w:t>
      </w:r>
      <w:r w:rsidR="008F7C5E" w:rsidRPr="00F2205B">
        <w:rPr>
          <w:rFonts w:ascii="Calibri" w:hAnsi="Calibri" w:cs="Calibri"/>
          <w:sz w:val="22"/>
        </w:rPr>
        <w:t>’</w:t>
      </w:r>
      <w:r w:rsidR="00B1450C" w:rsidRPr="00F2205B">
        <w:rPr>
          <w:rFonts w:ascii="Calibri" w:hAnsi="Calibri" w:cs="Calibri"/>
          <w:sz w:val="22"/>
        </w:rPr>
        <w:t>s existence being hosted by a private not-for</w:t>
      </w:r>
      <w:r w:rsidR="009E3848" w:rsidRPr="00F2205B">
        <w:rPr>
          <w:rFonts w:ascii="Calibri" w:hAnsi="Calibri" w:cs="Calibri"/>
          <w:sz w:val="22"/>
        </w:rPr>
        <w:t>-</w:t>
      </w:r>
      <w:r w:rsidR="00B1450C" w:rsidRPr="00F2205B">
        <w:rPr>
          <w:rFonts w:ascii="Calibri" w:hAnsi="Calibri" w:cs="Calibri"/>
          <w:sz w:val="22"/>
        </w:rPr>
        <w:t>profit</w:t>
      </w:r>
      <w:r w:rsidR="009E3848" w:rsidRPr="00F2205B">
        <w:rPr>
          <w:rFonts w:ascii="Calibri" w:hAnsi="Calibri" w:cs="Calibri"/>
          <w:sz w:val="22"/>
        </w:rPr>
        <w:t xml:space="preserve"> potentially poses a risk that it may be discontinued if </w:t>
      </w:r>
      <w:r w:rsidR="00983661" w:rsidRPr="00F2205B">
        <w:rPr>
          <w:rFonts w:ascii="Calibri" w:hAnsi="Calibri" w:cs="Calibri"/>
          <w:sz w:val="22"/>
        </w:rPr>
        <w:t xml:space="preserve">Infoxchange ceases operations. This could occur because </w:t>
      </w:r>
      <w:r w:rsidR="005770E6" w:rsidRPr="00F2205B">
        <w:rPr>
          <w:rFonts w:ascii="Calibri" w:hAnsi="Calibri" w:cs="Calibri"/>
          <w:sz w:val="22"/>
        </w:rPr>
        <w:t>the organisation loses funding to continue operating the webpage, or it may cease operation entirely.</w:t>
      </w:r>
      <w:r w:rsidR="00B81CC6">
        <w:rPr>
          <w:rFonts w:ascii="Calibri" w:hAnsi="Calibri" w:cs="Calibri"/>
          <w:sz w:val="22"/>
        </w:rPr>
        <w:t xml:space="preserve"> A</w:t>
      </w:r>
      <w:r w:rsidR="00973DBE" w:rsidRPr="00F2205B">
        <w:rPr>
          <w:rFonts w:ascii="Calibri" w:hAnsi="Calibri" w:cs="Calibri"/>
          <w:sz w:val="22"/>
        </w:rPr>
        <w:t xml:space="preserve"> platform maintained by the Victorian Government </w:t>
      </w:r>
      <w:r w:rsidR="00A67EAD">
        <w:rPr>
          <w:rFonts w:ascii="Calibri" w:hAnsi="Calibri" w:cs="Calibri"/>
          <w:sz w:val="22"/>
        </w:rPr>
        <w:t>wou</w:t>
      </w:r>
      <w:r w:rsidR="009358FD">
        <w:rPr>
          <w:rFonts w:ascii="Calibri" w:hAnsi="Calibri" w:cs="Calibri"/>
          <w:sz w:val="22"/>
        </w:rPr>
        <w:t xml:space="preserve">ld be </w:t>
      </w:r>
      <w:r w:rsidR="00312F3F" w:rsidRPr="00F2205B">
        <w:rPr>
          <w:rFonts w:ascii="Calibri" w:hAnsi="Calibri" w:cs="Calibri"/>
          <w:sz w:val="22"/>
        </w:rPr>
        <w:t>much less exposed to financial risks and economic downturns.</w:t>
      </w:r>
    </w:p>
    <w:p w14:paraId="7BE36841" w14:textId="6A520412" w:rsidR="00991402" w:rsidRPr="00F2205B" w:rsidRDefault="00B747AF" w:rsidP="00F2205B">
      <w:pPr>
        <w:spacing w:after="0" w:line="240" w:lineRule="auto"/>
        <w:jc w:val="both"/>
        <w:rPr>
          <w:rFonts w:ascii="Calibri" w:hAnsi="Calibri" w:cs="Calibri"/>
          <w:sz w:val="22"/>
        </w:rPr>
      </w:pPr>
      <w:r w:rsidRPr="00F2205B">
        <w:rPr>
          <w:rFonts w:ascii="Calibri" w:hAnsi="Calibri" w:cs="Calibri"/>
          <w:sz w:val="22"/>
        </w:rPr>
        <w:lastRenderedPageBreak/>
        <w:t xml:space="preserve">Burrows </w:t>
      </w:r>
      <w:r w:rsidR="009E3601">
        <w:rPr>
          <w:rFonts w:ascii="Calibri" w:hAnsi="Calibri" w:cs="Calibri"/>
          <w:sz w:val="22"/>
        </w:rPr>
        <w:t>et al.</w:t>
      </w:r>
      <w:r w:rsidR="009358FD">
        <w:rPr>
          <w:rFonts w:ascii="Calibri" w:hAnsi="Calibri" w:cs="Calibri"/>
          <w:sz w:val="22"/>
        </w:rPr>
        <w:t xml:space="preserve"> </w:t>
      </w:r>
      <w:r w:rsidRPr="00F2205B">
        <w:rPr>
          <w:rFonts w:ascii="Calibri" w:hAnsi="Calibri" w:cs="Calibri"/>
          <w:sz w:val="22"/>
        </w:rPr>
        <w:t>(2022)</w:t>
      </w:r>
      <w:r w:rsidR="00896785" w:rsidRPr="00F2205B">
        <w:rPr>
          <w:rFonts w:ascii="Calibri" w:hAnsi="Calibri" w:cs="Calibri"/>
          <w:sz w:val="22"/>
        </w:rPr>
        <w:t xml:space="preserve"> </w:t>
      </w:r>
      <w:r w:rsidR="005C76DE" w:rsidRPr="00F2205B">
        <w:rPr>
          <w:rFonts w:ascii="Calibri" w:hAnsi="Calibri" w:cs="Calibri"/>
          <w:sz w:val="22"/>
        </w:rPr>
        <w:t xml:space="preserve">explored </w:t>
      </w:r>
      <w:r w:rsidR="00730005" w:rsidRPr="00F2205B">
        <w:rPr>
          <w:rFonts w:ascii="Calibri" w:hAnsi="Calibri" w:cs="Calibri"/>
          <w:sz w:val="22"/>
        </w:rPr>
        <w:t xml:space="preserve">the importance of </w:t>
      </w:r>
      <w:r w:rsidR="00CE04F3" w:rsidRPr="00F2205B">
        <w:rPr>
          <w:rFonts w:ascii="Calibri" w:hAnsi="Calibri" w:cs="Calibri"/>
          <w:sz w:val="22"/>
        </w:rPr>
        <w:t xml:space="preserve">forward planning in </w:t>
      </w:r>
      <w:r w:rsidR="00730005" w:rsidRPr="00F2205B">
        <w:rPr>
          <w:rFonts w:ascii="Calibri" w:hAnsi="Calibri" w:cs="Calibri"/>
          <w:sz w:val="22"/>
        </w:rPr>
        <w:t xml:space="preserve">any </w:t>
      </w:r>
      <w:r w:rsidR="00CE04F3" w:rsidRPr="00F2205B">
        <w:rPr>
          <w:rFonts w:ascii="Calibri" w:hAnsi="Calibri" w:cs="Calibri"/>
          <w:sz w:val="22"/>
        </w:rPr>
        <w:t>system, especially support systems</w:t>
      </w:r>
      <w:r w:rsidR="00AC09F6" w:rsidRPr="00F2205B">
        <w:rPr>
          <w:rFonts w:ascii="Calibri" w:hAnsi="Calibri" w:cs="Calibri"/>
          <w:sz w:val="22"/>
        </w:rPr>
        <w:t xml:space="preserve">. They outline that a significant burden falls upon the operators to ensure </w:t>
      </w:r>
      <w:r w:rsidR="00C7140D" w:rsidRPr="00F2205B">
        <w:rPr>
          <w:rFonts w:ascii="Calibri" w:hAnsi="Calibri" w:cs="Calibri"/>
          <w:sz w:val="22"/>
        </w:rPr>
        <w:t xml:space="preserve">the information is accurate and </w:t>
      </w:r>
      <w:r w:rsidR="004847AE" w:rsidRPr="00F2205B">
        <w:rPr>
          <w:rFonts w:ascii="Calibri" w:hAnsi="Calibri" w:cs="Calibri"/>
          <w:sz w:val="22"/>
        </w:rPr>
        <w:t>up to date</w:t>
      </w:r>
      <w:r w:rsidR="00C7140D" w:rsidRPr="00F2205B">
        <w:rPr>
          <w:rFonts w:ascii="Calibri" w:hAnsi="Calibri" w:cs="Calibri"/>
          <w:sz w:val="22"/>
        </w:rPr>
        <w:t>.</w:t>
      </w:r>
      <w:r w:rsidR="004847AE" w:rsidRPr="00F2205B">
        <w:rPr>
          <w:rFonts w:ascii="Calibri" w:hAnsi="Calibri" w:cs="Calibri"/>
          <w:sz w:val="22"/>
        </w:rPr>
        <w:t xml:space="preserve"> The research was specifically in relation to the homeless support services </w:t>
      </w:r>
      <w:r w:rsidR="00DA3C88" w:rsidRPr="00F2205B">
        <w:rPr>
          <w:rFonts w:ascii="Calibri" w:hAnsi="Calibri" w:cs="Calibri"/>
          <w:sz w:val="22"/>
        </w:rPr>
        <w:t xml:space="preserve">provided by </w:t>
      </w:r>
      <w:r w:rsidR="00DA3C88" w:rsidRPr="009358FD">
        <w:rPr>
          <w:rFonts w:ascii="Calibri" w:hAnsi="Calibri" w:cs="Calibri"/>
          <w:i/>
          <w:iCs/>
          <w:sz w:val="22"/>
        </w:rPr>
        <w:t>Ask Izzy</w:t>
      </w:r>
      <w:r w:rsidR="00DA3C88" w:rsidRPr="00F2205B">
        <w:rPr>
          <w:rFonts w:ascii="Calibri" w:hAnsi="Calibri" w:cs="Calibri"/>
          <w:sz w:val="22"/>
        </w:rPr>
        <w:t xml:space="preserve">. If the Victorian Government was to explore providing a resource to find food services, it may be prudent to also explore opportunities for other </w:t>
      </w:r>
      <w:r w:rsidR="00531BB3" w:rsidRPr="00F2205B">
        <w:rPr>
          <w:rFonts w:ascii="Calibri" w:hAnsi="Calibri" w:cs="Calibri"/>
          <w:sz w:val="22"/>
        </w:rPr>
        <w:t xml:space="preserve">services provided by </w:t>
      </w:r>
      <w:r w:rsidR="00531BB3" w:rsidRPr="009358FD">
        <w:rPr>
          <w:rFonts w:ascii="Calibri" w:hAnsi="Calibri" w:cs="Calibri"/>
          <w:i/>
          <w:iCs/>
          <w:sz w:val="22"/>
        </w:rPr>
        <w:t>Ask Izzy</w:t>
      </w:r>
      <w:r w:rsidR="00531BB3" w:rsidRPr="00F2205B">
        <w:rPr>
          <w:rFonts w:ascii="Calibri" w:hAnsi="Calibri" w:cs="Calibri"/>
          <w:sz w:val="22"/>
        </w:rPr>
        <w:t>.</w:t>
      </w:r>
    </w:p>
    <w:p w14:paraId="3AFFCC16" w14:textId="77777777" w:rsidR="00071B15" w:rsidRDefault="00071B15" w:rsidP="00F2205B">
      <w:pPr>
        <w:pStyle w:val="Heading3"/>
        <w:spacing w:before="0" w:after="0" w:line="240" w:lineRule="auto"/>
        <w:jc w:val="both"/>
        <w:rPr>
          <w:rFonts w:ascii="Calibri" w:hAnsi="Calibri" w:cs="Calibri"/>
          <w:sz w:val="22"/>
          <w:szCs w:val="22"/>
        </w:rPr>
      </w:pPr>
    </w:p>
    <w:p w14:paraId="126D04B6" w14:textId="73F5B623" w:rsidR="00991402" w:rsidRPr="00F2205B" w:rsidRDefault="001C0C7A" w:rsidP="00F2205B">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Audit of </w:t>
      </w:r>
      <w:r w:rsidR="00DC75FE">
        <w:rPr>
          <w:rFonts w:ascii="Calibri" w:hAnsi="Calibri" w:cs="Calibri"/>
          <w:sz w:val="22"/>
          <w:szCs w:val="22"/>
        </w:rPr>
        <w:t>s</w:t>
      </w:r>
      <w:r w:rsidRPr="00F2205B">
        <w:rPr>
          <w:rFonts w:ascii="Calibri" w:hAnsi="Calibri" w:cs="Calibri"/>
          <w:sz w:val="22"/>
          <w:szCs w:val="22"/>
        </w:rPr>
        <w:t xml:space="preserve">ervice </w:t>
      </w:r>
      <w:r w:rsidR="00DC75FE">
        <w:rPr>
          <w:rFonts w:ascii="Calibri" w:hAnsi="Calibri" w:cs="Calibri"/>
          <w:sz w:val="22"/>
          <w:szCs w:val="22"/>
        </w:rPr>
        <w:t>g</w:t>
      </w:r>
      <w:r w:rsidRPr="00F2205B">
        <w:rPr>
          <w:rFonts w:ascii="Calibri" w:hAnsi="Calibri" w:cs="Calibri"/>
          <w:sz w:val="22"/>
          <w:szCs w:val="22"/>
        </w:rPr>
        <w:t>aps</w:t>
      </w:r>
    </w:p>
    <w:p w14:paraId="35BEFCC4" w14:textId="77777777" w:rsidR="00071B15" w:rsidRDefault="00071B15" w:rsidP="00F2205B">
      <w:pPr>
        <w:spacing w:after="0" w:line="240" w:lineRule="auto"/>
        <w:jc w:val="both"/>
        <w:rPr>
          <w:rFonts w:ascii="Calibri" w:hAnsi="Calibri" w:cs="Calibri"/>
          <w:sz w:val="22"/>
        </w:rPr>
      </w:pPr>
    </w:p>
    <w:p w14:paraId="675F864F" w14:textId="61D30630" w:rsidR="0010666E" w:rsidRPr="00F2205B" w:rsidRDefault="006C0204" w:rsidP="00F2205B">
      <w:pPr>
        <w:spacing w:after="0" w:line="240" w:lineRule="auto"/>
        <w:jc w:val="both"/>
        <w:rPr>
          <w:rFonts w:ascii="Calibri" w:hAnsi="Calibri" w:cs="Calibri"/>
          <w:sz w:val="22"/>
        </w:rPr>
      </w:pPr>
      <w:r w:rsidRPr="00F2205B">
        <w:rPr>
          <w:rFonts w:ascii="Calibri" w:hAnsi="Calibri" w:cs="Calibri"/>
          <w:sz w:val="22"/>
        </w:rPr>
        <w:t xml:space="preserve">The Victorian government response acknowledged that the </w:t>
      </w:r>
      <w:r w:rsidR="00047EC9" w:rsidRPr="00F2205B">
        <w:rPr>
          <w:rFonts w:ascii="Calibri" w:hAnsi="Calibri" w:cs="Calibri"/>
          <w:sz w:val="22"/>
        </w:rPr>
        <w:t>Government</w:t>
      </w:r>
      <w:r w:rsidRPr="00F2205B">
        <w:rPr>
          <w:rFonts w:ascii="Calibri" w:hAnsi="Calibri" w:cs="Calibri"/>
          <w:sz w:val="22"/>
        </w:rPr>
        <w:t xml:space="preserve"> currently works with </w:t>
      </w:r>
      <w:r w:rsidR="00047EC9" w:rsidRPr="00F2205B">
        <w:rPr>
          <w:rFonts w:ascii="Calibri" w:hAnsi="Calibri" w:cs="Calibri"/>
          <w:sz w:val="22"/>
        </w:rPr>
        <w:t>the food relief sector</w:t>
      </w:r>
      <w:r w:rsidR="004A13A0" w:rsidRPr="00F2205B">
        <w:rPr>
          <w:rFonts w:ascii="Calibri" w:hAnsi="Calibri" w:cs="Calibri"/>
          <w:sz w:val="22"/>
        </w:rPr>
        <w:t xml:space="preserve"> to ensure coverage,</w:t>
      </w:r>
      <w:r w:rsidR="00047EC9" w:rsidRPr="00F2205B">
        <w:rPr>
          <w:rFonts w:ascii="Calibri" w:hAnsi="Calibri" w:cs="Calibri"/>
          <w:sz w:val="22"/>
        </w:rPr>
        <w:t xml:space="preserve"> </w:t>
      </w:r>
      <w:r w:rsidR="00A806F8" w:rsidRPr="00F2205B">
        <w:rPr>
          <w:rFonts w:ascii="Calibri" w:hAnsi="Calibri" w:cs="Calibri"/>
          <w:sz w:val="22"/>
        </w:rPr>
        <w:t>however,</w:t>
      </w:r>
      <w:r w:rsidR="00047EC9" w:rsidRPr="00F2205B">
        <w:rPr>
          <w:rFonts w:ascii="Calibri" w:hAnsi="Calibri" w:cs="Calibri"/>
          <w:sz w:val="22"/>
        </w:rPr>
        <w:t xml:space="preserve"> does not commit to further </w:t>
      </w:r>
      <w:r w:rsidR="006E5A98" w:rsidRPr="00F2205B">
        <w:rPr>
          <w:rFonts w:ascii="Calibri" w:hAnsi="Calibri" w:cs="Calibri"/>
          <w:sz w:val="22"/>
        </w:rPr>
        <w:t>action</w:t>
      </w:r>
      <w:r w:rsidR="00AD205C" w:rsidRPr="00F2205B">
        <w:rPr>
          <w:rFonts w:ascii="Calibri" w:hAnsi="Calibri" w:cs="Calibri"/>
          <w:sz w:val="22"/>
        </w:rPr>
        <w:t xml:space="preserve"> to identify service gaps</w:t>
      </w:r>
      <w:r w:rsidR="006E5A98" w:rsidRPr="00F2205B">
        <w:rPr>
          <w:rFonts w:ascii="Calibri" w:hAnsi="Calibri" w:cs="Calibri"/>
          <w:sz w:val="22"/>
        </w:rPr>
        <w:t xml:space="preserve">. </w:t>
      </w:r>
    </w:p>
    <w:p w14:paraId="76426F81" w14:textId="77777777" w:rsidR="00071B15" w:rsidRDefault="00071B15" w:rsidP="00F2205B">
      <w:pPr>
        <w:spacing w:after="0" w:line="240" w:lineRule="auto"/>
        <w:jc w:val="both"/>
        <w:rPr>
          <w:rFonts w:ascii="Calibri" w:hAnsi="Calibri" w:cs="Calibri"/>
          <w:sz w:val="22"/>
        </w:rPr>
      </w:pPr>
    </w:p>
    <w:p w14:paraId="59FCB16E" w14:textId="50FF6556" w:rsidR="00991402" w:rsidRPr="00F2205B" w:rsidRDefault="00113CBD" w:rsidP="00F2205B">
      <w:pPr>
        <w:spacing w:after="0" w:line="240" w:lineRule="auto"/>
        <w:jc w:val="both"/>
        <w:rPr>
          <w:rFonts w:ascii="Calibri" w:hAnsi="Calibri" w:cs="Calibri"/>
          <w:sz w:val="22"/>
        </w:rPr>
      </w:pPr>
      <w:r w:rsidRPr="00F2205B">
        <w:rPr>
          <w:rFonts w:ascii="Calibri" w:hAnsi="Calibri" w:cs="Calibri"/>
          <w:sz w:val="22"/>
        </w:rPr>
        <w:t xml:space="preserve">Access to reliable food relief is hindered by </w:t>
      </w:r>
      <w:r w:rsidR="000047FE" w:rsidRPr="00F2205B">
        <w:rPr>
          <w:rFonts w:ascii="Calibri" w:hAnsi="Calibri" w:cs="Calibri"/>
          <w:sz w:val="22"/>
        </w:rPr>
        <w:t>co</w:t>
      </w:r>
      <w:r w:rsidR="009C29E0" w:rsidRPr="00F2205B">
        <w:rPr>
          <w:rFonts w:ascii="Calibri" w:hAnsi="Calibri" w:cs="Calibri"/>
          <w:sz w:val="22"/>
        </w:rPr>
        <w:t>-</w:t>
      </w:r>
      <w:r w:rsidR="00DC75FE">
        <w:rPr>
          <w:rFonts w:ascii="Calibri" w:hAnsi="Calibri" w:cs="Calibri"/>
          <w:sz w:val="22"/>
        </w:rPr>
        <w:t>o</w:t>
      </w:r>
      <w:r w:rsidR="000047FE" w:rsidRPr="00F2205B">
        <w:rPr>
          <w:rFonts w:ascii="Calibri" w:hAnsi="Calibri" w:cs="Calibri"/>
          <w:sz w:val="22"/>
        </w:rPr>
        <w:t>ccurring economic disadvantages and barriers (</w:t>
      </w:r>
      <w:r w:rsidR="00A44CCE" w:rsidRPr="00F2205B">
        <w:rPr>
          <w:rFonts w:ascii="Calibri" w:hAnsi="Calibri" w:cs="Calibri"/>
          <w:sz w:val="22"/>
        </w:rPr>
        <w:t xml:space="preserve">Lewis </w:t>
      </w:r>
      <w:r w:rsidR="009E3601">
        <w:rPr>
          <w:rFonts w:ascii="Calibri" w:hAnsi="Calibri" w:cs="Calibri"/>
          <w:sz w:val="22"/>
        </w:rPr>
        <w:t>et al.</w:t>
      </w:r>
      <w:r w:rsidR="00DC75FE">
        <w:rPr>
          <w:rFonts w:ascii="Calibri" w:hAnsi="Calibri" w:cs="Calibri"/>
          <w:sz w:val="22"/>
        </w:rPr>
        <w:t xml:space="preserve">, </w:t>
      </w:r>
      <w:r w:rsidR="00A44CCE" w:rsidRPr="00F2205B">
        <w:rPr>
          <w:rFonts w:ascii="Calibri" w:hAnsi="Calibri" w:cs="Calibri"/>
          <w:sz w:val="22"/>
        </w:rPr>
        <w:t>2018</w:t>
      </w:r>
      <w:r w:rsidR="00DA57AF" w:rsidRPr="00F2205B">
        <w:rPr>
          <w:rFonts w:ascii="Calibri" w:hAnsi="Calibri" w:cs="Calibri"/>
          <w:sz w:val="22"/>
        </w:rPr>
        <w:t xml:space="preserve">). </w:t>
      </w:r>
      <w:r w:rsidR="00A44CCE" w:rsidRPr="00F2205B">
        <w:rPr>
          <w:rFonts w:ascii="Calibri" w:hAnsi="Calibri" w:cs="Calibri"/>
          <w:sz w:val="22"/>
        </w:rPr>
        <w:t xml:space="preserve">Known as </w:t>
      </w:r>
      <w:r w:rsidR="00B81CC6">
        <w:rPr>
          <w:rFonts w:ascii="Calibri" w:hAnsi="Calibri" w:cs="Calibri"/>
          <w:sz w:val="22"/>
        </w:rPr>
        <w:t>‘d</w:t>
      </w:r>
      <w:r w:rsidR="004C7DE0" w:rsidRPr="00F2205B">
        <w:rPr>
          <w:rFonts w:ascii="Calibri" w:hAnsi="Calibri" w:cs="Calibri"/>
          <w:sz w:val="22"/>
        </w:rPr>
        <w:t>eprivation amplification</w:t>
      </w:r>
      <w:r w:rsidR="00B81CC6">
        <w:rPr>
          <w:rFonts w:ascii="Calibri" w:hAnsi="Calibri" w:cs="Calibri"/>
          <w:sz w:val="22"/>
        </w:rPr>
        <w:t>’</w:t>
      </w:r>
      <w:r w:rsidR="004C7DE0" w:rsidRPr="00F2205B">
        <w:rPr>
          <w:rFonts w:ascii="Calibri" w:hAnsi="Calibri" w:cs="Calibri"/>
          <w:sz w:val="22"/>
        </w:rPr>
        <w:t xml:space="preserve">, it explains that persons affected by food insecurity are also </w:t>
      </w:r>
      <w:r w:rsidR="004308D0" w:rsidRPr="00F2205B">
        <w:rPr>
          <w:rFonts w:ascii="Calibri" w:hAnsi="Calibri" w:cs="Calibri"/>
          <w:sz w:val="22"/>
        </w:rPr>
        <w:t xml:space="preserve">more likely to experience social living factors affecting their ability to find access food </w:t>
      </w:r>
      <w:r w:rsidR="00A673A3" w:rsidRPr="00F2205B">
        <w:rPr>
          <w:rFonts w:ascii="Calibri" w:hAnsi="Calibri" w:cs="Calibri"/>
          <w:sz w:val="22"/>
        </w:rPr>
        <w:t>relief including limited access to transportation, and likelihood of living in food deserts or in areas of service gaps.</w:t>
      </w:r>
    </w:p>
    <w:p w14:paraId="7665F9FE" w14:textId="77777777" w:rsidR="008215B4" w:rsidRDefault="008215B4" w:rsidP="00F2205B">
      <w:pPr>
        <w:spacing w:after="0" w:line="240" w:lineRule="auto"/>
        <w:jc w:val="both"/>
        <w:rPr>
          <w:rFonts w:ascii="Calibri" w:hAnsi="Calibri" w:cs="Calibri"/>
          <w:sz w:val="22"/>
        </w:rPr>
      </w:pPr>
    </w:p>
    <w:p w14:paraId="229DCBC5" w14:textId="7E850DBA" w:rsidR="0073259C" w:rsidRPr="00F2205B" w:rsidRDefault="00312682" w:rsidP="00F2205B">
      <w:pPr>
        <w:spacing w:after="0" w:line="240" w:lineRule="auto"/>
        <w:jc w:val="both"/>
        <w:rPr>
          <w:rFonts w:ascii="Calibri" w:hAnsi="Calibri" w:cs="Calibri"/>
          <w:sz w:val="22"/>
        </w:rPr>
      </w:pPr>
      <w:r w:rsidRPr="00F2205B">
        <w:rPr>
          <w:rFonts w:ascii="Calibri" w:hAnsi="Calibri" w:cs="Calibri"/>
          <w:sz w:val="22"/>
        </w:rPr>
        <w:t xml:space="preserve">Research into these service gaps in Australia is severely limited, </w:t>
      </w:r>
      <w:r w:rsidR="002F0CDC" w:rsidRPr="00F2205B">
        <w:rPr>
          <w:rFonts w:ascii="Calibri" w:hAnsi="Calibri" w:cs="Calibri"/>
          <w:sz w:val="22"/>
        </w:rPr>
        <w:t xml:space="preserve">but research into food relief deserts in other countries can point towards likely issues in Victoria. </w:t>
      </w:r>
      <w:r w:rsidR="00A812DF" w:rsidRPr="00F2205B">
        <w:rPr>
          <w:rFonts w:ascii="Calibri" w:hAnsi="Calibri" w:cs="Calibri"/>
          <w:sz w:val="22"/>
        </w:rPr>
        <w:t>W</w:t>
      </w:r>
      <w:r w:rsidR="00F439F4" w:rsidRPr="00F2205B">
        <w:rPr>
          <w:rFonts w:ascii="Calibri" w:hAnsi="Calibri" w:cs="Calibri"/>
          <w:sz w:val="22"/>
        </w:rPr>
        <w:t xml:space="preserve">hilst the </w:t>
      </w:r>
      <w:r w:rsidR="00D42310" w:rsidRPr="00F2205B">
        <w:rPr>
          <w:rFonts w:ascii="Calibri" w:hAnsi="Calibri" w:cs="Calibri"/>
          <w:sz w:val="22"/>
        </w:rPr>
        <w:t>free-market</w:t>
      </w:r>
      <w:r w:rsidR="00F439F4" w:rsidRPr="00F2205B">
        <w:rPr>
          <w:rFonts w:ascii="Calibri" w:hAnsi="Calibri" w:cs="Calibri"/>
          <w:sz w:val="22"/>
        </w:rPr>
        <w:t xml:space="preserve"> service providers </w:t>
      </w:r>
      <w:r w:rsidR="00A812DF" w:rsidRPr="00F2205B">
        <w:rPr>
          <w:rFonts w:ascii="Calibri" w:hAnsi="Calibri" w:cs="Calibri"/>
          <w:sz w:val="22"/>
        </w:rPr>
        <w:t>are</w:t>
      </w:r>
      <w:r w:rsidR="00F439F4" w:rsidRPr="00F2205B">
        <w:rPr>
          <w:rFonts w:ascii="Calibri" w:hAnsi="Calibri" w:cs="Calibri"/>
          <w:sz w:val="22"/>
        </w:rPr>
        <w:t xml:space="preserve"> generally responsive to the needs of the communities, </w:t>
      </w:r>
      <w:r w:rsidR="008D7E34" w:rsidRPr="00F2205B">
        <w:rPr>
          <w:rFonts w:ascii="Calibri" w:hAnsi="Calibri" w:cs="Calibri"/>
          <w:sz w:val="22"/>
        </w:rPr>
        <w:t>low population density areas were more likely to be food assistance deserts</w:t>
      </w:r>
      <w:r w:rsidR="00A812DF" w:rsidRPr="00F2205B">
        <w:rPr>
          <w:rFonts w:ascii="Calibri" w:hAnsi="Calibri" w:cs="Calibri"/>
          <w:sz w:val="22"/>
        </w:rPr>
        <w:t xml:space="preserve"> </w:t>
      </w:r>
      <w:r w:rsidR="00512957" w:rsidRPr="00F2205B">
        <w:rPr>
          <w:rFonts w:ascii="Calibri" w:hAnsi="Calibri" w:cs="Calibri"/>
          <w:sz w:val="22"/>
        </w:rPr>
        <w:t>(</w:t>
      </w:r>
      <w:r w:rsidR="00A812DF" w:rsidRPr="00F2205B">
        <w:rPr>
          <w:rFonts w:ascii="Calibri" w:hAnsi="Calibri" w:cs="Calibri"/>
          <w:sz w:val="22"/>
        </w:rPr>
        <w:t>Curran and Armenia</w:t>
      </w:r>
      <w:r w:rsidR="00986AAB">
        <w:rPr>
          <w:rFonts w:ascii="Calibri" w:hAnsi="Calibri" w:cs="Calibri"/>
          <w:sz w:val="22"/>
        </w:rPr>
        <w:t>,</w:t>
      </w:r>
      <w:r w:rsidR="00A812DF" w:rsidRPr="00F2205B">
        <w:rPr>
          <w:rFonts w:ascii="Calibri" w:hAnsi="Calibri" w:cs="Calibri"/>
          <w:sz w:val="22"/>
        </w:rPr>
        <w:t xml:space="preserve"> </w:t>
      </w:r>
      <w:r w:rsidR="00512957" w:rsidRPr="00F2205B">
        <w:rPr>
          <w:rFonts w:ascii="Calibri" w:hAnsi="Calibri" w:cs="Calibri"/>
          <w:sz w:val="22"/>
        </w:rPr>
        <w:t>2021</w:t>
      </w:r>
      <w:r w:rsidR="00986AAB">
        <w:rPr>
          <w:rFonts w:ascii="Calibri" w:hAnsi="Calibri" w:cs="Calibri"/>
          <w:sz w:val="22"/>
        </w:rPr>
        <w:t>;</w:t>
      </w:r>
      <w:r w:rsidR="00512957" w:rsidRPr="00F2205B">
        <w:rPr>
          <w:rFonts w:ascii="Calibri" w:hAnsi="Calibri" w:cs="Calibri"/>
          <w:sz w:val="22"/>
        </w:rPr>
        <w:t xml:space="preserve"> Waity</w:t>
      </w:r>
      <w:r w:rsidR="00986AAB">
        <w:rPr>
          <w:rFonts w:ascii="Calibri" w:hAnsi="Calibri" w:cs="Calibri"/>
          <w:sz w:val="22"/>
        </w:rPr>
        <w:t>,</w:t>
      </w:r>
      <w:r w:rsidR="00512957" w:rsidRPr="00F2205B">
        <w:rPr>
          <w:rFonts w:ascii="Calibri" w:hAnsi="Calibri" w:cs="Calibri"/>
          <w:sz w:val="22"/>
        </w:rPr>
        <w:t xml:space="preserve"> 2016</w:t>
      </w:r>
      <w:r w:rsidR="00A812DF" w:rsidRPr="00F2205B">
        <w:rPr>
          <w:rFonts w:ascii="Calibri" w:hAnsi="Calibri" w:cs="Calibri"/>
          <w:sz w:val="22"/>
        </w:rPr>
        <w:t>)</w:t>
      </w:r>
      <w:r w:rsidR="008D7E34" w:rsidRPr="00F2205B">
        <w:rPr>
          <w:rFonts w:ascii="Calibri" w:hAnsi="Calibri" w:cs="Calibri"/>
          <w:sz w:val="22"/>
        </w:rPr>
        <w:t xml:space="preserve">. </w:t>
      </w:r>
      <w:r w:rsidR="001057EE" w:rsidRPr="00F2205B">
        <w:rPr>
          <w:rFonts w:ascii="Calibri" w:hAnsi="Calibri" w:cs="Calibri"/>
          <w:sz w:val="22"/>
        </w:rPr>
        <w:t>This indicate</w:t>
      </w:r>
      <w:r w:rsidR="000B26C1" w:rsidRPr="00F2205B">
        <w:rPr>
          <w:rFonts w:ascii="Calibri" w:hAnsi="Calibri" w:cs="Calibri"/>
          <w:sz w:val="22"/>
        </w:rPr>
        <w:t>s</w:t>
      </w:r>
      <w:r w:rsidR="001057EE" w:rsidRPr="00F2205B">
        <w:rPr>
          <w:rFonts w:ascii="Calibri" w:hAnsi="Calibri" w:cs="Calibri"/>
          <w:sz w:val="22"/>
        </w:rPr>
        <w:t xml:space="preserve"> that </w:t>
      </w:r>
      <w:r w:rsidR="00512957" w:rsidRPr="00F2205B">
        <w:rPr>
          <w:rFonts w:ascii="Calibri" w:hAnsi="Calibri" w:cs="Calibri"/>
          <w:sz w:val="22"/>
        </w:rPr>
        <w:t xml:space="preserve">rural </w:t>
      </w:r>
      <w:r w:rsidR="0010666E" w:rsidRPr="00F2205B">
        <w:rPr>
          <w:rFonts w:ascii="Calibri" w:hAnsi="Calibri" w:cs="Calibri"/>
          <w:sz w:val="22"/>
        </w:rPr>
        <w:t>Victorians are more likely to experience the severe impacts of food insecurity.</w:t>
      </w:r>
      <w:r w:rsidR="002F0CDC" w:rsidRPr="00F2205B">
        <w:rPr>
          <w:rFonts w:ascii="Calibri" w:hAnsi="Calibri" w:cs="Calibri"/>
          <w:sz w:val="22"/>
        </w:rPr>
        <w:t xml:space="preserve"> </w:t>
      </w:r>
    </w:p>
    <w:p w14:paraId="4985CB29" w14:textId="77777777" w:rsidR="00B81CC6" w:rsidRDefault="00B81CC6" w:rsidP="00F2205B">
      <w:pPr>
        <w:spacing w:after="0" w:line="240" w:lineRule="auto"/>
        <w:jc w:val="both"/>
        <w:rPr>
          <w:rFonts w:ascii="Calibri" w:hAnsi="Calibri" w:cs="Calibri"/>
          <w:b/>
          <w:bCs/>
          <w:i/>
          <w:iCs/>
          <w:sz w:val="22"/>
        </w:rPr>
      </w:pPr>
    </w:p>
    <w:p w14:paraId="59BA8E01" w14:textId="23928E0A" w:rsidR="00525E6E" w:rsidRPr="00C10EDF" w:rsidRDefault="006531CC" w:rsidP="00F2205B">
      <w:pPr>
        <w:spacing w:after="0" w:line="240" w:lineRule="auto"/>
        <w:jc w:val="both"/>
        <w:rPr>
          <w:rFonts w:ascii="Calibri" w:hAnsi="Calibri" w:cs="Calibri"/>
          <w:b/>
          <w:bCs/>
          <w:i/>
          <w:iCs/>
          <w:sz w:val="22"/>
        </w:rPr>
      </w:pPr>
      <w:r w:rsidRPr="00C10EDF">
        <w:rPr>
          <w:rFonts w:ascii="Calibri" w:hAnsi="Calibri" w:cs="Calibri"/>
          <w:b/>
          <w:bCs/>
          <w:i/>
          <w:iCs/>
          <w:sz w:val="22"/>
        </w:rPr>
        <w:t>Recommendation 20 c</w:t>
      </w:r>
      <w:r w:rsidR="000C6B51" w:rsidRPr="00C10EDF">
        <w:rPr>
          <w:rFonts w:ascii="Calibri" w:hAnsi="Calibri" w:cs="Calibri"/>
          <w:b/>
          <w:bCs/>
          <w:i/>
          <w:iCs/>
          <w:sz w:val="22"/>
        </w:rPr>
        <w:t>onclusion</w:t>
      </w:r>
    </w:p>
    <w:p w14:paraId="0D0876B4" w14:textId="77777777" w:rsidR="006531CC" w:rsidRDefault="006531CC" w:rsidP="00F2205B">
      <w:pPr>
        <w:spacing w:after="0" w:line="240" w:lineRule="auto"/>
        <w:jc w:val="both"/>
        <w:rPr>
          <w:rFonts w:ascii="Calibri" w:hAnsi="Calibri" w:cs="Calibri"/>
          <w:sz w:val="22"/>
          <w:lang w:val="en-US"/>
        </w:rPr>
      </w:pPr>
    </w:p>
    <w:p w14:paraId="50C49C6F" w14:textId="20BCFB7C" w:rsidR="003E3981" w:rsidRPr="00F2205B" w:rsidRDefault="004A13A0"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The report recommended that the government conduct an audit of available food relief </w:t>
      </w:r>
      <w:r w:rsidR="00502272" w:rsidRPr="00F2205B">
        <w:rPr>
          <w:rFonts w:ascii="Calibri" w:hAnsi="Calibri" w:cs="Calibri"/>
          <w:sz w:val="22"/>
          <w:lang w:val="en-US"/>
        </w:rPr>
        <w:t>services and</w:t>
      </w:r>
      <w:r w:rsidR="00367A33" w:rsidRPr="00F2205B">
        <w:rPr>
          <w:rFonts w:ascii="Calibri" w:hAnsi="Calibri" w:cs="Calibri"/>
          <w:sz w:val="22"/>
          <w:lang w:val="en-US"/>
        </w:rPr>
        <w:t xml:space="preserve"> then provide a publicly available map of food relief services across the state.</w:t>
      </w:r>
    </w:p>
    <w:p w14:paraId="4D35EF00" w14:textId="77777777" w:rsidR="008215B4" w:rsidRDefault="008215B4" w:rsidP="00F2205B">
      <w:pPr>
        <w:spacing w:after="0" w:line="240" w:lineRule="auto"/>
        <w:jc w:val="both"/>
        <w:rPr>
          <w:rFonts w:ascii="Calibri" w:hAnsi="Calibri" w:cs="Calibri"/>
          <w:sz w:val="22"/>
        </w:rPr>
      </w:pPr>
    </w:p>
    <w:p w14:paraId="29740DAB" w14:textId="7B088C7F" w:rsidR="00057FA4" w:rsidRPr="00F2205B" w:rsidRDefault="00725D41" w:rsidP="00F2205B">
      <w:pPr>
        <w:spacing w:after="0" w:line="240" w:lineRule="auto"/>
        <w:jc w:val="both"/>
        <w:rPr>
          <w:rFonts w:ascii="Calibri" w:hAnsi="Calibri" w:cs="Calibri"/>
          <w:sz w:val="22"/>
        </w:rPr>
      </w:pPr>
      <w:r w:rsidRPr="00F2205B">
        <w:rPr>
          <w:rFonts w:ascii="Calibri" w:hAnsi="Calibri" w:cs="Calibri"/>
          <w:sz w:val="22"/>
        </w:rPr>
        <w:t>There</w:t>
      </w:r>
      <w:r w:rsidR="008E4AE7" w:rsidRPr="00F2205B">
        <w:rPr>
          <w:rFonts w:ascii="Calibri" w:hAnsi="Calibri" w:cs="Calibri"/>
          <w:sz w:val="22"/>
        </w:rPr>
        <w:t xml:space="preserve"> is no comprehensive understanding of food relief demand in Victoria</w:t>
      </w:r>
      <w:r w:rsidR="00CC614A" w:rsidRPr="00F2205B">
        <w:rPr>
          <w:rFonts w:ascii="Calibri" w:hAnsi="Calibri" w:cs="Calibri"/>
          <w:sz w:val="22"/>
        </w:rPr>
        <w:t xml:space="preserve">. </w:t>
      </w:r>
      <w:r w:rsidR="004A13A0" w:rsidRPr="00F2205B">
        <w:rPr>
          <w:rFonts w:ascii="Calibri" w:hAnsi="Calibri" w:cs="Calibri"/>
          <w:sz w:val="22"/>
        </w:rPr>
        <w:t xml:space="preserve">While the </w:t>
      </w:r>
      <w:r w:rsidR="004A13A0" w:rsidRPr="00C10EDF">
        <w:rPr>
          <w:rFonts w:ascii="Calibri" w:hAnsi="Calibri" w:cs="Calibri"/>
          <w:i/>
          <w:iCs/>
          <w:sz w:val="22"/>
        </w:rPr>
        <w:t>Ask Izzy</w:t>
      </w:r>
      <w:r w:rsidR="004A13A0" w:rsidRPr="00F2205B">
        <w:rPr>
          <w:rFonts w:ascii="Calibri" w:hAnsi="Calibri" w:cs="Calibri"/>
          <w:sz w:val="22"/>
        </w:rPr>
        <w:t xml:space="preserve"> platform exists, it is a consumer tool to find services and has not been used to study coverage areas</w:t>
      </w:r>
      <w:r w:rsidR="009A5E47" w:rsidRPr="00F2205B">
        <w:rPr>
          <w:rFonts w:ascii="Calibri" w:hAnsi="Calibri" w:cs="Calibri"/>
          <w:sz w:val="22"/>
        </w:rPr>
        <w:t>.</w:t>
      </w:r>
      <w:r w:rsidR="004A13A0" w:rsidRPr="00F2205B">
        <w:rPr>
          <w:rFonts w:ascii="Calibri" w:hAnsi="Calibri" w:cs="Calibri"/>
          <w:sz w:val="22"/>
        </w:rPr>
        <w:t xml:space="preserve"> </w:t>
      </w:r>
      <w:r w:rsidR="009A5E47" w:rsidRPr="00F2205B">
        <w:rPr>
          <w:rFonts w:ascii="Calibri" w:hAnsi="Calibri" w:cs="Calibri"/>
          <w:sz w:val="22"/>
        </w:rPr>
        <w:t>T</w:t>
      </w:r>
      <w:r w:rsidR="00502272" w:rsidRPr="00F2205B">
        <w:rPr>
          <w:rFonts w:ascii="Calibri" w:hAnsi="Calibri" w:cs="Calibri"/>
          <w:sz w:val="22"/>
        </w:rPr>
        <w:t>his</w:t>
      </w:r>
      <w:r w:rsidR="004A13A0" w:rsidRPr="00F2205B">
        <w:rPr>
          <w:rFonts w:ascii="Calibri" w:hAnsi="Calibri" w:cs="Calibri"/>
          <w:sz w:val="22"/>
        </w:rPr>
        <w:t xml:space="preserve"> lack of research</w:t>
      </w:r>
      <w:r w:rsidR="000B26C1" w:rsidRPr="00F2205B">
        <w:rPr>
          <w:rFonts w:ascii="Calibri" w:hAnsi="Calibri" w:cs="Calibri"/>
          <w:sz w:val="22"/>
        </w:rPr>
        <w:t xml:space="preserve"> underscores the report</w:t>
      </w:r>
      <w:r w:rsidR="009A5E47" w:rsidRPr="00F2205B">
        <w:rPr>
          <w:rFonts w:ascii="Calibri" w:hAnsi="Calibri" w:cs="Calibri"/>
          <w:sz w:val="22"/>
        </w:rPr>
        <w:t>’</w:t>
      </w:r>
      <w:r w:rsidR="000B26C1" w:rsidRPr="00F2205B">
        <w:rPr>
          <w:rFonts w:ascii="Calibri" w:hAnsi="Calibri" w:cs="Calibri"/>
          <w:sz w:val="22"/>
        </w:rPr>
        <w:t>s recommendation that an audit of food relief services is conducted to understand the issue.</w:t>
      </w:r>
      <w:r w:rsidR="00CC614A" w:rsidRPr="00F2205B">
        <w:rPr>
          <w:rFonts w:ascii="Calibri" w:hAnsi="Calibri" w:cs="Calibri"/>
          <w:sz w:val="22"/>
        </w:rPr>
        <w:t xml:space="preserve"> </w:t>
      </w:r>
    </w:p>
    <w:p w14:paraId="1A1E572B" w14:textId="77777777" w:rsidR="008215B4" w:rsidRDefault="008215B4" w:rsidP="00F2205B">
      <w:pPr>
        <w:spacing w:after="0" w:line="240" w:lineRule="auto"/>
        <w:jc w:val="both"/>
        <w:rPr>
          <w:rFonts w:ascii="Calibri" w:hAnsi="Calibri" w:cs="Calibri"/>
          <w:sz w:val="22"/>
        </w:rPr>
      </w:pPr>
    </w:p>
    <w:p w14:paraId="64A095FD" w14:textId="4864DBEA" w:rsidR="0073259C" w:rsidRPr="00F2205B" w:rsidRDefault="004A13A0"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Given the availability of a food services map through the </w:t>
      </w:r>
      <w:r w:rsidRPr="00324DC9">
        <w:rPr>
          <w:rFonts w:ascii="Calibri" w:hAnsi="Calibri" w:cs="Calibri"/>
          <w:i/>
          <w:iCs/>
          <w:sz w:val="22"/>
          <w:lang w:val="en-US"/>
        </w:rPr>
        <w:t>Ask Izzy</w:t>
      </w:r>
      <w:r w:rsidRPr="00F2205B">
        <w:rPr>
          <w:rFonts w:ascii="Calibri" w:hAnsi="Calibri" w:cs="Calibri"/>
          <w:sz w:val="22"/>
          <w:lang w:val="en-US"/>
        </w:rPr>
        <w:t xml:space="preserve"> platform, it is understandable that the Victorian Government would be hesitant to move towards a government</w:t>
      </w:r>
      <w:r w:rsidR="00AE04B7" w:rsidRPr="00F2205B">
        <w:rPr>
          <w:rFonts w:ascii="Calibri" w:hAnsi="Calibri" w:cs="Calibri"/>
          <w:sz w:val="22"/>
          <w:lang w:val="en-US"/>
        </w:rPr>
        <w:t>-</w:t>
      </w:r>
      <w:r w:rsidRPr="00F2205B">
        <w:rPr>
          <w:rFonts w:ascii="Calibri" w:hAnsi="Calibri" w:cs="Calibri"/>
          <w:sz w:val="22"/>
          <w:lang w:val="en-US"/>
        </w:rPr>
        <w:t>hosted platform</w:t>
      </w:r>
      <w:r w:rsidR="00502272" w:rsidRPr="00F2205B">
        <w:rPr>
          <w:rFonts w:ascii="Calibri" w:hAnsi="Calibri" w:cs="Calibri"/>
          <w:sz w:val="22"/>
          <w:lang w:val="en-US"/>
        </w:rPr>
        <w:t>.</w:t>
      </w:r>
      <w:r w:rsidRPr="00F2205B">
        <w:rPr>
          <w:rFonts w:ascii="Calibri" w:hAnsi="Calibri" w:cs="Calibri"/>
          <w:sz w:val="22"/>
          <w:lang w:val="en-US"/>
        </w:rPr>
        <w:t xml:space="preserve"> </w:t>
      </w:r>
      <w:r w:rsidR="00F46E8B">
        <w:rPr>
          <w:rFonts w:ascii="Calibri" w:hAnsi="Calibri" w:cs="Calibri"/>
          <w:sz w:val="22"/>
          <w:lang w:val="en-US"/>
        </w:rPr>
        <w:t>But d</w:t>
      </w:r>
      <w:r w:rsidRPr="00F2205B">
        <w:rPr>
          <w:rFonts w:ascii="Calibri" w:hAnsi="Calibri" w:cs="Calibri"/>
          <w:sz w:val="22"/>
          <w:lang w:val="en-US"/>
        </w:rPr>
        <w:t xml:space="preserve">ue to the risk reduction possibilities, </w:t>
      </w:r>
      <w:r w:rsidR="00502272" w:rsidRPr="00F2205B">
        <w:rPr>
          <w:rFonts w:ascii="Calibri" w:hAnsi="Calibri" w:cs="Calibri"/>
          <w:sz w:val="22"/>
          <w:lang w:val="en-US"/>
        </w:rPr>
        <w:t>it remains worth</w:t>
      </w:r>
      <w:r w:rsidR="00F46E8B">
        <w:rPr>
          <w:rFonts w:ascii="Calibri" w:hAnsi="Calibri" w:cs="Calibri"/>
          <w:sz w:val="22"/>
          <w:lang w:val="en-US"/>
        </w:rPr>
        <w:t>y of</w:t>
      </w:r>
      <w:r w:rsidR="00502272" w:rsidRPr="00F2205B">
        <w:rPr>
          <w:rFonts w:ascii="Calibri" w:hAnsi="Calibri" w:cs="Calibri"/>
          <w:sz w:val="22"/>
          <w:lang w:val="en-US"/>
        </w:rPr>
        <w:t xml:space="preserve"> consideration.</w:t>
      </w:r>
    </w:p>
    <w:p w14:paraId="2D360881" w14:textId="77777777" w:rsidR="008215B4" w:rsidRDefault="008215B4" w:rsidP="009A4875">
      <w:pPr>
        <w:pStyle w:val="Heading1"/>
      </w:pPr>
    </w:p>
    <w:p w14:paraId="2816BA6C" w14:textId="73B2C00A" w:rsidR="00393F6D" w:rsidRPr="00F2205B" w:rsidRDefault="0060761A" w:rsidP="009A4875">
      <w:pPr>
        <w:pStyle w:val="Heading1"/>
      </w:pPr>
      <w:r w:rsidRPr="00F2205B">
        <w:t xml:space="preserve">Recommendation 21 - </w:t>
      </w:r>
      <w:r w:rsidR="00393F6D" w:rsidRPr="00F2205B">
        <w:t>Recurrent Funding</w:t>
      </w:r>
      <w:r w:rsidR="000D5DD6">
        <w:t xml:space="preserve"> from the Victorian Government</w:t>
      </w:r>
    </w:p>
    <w:p w14:paraId="16C77729" w14:textId="77777777" w:rsidR="008215B4" w:rsidRDefault="008215B4" w:rsidP="00F2205B">
      <w:pPr>
        <w:spacing w:after="0" w:line="240" w:lineRule="auto"/>
        <w:jc w:val="both"/>
        <w:rPr>
          <w:rFonts w:ascii="Calibri" w:hAnsi="Calibri" w:cs="Calibri"/>
          <w:sz w:val="22"/>
        </w:rPr>
      </w:pPr>
    </w:p>
    <w:p w14:paraId="2162B943" w14:textId="0CF10E8A" w:rsidR="00367A33" w:rsidRPr="00F2205B" w:rsidRDefault="00367A33" w:rsidP="00F2205B">
      <w:pPr>
        <w:spacing w:after="0" w:line="240" w:lineRule="auto"/>
        <w:jc w:val="both"/>
        <w:rPr>
          <w:rFonts w:ascii="Calibri" w:hAnsi="Calibri" w:cs="Calibri"/>
          <w:sz w:val="22"/>
        </w:rPr>
      </w:pPr>
      <w:r w:rsidRPr="00F2205B">
        <w:rPr>
          <w:rFonts w:ascii="Calibri" w:hAnsi="Calibri" w:cs="Calibri"/>
          <w:sz w:val="22"/>
        </w:rPr>
        <w:t xml:space="preserve">Recommendation 21 of the report advocates for the Victorian Government </w:t>
      </w:r>
      <w:r w:rsidR="00AE04B7" w:rsidRPr="00F2205B">
        <w:rPr>
          <w:rFonts w:ascii="Calibri" w:hAnsi="Calibri" w:cs="Calibri"/>
          <w:sz w:val="22"/>
        </w:rPr>
        <w:t xml:space="preserve">to </w:t>
      </w:r>
      <w:r w:rsidRPr="00F2205B">
        <w:rPr>
          <w:rFonts w:ascii="Calibri" w:hAnsi="Calibri" w:cs="Calibri"/>
          <w:sz w:val="22"/>
        </w:rPr>
        <w:t>provide the food relief sector with recurrent funding to ensure it can address both current demand and future challenges. Currently the industry is supported by grant funding from the government.</w:t>
      </w:r>
    </w:p>
    <w:p w14:paraId="2F7D2704" w14:textId="77777777" w:rsidR="008215B4" w:rsidRDefault="008215B4" w:rsidP="00F2205B">
      <w:pPr>
        <w:spacing w:after="0" w:line="240" w:lineRule="auto"/>
        <w:jc w:val="both"/>
        <w:rPr>
          <w:rFonts w:ascii="Calibri" w:hAnsi="Calibri" w:cs="Calibri"/>
          <w:sz w:val="22"/>
        </w:rPr>
      </w:pPr>
    </w:p>
    <w:p w14:paraId="3EFB3F3D" w14:textId="7D332E1E" w:rsidR="00A223EF" w:rsidRPr="00F2205B" w:rsidRDefault="00367A33" w:rsidP="00F2205B">
      <w:pPr>
        <w:spacing w:after="0" w:line="240" w:lineRule="auto"/>
        <w:jc w:val="both"/>
        <w:rPr>
          <w:rFonts w:ascii="Calibri" w:hAnsi="Calibri" w:cs="Calibri"/>
          <w:sz w:val="22"/>
        </w:rPr>
      </w:pPr>
      <w:r w:rsidRPr="00F2205B">
        <w:rPr>
          <w:rFonts w:ascii="Calibri" w:hAnsi="Calibri" w:cs="Calibri"/>
          <w:sz w:val="22"/>
        </w:rPr>
        <w:t xml:space="preserve">Food </w:t>
      </w:r>
      <w:r w:rsidR="0079157E" w:rsidRPr="00F2205B">
        <w:rPr>
          <w:rFonts w:ascii="Calibri" w:hAnsi="Calibri" w:cs="Calibri"/>
          <w:sz w:val="22"/>
        </w:rPr>
        <w:t xml:space="preserve">relief charities rely on a mixture </w:t>
      </w:r>
      <w:r w:rsidR="000A0143" w:rsidRPr="00F2205B">
        <w:rPr>
          <w:rFonts w:ascii="Calibri" w:hAnsi="Calibri" w:cs="Calibri"/>
          <w:sz w:val="22"/>
        </w:rPr>
        <w:t xml:space="preserve">of </w:t>
      </w:r>
      <w:r w:rsidR="00E7379F" w:rsidRPr="00F2205B">
        <w:rPr>
          <w:rFonts w:ascii="Calibri" w:hAnsi="Calibri" w:cs="Calibri"/>
          <w:sz w:val="22"/>
        </w:rPr>
        <w:t>charitable and grant</w:t>
      </w:r>
      <w:r w:rsidR="00DA2B42" w:rsidRPr="00F2205B">
        <w:rPr>
          <w:rFonts w:ascii="Calibri" w:hAnsi="Calibri" w:cs="Calibri"/>
          <w:sz w:val="22"/>
        </w:rPr>
        <w:t xml:space="preserve"> inputs to support</w:t>
      </w:r>
      <w:r w:rsidR="00047DCE" w:rsidRPr="00F2205B">
        <w:rPr>
          <w:rFonts w:ascii="Calibri" w:hAnsi="Calibri" w:cs="Calibri"/>
          <w:sz w:val="22"/>
        </w:rPr>
        <w:t xml:space="preserve"> </w:t>
      </w:r>
      <w:r w:rsidR="00135B89" w:rsidRPr="00F2205B">
        <w:rPr>
          <w:rFonts w:ascii="Calibri" w:hAnsi="Calibri" w:cs="Calibri"/>
          <w:sz w:val="22"/>
        </w:rPr>
        <w:t>operations</w:t>
      </w:r>
      <w:r w:rsidR="00E7379F" w:rsidRPr="00F2205B">
        <w:rPr>
          <w:rFonts w:ascii="Calibri" w:hAnsi="Calibri" w:cs="Calibri"/>
          <w:sz w:val="22"/>
        </w:rPr>
        <w:t>. These include</w:t>
      </w:r>
      <w:r w:rsidR="00A223EF" w:rsidRPr="00F2205B">
        <w:rPr>
          <w:rFonts w:ascii="Calibri" w:hAnsi="Calibri" w:cs="Calibri"/>
          <w:sz w:val="22"/>
        </w:rPr>
        <w:t>, but are not limited to:</w:t>
      </w:r>
    </w:p>
    <w:p w14:paraId="0356E3C7" w14:textId="69269348" w:rsidR="007B014F" w:rsidRPr="00F2205B" w:rsidRDefault="007B014F" w:rsidP="00F2205B">
      <w:pPr>
        <w:pStyle w:val="ListParagraph"/>
        <w:numPr>
          <w:ilvl w:val="0"/>
          <w:numId w:val="13"/>
        </w:numPr>
        <w:spacing w:after="0" w:line="240" w:lineRule="auto"/>
        <w:ind w:left="0" w:firstLine="0"/>
        <w:jc w:val="both"/>
        <w:rPr>
          <w:rFonts w:ascii="Calibri" w:hAnsi="Calibri" w:cs="Calibri"/>
          <w:sz w:val="22"/>
        </w:rPr>
      </w:pPr>
      <w:r w:rsidRPr="00F2205B">
        <w:rPr>
          <w:rFonts w:ascii="Calibri" w:hAnsi="Calibri" w:cs="Calibri"/>
          <w:sz w:val="22"/>
        </w:rPr>
        <w:t xml:space="preserve">Charitable donations of </w:t>
      </w:r>
      <w:r w:rsidR="0092362F" w:rsidRPr="00F2205B">
        <w:rPr>
          <w:rFonts w:ascii="Calibri" w:hAnsi="Calibri" w:cs="Calibri"/>
          <w:sz w:val="22"/>
        </w:rPr>
        <w:t>food</w:t>
      </w:r>
    </w:p>
    <w:p w14:paraId="30D6503E" w14:textId="404528BC" w:rsidR="0092362F" w:rsidRPr="00F2205B" w:rsidRDefault="0092362F" w:rsidP="00F2205B">
      <w:pPr>
        <w:pStyle w:val="ListParagraph"/>
        <w:numPr>
          <w:ilvl w:val="0"/>
          <w:numId w:val="13"/>
        </w:numPr>
        <w:spacing w:after="0" w:line="240" w:lineRule="auto"/>
        <w:ind w:left="0" w:firstLine="0"/>
        <w:jc w:val="both"/>
        <w:rPr>
          <w:rFonts w:ascii="Calibri" w:hAnsi="Calibri" w:cs="Calibri"/>
          <w:sz w:val="22"/>
        </w:rPr>
      </w:pPr>
      <w:r w:rsidRPr="00F2205B">
        <w:rPr>
          <w:rFonts w:ascii="Calibri" w:hAnsi="Calibri" w:cs="Calibri"/>
          <w:sz w:val="22"/>
        </w:rPr>
        <w:t>Other charitable supplies</w:t>
      </w:r>
    </w:p>
    <w:p w14:paraId="09394756" w14:textId="120116B5" w:rsidR="00CF2A50" w:rsidRPr="00F2205B" w:rsidRDefault="00CF2A50" w:rsidP="00F2205B">
      <w:pPr>
        <w:pStyle w:val="ListParagraph"/>
        <w:numPr>
          <w:ilvl w:val="0"/>
          <w:numId w:val="13"/>
        </w:numPr>
        <w:spacing w:after="0" w:line="240" w:lineRule="auto"/>
        <w:ind w:left="0" w:firstLine="0"/>
        <w:jc w:val="both"/>
        <w:rPr>
          <w:rFonts w:ascii="Calibri" w:hAnsi="Calibri" w:cs="Calibri"/>
          <w:sz w:val="22"/>
        </w:rPr>
      </w:pPr>
      <w:r w:rsidRPr="00F2205B">
        <w:rPr>
          <w:rFonts w:ascii="Calibri" w:hAnsi="Calibri" w:cs="Calibri"/>
          <w:sz w:val="22"/>
        </w:rPr>
        <w:t>Charitable financial donations</w:t>
      </w:r>
    </w:p>
    <w:p w14:paraId="3F321C61" w14:textId="6D751D97" w:rsidR="00CF2A50" w:rsidRPr="00F2205B" w:rsidRDefault="0092362F" w:rsidP="00F2205B">
      <w:pPr>
        <w:pStyle w:val="ListParagraph"/>
        <w:numPr>
          <w:ilvl w:val="0"/>
          <w:numId w:val="13"/>
        </w:numPr>
        <w:spacing w:after="0" w:line="240" w:lineRule="auto"/>
        <w:ind w:left="0" w:firstLine="0"/>
        <w:jc w:val="both"/>
        <w:rPr>
          <w:rFonts w:ascii="Calibri" w:hAnsi="Calibri" w:cs="Calibri"/>
          <w:sz w:val="22"/>
        </w:rPr>
      </w:pPr>
      <w:r w:rsidRPr="00F2205B">
        <w:rPr>
          <w:rFonts w:ascii="Calibri" w:hAnsi="Calibri" w:cs="Calibri"/>
          <w:sz w:val="22"/>
        </w:rPr>
        <w:t>G</w:t>
      </w:r>
      <w:r w:rsidR="00447E17" w:rsidRPr="00F2205B">
        <w:rPr>
          <w:rFonts w:ascii="Calibri" w:hAnsi="Calibri" w:cs="Calibri"/>
          <w:sz w:val="22"/>
        </w:rPr>
        <w:t>rants from government and private organisation</w:t>
      </w:r>
    </w:p>
    <w:p w14:paraId="6F0AD3F5" w14:textId="478E9E44" w:rsidR="007F7A9E" w:rsidRPr="00F2205B" w:rsidRDefault="00CF2A50" w:rsidP="00F2205B">
      <w:pPr>
        <w:pStyle w:val="ListParagraph"/>
        <w:numPr>
          <w:ilvl w:val="0"/>
          <w:numId w:val="13"/>
        </w:numPr>
        <w:spacing w:after="0" w:line="240" w:lineRule="auto"/>
        <w:ind w:left="0" w:firstLine="0"/>
        <w:jc w:val="both"/>
        <w:rPr>
          <w:rFonts w:ascii="Calibri" w:hAnsi="Calibri" w:cs="Calibri"/>
          <w:sz w:val="22"/>
        </w:rPr>
      </w:pPr>
      <w:r w:rsidRPr="00F2205B">
        <w:rPr>
          <w:rFonts w:ascii="Calibri" w:hAnsi="Calibri" w:cs="Calibri"/>
          <w:sz w:val="22"/>
        </w:rPr>
        <w:t>V</w:t>
      </w:r>
      <w:r w:rsidR="00447E17" w:rsidRPr="00F2205B">
        <w:rPr>
          <w:rFonts w:ascii="Calibri" w:hAnsi="Calibri" w:cs="Calibri"/>
          <w:sz w:val="22"/>
        </w:rPr>
        <w:t>olunteered time</w:t>
      </w:r>
      <w:r w:rsidR="00A223EF" w:rsidRPr="00F2205B">
        <w:rPr>
          <w:rFonts w:ascii="Calibri" w:hAnsi="Calibri" w:cs="Calibri"/>
          <w:sz w:val="22"/>
        </w:rPr>
        <w:t>.</w:t>
      </w:r>
    </w:p>
    <w:p w14:paraId="3A4450A2" w14:textId="6F4E9081" w:rsidR="00CF2A50" w:rsidRPr="00F2205B" w:rsidRDefault="007B014F" w:rsidP="00F2205B">
      <w:pPr>
        <w:spacing w:after="0" w:line="240" w:lineRule="auto"/>
        <w:jc w:val="both"/>
        <w:rPr>
          <w:rFonts w:ascii="Calibri" w:hAnsi="Calibri" w:cs="Calibri"/>
          <w:sz w:val="22"/>
        </w:rPr>
      </w:pPr>
      <w:r w:rsidRPr="00F2205B">
        <w:rPr>
          <w:rFonts w:ascii="Calibri" w:hAnsi="Calibri" w:cs="Calibri"/>
          <w:sz w:val="22"/>
        </w:rPr>
        <w:lastRenderedPageBreak/>
        <w:t>C</w:t>
      </w:r>
      <w:r w:rsidR="00CF2A50" w:rsidRPr="00F2205B">
        <w:rPr>
          <w:rFonts w:ascii="Calibri" w:hAnsi="Calibri" w:cs="Calibri"/>
          <w:sz w:val="22"/>
        </w:rPr>
        <w:t>haritable donations of food resources provide the backbone of the support for these organisations</w:t>
      </w:r>
      <w:r w:rsidR="0092362F" w:rsidRPr="00F2205B">
        <w:rPr>
          <w:rFonts w:ascii="Calibri" w:hAnsi="Calibri" w:cs="Calibri"/>
          <w:sz w:val="22"/>
        </w:rPr>
        <w:t xml:space="preserve">, providing the </w:t>
      </w:r>
      <w:r w:rsidR="00087A83" w:rsidRPr="00F2205B">
        <w:rPr>
          <w:rFonts w:ascii="Calibri" w:hAnsi="Calibri" w:cs="Calibri"/>
          <w:sz w:val="22"/>
        </w:rPr>
        <w:t xml:space="preserve">actual resources that people need. </w:t>
      </w:r>
      <w:r w:rsidR="007A56F0" w:rsidRPr="00F2205B">
        <w:rPr>
          <w:rFonts w:ascii="Calibri" w:hAnsi="Calibri" w:cs="Calibri"/>
          <w:sz w:val="22"/>
        </w:rPr>
        <w:t>However,</w:t>
      </w:r>
      <w:r w:rsidR="00087A83" w:rsidRPr="00F2205B">
        <w:rPr>
          <w:rFonts w:ascii="Calibri" w:hAnsi="Calibri" w:cs="Calibri"/>
          <w:sz w:val="22"/>
        </w:rPr>
        <w:t xml:space="preserve"> the other inputs are necessary to ensure ongoing </w:t>
      </w:r>
      <w:r w:rsidR="005A7C66" w:rsidRPr="00F2205B">
        <w:rPr>
          <w:rFonts w:ascii="Calibri" w:hAnsi="Calibri" w:cs="Calibri"/>
          <w:sz w:val="22"/>
        </w:rPr>
        <w:t xml:space="preserve">operations remain viable. Financial input is </w:t>
      </w:r>
      <w:r w:rsidR="007A56F0" w:rsidRPr="00F2205B">
        <w:rPr>
          <w:rFonts w:ascii="Calibri" w:hAnsi="Calibri" w:cs="Calibri"/>
          <w:sz w:val="22"/>
        </w:rPr>
        <w:t>imperative f</w:t>
      </w:r>
      <w:r w:rsidR="004242B5" w:rsidRPr="00F2205B">
        <w:rPr>
          <w:rFonts w:ascii="Calibri" w:hAnsi="Calibri" w:cs="Calibri"/>
          <w:sz w:val="22"/>
        </w:rPr>
        <w:t xml:space="preserve">or physical assets including warehousing, non-volunteer employees, supply chain functions and more. </w:t>
      </w:r>
    </w:p>
    <w:p w14:paraId="0B5E0580" w14:textId="77777777" w:rsidR="008215B4" w:rsidRDefault="008215B4" w:rsidP="00F2205B">
      <w:pPr>
        <w:spacing w:after="0" w:line="240" w:lineRule="auto"/>
        <w:jc w:val="both"/>
        <w:rPr>
          <w:rFonts w:ascii="Calibri" w:hAnsi="Calibri" w:cs="Calibri"/>
          <w:sz w:val="22"/>
        </w:rPr>
      </w:pPr>
    </w:p>
    <w:p w14:paraId="44761E0F" w14:textId="703911AC" w:rsidR="008215B4" w:rsidRDefault="004915B8" w:rsidP="00F2205B">
      <w:pPr>
        <w:spacing w:after="0" w:line="240" w:lineRule="auto"/>
        <w:jc w:val="both"/>
        <w:rPr>
          <w:rFonts w:ascii="Calibri" w:hAnsi="Calibri" w:cs="Calibri"/>
          <w:sz w:val="22"/>
        </w:rPr>
      </w:pPr>
      <w:r w:rsidRPr="00F2205B">
        <w:rPr>
          <w:rFonts w:ascii="Calibri" w:hAnsi="Calibri" w:cs="Calibri"/>
          <w:sz w:val="22"/>
        </w:rPr>
        <w:t xml:space="preserve">The major food charities in Victoria rely upon government grants for their operations. </w:t>
      </w:r>
      <w:r w:rsidR="005B16C8" w:rsidRPr="00F2205B">
        <w:rPr>
          <w:rFonts w:ascii="Calibri" w:hAnsi="Calibri" w:cs="Calibri"/>
          <w:sz w:val="22"/>
        </w:rPr>
        <w:t xml:space="preserve">These are generally determined by the Victorian government through the State Budget, </w:t>
      </w:r>
      <w:r w:rsidR="001F5502" w:rsidRPr="00F2205B">
        <w:rPr>
          <w:rFonts w:ascii="Calibri" w:hAnsi="Calibri" w:cs="Calibri"/>
          <w:sz w:val="22"/>
        </w:rPr>
        <w:t xml:space="preserve">however they can be allocated separately as needed, which was seen in response to the COVID-19 pandemic. The organisations </w:t>
      </w:r>
      <w:r w:rsidR="00FC5C35" w:rsidRPr="00F2205B">
        <w:rPr>
          <w:rFonts w:ascii="Calibri" w:hAnsi="Calibri" w:cs="Calibri"/>
          <w:sz w:val="22"/>
        </w:rPr>
        <w:t>provide pre-budget submissions to request grant funding</w:t>
      </w:r>
      <w:r w:rsidR="003A23CB" w:rsidRPr="00F2205B">
        <w:rPr>
          <w:rFonts w:ascii="Calibri" w:hAnsi="Calibri" w:cs="Calibri"/>
          <w:sz w:val="22"/>
        </w:rPr>
        <w:t xml:space="preserve"> each year. However, the organisations have no assurances that there will be any funding provided, and the amounts </w:t>
      </w:r>
      <w:r w:rsidR="000D5DD6">
        <w:rPr>
          <w:rFonts w:ascii="Calibri" w:hAnsi="Calibri" w:cs="Calibri"/>
          <w:sz w:val="22"/>
        </w:rPr>
        <w:t xml:space="preserve">ultimately provided </w:t>
      </w:r>
      <w:r w:rsidR="003A23CB" w:rsidRPr="00F2205B">
        <w:rPr>
          <w:rFonts w:ascii="Calibri" w:hAnsi="Calibri" w:cs="Calibri"/>
          <w:sz w:val="22"/>
        </w:rPr>
        <w:t>can fluctuate depending on State Government goals</w:t>
      </w:r>
      <w:r w:rsidR="004E29B8">
        <w:rPr>
          <w:rFonts w:ascii="Calibri" w:hAnsi="Calibri" w:cs="Calibri"/>
          <w:sz w:val="22"/>
        </w:rPr>
        <w:t xml:space="preserve"> at the time.</w:t>
      </w:r>
    </w:p>
    <w:p w14:paraId="6537D349" w14:textId="77777777" w:rsidR="000F6A77" w:rsidRDefault="000F6A77" w:rsidP="00F2205B">
      <w:pPr>
        <w:spacing w:after="0" w:line="240" w:lineRule="auto"/>
        <w:jc w:val="both"/>
        <w:rPr>
          <w:rFonts w:ascii="Calibri" w:hAnsi="Calibri" w:cs="Calibri"/>
          <w:sz w:val="22"/>
        </w:rPr>
      </w:pPr>
    </w:p>
    <w:p w14:paraId="64242C92" w14:textId="29AA56D7" w:rsidR="00C44C4D" w:rsidRPr="00F2205B" w:rsidRDefault="0037394C" w:rsidP="00F2205B">
      <w:pPr>
        <w:spacing w:after="0" w:line="240" w:lineRule="auto"/>
        <w:jc w:val="both"/>
        <w:rPr>
          <w:rFonts w:ascii="Calibri" w:hAnsi="Calibri" w:cs="Calibri"/>
          <w:sz w:val="22"/>
        </w:rPr>
      </w:pPr>
      <w:r w:rsidRPr="00F2205B">
        <w:rPr>
          <w:rFonts w:ascii="Calibri" w:hAnsi="Calibri" w:cs="Calibri"/>
          <w:sz w:val="22"/>
        </w:rPr>
        <w:t xml:space="preserve">Table </w:t>
      </w:r>
      <w:r w:rsidR="00612666" w:rsidRPr="00F2205B">
        <w:rPr>
          <w:rFonts w:ascii="Calibri" w:hAnsi="Calibri" w:cs="Calibri"/>
          <w:sz w:val="22"/>
        </w:rPr>
        <w:t>2</w:t>
      </w:r>
      <w:r w:rsidRPr="00F2205B">
        <w:rPr>
          <w:rFonts w:ascii="Calibri" w:hAnsi="Calibri" w:cs="Calibri"/>
          <w:sz w:val="22"/>
        </w:rPr>
        <w:t xml:space="preserve"> shows a breakdown of </w:t>
      </w:r>
      <w:r w:rsidR="00D60AA4" w:rsidRPr="00F2205B">
        <w:rPr>
          <w:rFonts w:ascii="Calibri" w:hAnsi="Calibri" w:cs="Calibri"/>
          <w:sz w:val="22"/>
        </w:rPr>
        <w:t>F</w:t>
      </w:r>
      <w:r w:rsidRPr="00F2205B">
        <w:rPr>
          <w:rFonts w:ascii="Calibri" w:hAnsi="Calibri" w:cs="Calibri"/>
          <w:sz w:val="22"/>
        </w:rPr>
        <w:t xml:space="preserve">oodbank </w:t>
      </w:r>
      <w:r w:rsidR="00937895">
        <w:rPr>
          <w:rFonts w:ascii="Calibri" w:hAnsi="Calibri" w:cs="Calibri"/>
          <w:sz w:val="22"/>
        </w:rPr>
        <w:t xml:space="preserve">Victoria </w:t>
      </w:r>
      <w:r w:rsidRPr="00F2205B">
        <w:rPr>
          <w:rFonts w:ascii="Calibri" w:hAnsi="Calibri" w:cs="Calibri"/>
          <w:sz w:val="22"/>
        </w:rPr>
        <w:t xml:space="preserve">funding from 2016-2017. </w:t>
      </w:r>
      <w:r w:rsidR="00C44C4D" w:rsidRPr="00F2205B">
        <w:rPr>
          <w:rFonts w:ascii="Calibri" w:hAnsi="Calibri" w:cs="Calibri"/>
          <w:sz w:val="22"/>
        </w:rPr>
        <w:t>Unfortunately,</w:t>
      </w:r>
      <w:r w:rsidRPr="00F2205B">
        <w:rPr>
          <w:rFonts w:ascii="Calibri" w:hAnsi="Calibri" w:cs="Calibri"/>
          <w:sz w:val="22"/>
        </w:rPr>
        <w:t xml:space="preserve"> </w:t>
      </w:r>
      <w:r w:rsidR="00E7379F" w:rsidRPr="00F2205B">
        <w:rPr>
          <w:rFonts w:ascii="Calibri" w:hAnsi="Calibri" w:cs="Calibri"/>
          <w:sz w:val="22"/>
        </w:rPr>
        <w:t>Foodbank</w:t>
      </w:r>
      <w:r w:rsidRPr="00F2205B">
        <w:rPr>
          <w:rFonts w:ascii="Calibri" w:hAnsi="Calibri" w:cs="Calibri"/>
          <w:sz w:val="22"/>
        </w:rPr>
        <w:t xml:space="preserve"> is the only organisation </w:t>
      </w:r>
      <w:r w:rsidR="00DC0014" w:rsidRPr="00F2205B">
        <w:rPr>
          <w:rFonts w:ascii="Calibri" w:hAnsi="Calibri" w:cs="Calibri"/>
          <w:sz w:val="22"/>
        </w:rPr>
        <w:t xml:space="preserve">large enough to be required </w:t>
      </w:r>
      <w:r w:rsidRPr="00F2205B">
        <w:rPr>
          <w:rFonts w:ascii="Calibri" w:hAnsi="Calibri" w:cs="Calibri"/>
          <w:sz w:val="22"/>
        </w:rPr>
        <w:t xml:space="preserve">to publish </w:t>
      </w:r>
      <w:r w:rsidR="00DC0014" w:rsidRPr="00F2205B">
        <w:rPr>
          <w:rFonts w:ascii="Calibri" w:hAnsi="Calibri" w:cs="Calibri"/>
          <w:sz w:val="22"/>
        </w:rPr>
        <w:t xml:space="preserve">annual reports for income on a Victorian level. Table </w:t>
      </w:r>
      <w:r w:rsidR="00612666" w:rsidRPr="00F2205B">
        <w:rPr>
          <w:rFonts w:ascii="Calibri" w:hAnsi="Calibri" w:cs="Calibri"/>
          <w:sz w:val="22"/>
        </w:rPr>
        <w:t>3</w:t>
      </w:r>
      <w:r w:rsidR="00DC0014" w:rsidRPr="00F2205B">
        <w:rPr>
          <w:rFonts w:ascii="Calibri" w:hAnsi="Calibri" w:cs="Calibri"/>
          <w:sz w:val="22"/>
        </w:rPr>
        <w:t xml:space="preserve"> shows the percentage of </w:t>
      </w:r>
      <w:r w:rsidR="0061332A" w:rsidRPr="00F2205B">
        <w:rPr>
          <w:rFonts w:ascii="Calibri" w:hAnsi="Calibri" w:cs="Calibri"/>
          <w:sz w:val="22"/>
        </w:rPr>
        <w:t xml:space="preserve">operating income that comes from government </w:t>
      </w:r>
      <w:r w:rsidR="00C44C4D" w:rsidRPr="00F2205B">
        <w:rPr>
          <w:rFonts w:ascii="Calibri" w:hAnsi="Calibri" w:cs="Calibri"/>
          <w:sz w:val="22"/>
        </w:rPr>
        <w:t>grants and</w:t>
      </w:r>
      <w:r w:rsidR="0061332A" w:rsidRPr="00F2205B">
        <w:rPr>
          <w:rFonts w:ascii="Calibri" w:hAnsi="Calibri" w:cs="Calibri"/>
          <w:sz w:val="22"/>
        </w:rPr>
        <w:t xml:space="preserve"> separates by investment specifically directed to be used for the School Breakfast Program</w:t>
      </w:r>
      <w:r w:rsidR="00B81262" w:rsidRPr="00F2205B">
        <w:rPr>
          <w:rFonts w:ascii="Calibri" w:hAnsi="Calibri" w:cs="Calibri"/>
          <w:sz w:val="22"/>
        </w:rPr>
        <w:t xml:space="preserve"> (SBP)</w:t>
      </w:r>
      <w:r w:rsidR="0061332A" w:rsidRPr="00F2205B">
        <w:rPr>
          <w:rFonts w:ascii="Calibri" w:hAnsi="Calibri" w:cs="Calibri"/>
          <w:sz w:val="22"/>
        </w:rPr>
        <w:t>.</w:t>
      </w:r>
    </w:p>
    <w:p w14:paraId="04448A86" w14:textId="77777777" w:rsidR="008215B4" w:rsidRDefault="008215B4" w:rsidP="00F2205B">
      <w:pPr>
        <w:spacing w:after="0" w:line="240" w:lineRule="auto"/>
        <w:jc w:val="both"/>
        <w:rPr>
          <w:rFonts w:ascii="Calibri" w:hAnsi="Calibri" w:cs="Calibri"/>
          <w:sz w:val="22"/>
        </w:rPr>
      </w:pPr>
    </w:p>
    <w:p w14:paraId="08C4ECF3" w14:textId="65DD9D4E" w:rsidR="005C442E" w:rsidRPr="00F2205B" w:rsidRDefault="00C44C4D" w:rsidP="00F2205B">
      <w:pPr>
        <w:spacing w:after="0" w:line="240" w:lineRule="auto"/>
        <w:jc w:val="both"/>
        <w:rPr>
          <w:rFonts w:ascii="Calibri" w:hAnsi="Calibri" w:cs="Calibri"/>
          <w:sz w:val="22"/>
        </w:rPr>
      </w:pPr>
      <w:r w:rsidRPr="00F2205B">
        <w:rPr>
          <w:rFonts w:ascii="Calibri" w:hAnsi="Calibri" w:cs="Calibri"/>
          <w:sz w:val="22"/>
        </w:rPr>
        <w:t>M</w:t>
      </w:r>
      <w:r w:rsidR="00B81262" w:rsidRPr="00F2205B">
        <w:rPr>
          <w:rFonts w:ascii="Calibri" w:hAnsi="Calibri" w:cs="Calibri"/>
          <w:sz w:val="22"/>
        </w:rPr>
        <w:t>ore</w:t>
      </w:r>
      <w:r w:rsidR="00462D90" w:rsidRPr="00F2205B">
        <w:rPr>
          <w:rFonts w:ascii="Calibri" w:hAnsi="Calibri" w:cs="Calibri"/>
          <w:sz w:val="22"/>
        </w:rPr>
        <w:t xml:space="preserve"> than 60</w:t>
      </w:r>
      <w:r w:rsidR="009E3601">
        <w:rPr>
          <w:rFonts w:ascii="Calibri" w:hAnsi="Calibri" w:cs="Calibri"/>
          <w:sz w:val="22"/>
        </w:rPr>
        <w:t xml:space="preserve"> per cent</w:t>
      </w:r>
      <w:r w:rsidR="00462D90" w:rsidRPr="00F2205B">
        <w:rPr>
          <w:rFonts w:ascii="Calibri" w:hAnsi="Calibri" w:cs="Calibri"/>
          <w:sz w:val="22"/>
        </w:rPr>
        <w:t xml:space="preserve"> of total income for Foodbank</w:t>
      </w:r>
      <w:r w:rsidRPr="00F2205B">
        <w:rPr>
          <w:rFonts w:ascii="Calibri" w:hAnsi="Calibri" w:cs="Calibri"/>
          <w:sz w:val="22"/>
        </w:rPr>
        <w:t xml:space="preserve"> </w:t>
      </w:r>
      <w:r w:rsidR="00B81262" w:rsidRPr="00F2205B">
        <w:rPr>
          <w:rFonts w:ascii="Calibri" w:hAnsi="Calibri" w:cs="Calibri"/>
          <w:sz w:val="22"/>
        </w:rPr>
        <w:t xml:space="preserve">has been raised </w:t>
      </w:r>
      <w:r w:rsidR="00462D90" w:rsidRPr="00F2205B">
        <w:rPr>
          <w:rFonts w:ascii="Calibri" w:hAnsi="Calibri" w:cs="Calibri"/>
          <w:sz w:val="22"/>
        </w:rPr>
        <w:t>through government grants</w:t>
      </w:r>
      <w:r w:rsidR="00B81262" w:rsidRPr="00F2205B">
        <w:rPr>
          <w:rFonts w:ascii="Calibri" w:hAnsi="Calibri" w:cs="Calibri"/>
          <w:sz w:val="22"/>
        </w:rPr>
        <w:t xml:space="preserve"> over this period</w:t>
      </w:r>
      <w:r w:rsidR="00462D90" w:rsidRPr="00F2205B">
        <w:rPr>
          <w:rFonts w:ascii="Calibri" w:hAnsi="Calibri" w:cs="Calibri"/>
          <w:sz w:val="22"/>
        </w:rPr>
        <w:t xml:space="preserve">. </w:t>
      </w:r>
      <w:r w:rsidR="007103A2" w:rsidRPr="00F2205B">
        <w:rPr>
          <w:rFonts w:ascii="Calibri" w:hAnsi="Calibri" w:cs="Calibri"/>
          <w:sz w:val="22"/>
        </w:rPr>
        <w:t>However,</w:t>
      </w:r>
      <w:r w:rsidR="00462D90" w:rsidRPr="00F2205B">
        <w:rPr>
          <w:rFonts w:ascii="Calibri" w:hAnsi="Calibri" w:cs="Calibri"/>
          <w:sz w:val="22"/>
        </w:rPr>
        <w:t xml:space="preserve"> year-on-year greater percentages </w:t>
      </w:r>
      <w:r w:rsidR="007103A2" w:rsidRPr="00F2205B">
        <w:rPr>
          <w:rFonts w:ascii="Calibri" w:hAnsi="Calibri" w:cs="Calibri"/>
          <w:sz w:val="22"/>
        </w:rPr>
        <w:t>have been</w:t>
      </w:r>
      <w:r w:rsidR="00462D90" w:rsidRPr="00F2205B">
        <w:rPr>
          <w:rFonts w:ascii="Calibri" w:hAnsi="Calibri" w:cs="Calibri"/>
          <w:sz w:val="22"/>
        </w:rPr>
        <w:t xml:space="preserve"> required to be allocated specifically to the </w:t>
      </w:r>
      <w:r w:rsidR="00B81262" w:rsidRPr="00F2205B">
        <w:rPr>
          <w:rFonts w:ascii="Calibri" w:hAnsi="Calibri" w:cs="Calibri"/>
          <w:sz w:val="22"/>
        </w:rPr>
        <w:t>SBP</w:t>
      </w:r>
      <w:r w:rsidR="00462D90" w:rsidRPr="00F2205B">
        <w:rPr>
          <w:rFonts w:ascii="Calibri" w:hAnsi="Calibri" w:cs="Calibri"/>
          <w:sz w:val="22"/>
        </w:rPr>
        <w:t xml:space="preserve">. </w:t>
      </w:r>
      <w:r w:rsidR="00625249" w:rsidRPr="00F2205B">
        <w:rPr>
          <w:rFonts w:ascii="Calibri" w:hAnsi="Calibri" w:cs="Calibri"/>
          <w:sz w:val="22"/>
        </w:rPr>
        <w:t>From 2016 to 202</w:t>
      </w:r>
      <w:r w:rsidRPr="00F2205B">
        <w:rPr>
          <w:rFonts w:ascii="Calibri" w:hAnsi="Calibri" w:cs="Calibri"/>
          <w:sz w:val="22"/>
        </w:rPr>
        <w:t>4</w:t>
      </w:r>
      <w:r w:rsidR="00625249" w:rsidRPr="00F2205B">
        <w:rPr>
          <w:rFonts w:ascii="Calibri" w:hAnsi="Calibri" w:cs="Calibri"/>
          <w:sz w:val="22"/>
        </w:rPr>
        <w:t xml:space="preserve">, Government grants </w:t>
      </w:r>
      <w:r w:rsidR="00B81262" w:rsidRPr="00F2205B">
        <w:rPr>
          <w:rFonts w:ascii="Calibri" w:hAnsi="Calibri" w:cs="Calibri"/>
          <w:sz w:val="22"/>
        </w:rPr>
        <w:t xml:space="preserve">not allocated to </w:t>
      </w:r>
      <w:r w:rsidR="007103A2" w:rsidRPr="00F2205B">
        <w:rPr>
          <w:rFonts w:ascii="Calibri" w:hAnsi="Calibri" w:cs="Calibri"/>
          <w:sz w:val="22"/>
        </w:rPr>
        <w:t xml:space="preserve">the SBP rose to a peak of </w:t>
      </w:r>
      <w:r w:rsidR="008E1F9D" w:rsidRPr="00F2205B">
        <w:rPr>
          <w:rFonts w:ascii="Calibri" w:hAnsi="Calibri" w:cs="Calibri"/>
          <w:sz w:val="22"/>
        </w:rPr>
        <w:t>$7 million in 2022 (</w:t>
      </w:r>
      <w:r w:rsidR="00162707" w:rsidRPr="00F2205B">
        <w:rPr>
          <w:rFonts w:ascii="Calibri" w:hAnsi="Calibri" w:cs="Calibri"/>
          <w:sz w:val="22"/>
        </w:rPr>
        <w:t>i</w:t>
      </w:r>
      <w:r w:rsidR="008E1F9D" w:rsidRPr="00F2205B">
        <w:rPr>
          <w:rFonts w:ascii="Calibri" w:hAnsi="Calibri" w:cs="Calibri"/>
          <w:sz w:val="22"/>
        </w:rPr>
        <w:t>n response to the CO</w:t>
      </w:r>
      <w:r w:rsidRPr="00F2205B">
        <w:rPr>
          <w:rFonts w:ascii="Calibri" w:hAnsi="Calibri" w:cs="Calibri"/>
          <w:sz w:val="22"/>
        </w:rPr>
        <w:t>V</w:t>
      </w:r>
      <w:r w:rsidR="008E1F9D" w:rsidRPr="00F2205B">
        <w:rPr>
          <w:rFonts w:ascii="Calibri" w:hAnsi="Calibri" w:cs="Calibri"/>
          <w:sz w:val="22"/>
        </w:rPr>
        <w:t xml:space="preserve">ID-19 </w:t>
      </w:r>
      <w:r w:rsidR="00631EC3">
        <w:rPr>
          <w:rFonts w:ascii="Calibri" w:hAnsi="Calibri" w:cs="Calibri"/>
          <w:sz w:val="22"/>
        </w:rPr>
        <w:t>p</w:t>
      </w:r>
      <w:r w:rsidR="008E1F9D" w:rsidRPr="00F2205B">
        <w:rPr>
          <w:rFonts w:ascii="Calibri" w:hAnsi="Calibri" w:cs="Calibri"/>
          <w:sz w:val="22"/>
        </w:rPr>
        <w:t>andemic</w:t>
      </w:r>
      <w:r w:rsidRPr="00F2205B">
        <w:rPr>
          <w:rFonts w:ascii="Calibri" w:hAnsi="Calibri" w:cs="Calibri"/>
          <w:sz w:val="22"/>
        </w:rPr>
        <w:t>) and fell to $3.5m in 2024. The percentage of total investment income this represents has fallen from 39</w:t>
      </w:r>
      <w:r w:rsidR="009E3601">
        <w:rPr>
          <w:rFonts w:ascii="Calibri" w:hAnsi="Calibri" w:cs="Calibri"/>
          <w:sz w:val="22"/>
        </w:rPr>
        <w:t xml:space="preserve"> per cent</w:t>
      </w:r>
      <w:r w:rsidRPr="00F2205B">
        <w:rPr>
          <w:rFonts w:ascii="Calibri" w:hAnsi="Calibri" w:cs="Calibri"/>
          <w:sz w:val="22"/>
        </w:rPr>
        <w:t xml:space="preserve"> to 9</w:t>
      </w:r>
      <w:r w:rsidR="009E3601">
        <w:rPr>
          <w:rFonts w:ascii="Calibri" w:hAnsi="Calibri" w:cs="Calibri"/>
          <w:sz w:val="22"/>
        </w:rPr>
        <w:t xml:space="preserve"> per cent</w:t>
      </w:r>
      <w:r w:rsidRPr="00F2205B">
        <w:rPr>
          <w:rFonts w:ascii="Calibri" w:hAnsi="Calibri" w:cs="Calibri"/>
          <w:sz w:val="22"/>
        </w:rPr>
        <w:t xml:space="preserve"> over this period. For </w:t>
      </w:r>
      <w:r w:rsidR="00162707" w:rsidRPr="00F2205B">
        <w:rPr>
          <w:rFonts w:ascii="Calibri" w:hAnsi="Calibri" w:cs="Calibri"/>
          <w:sz w:val="22"/>
        </w:rPr>
        <w:t>F</w:t>
      </w:r>
      <w:r w:rsidRPr="00F2205B">
        <w:rPr>
          <w:rFonts w:ascii="Calibri" w:hAnsi="Calibri" w:cs="Calibri"/>
          <w:sz w:val="22"/>
        </w:rPr>
        <w:t>oodbank, this has been offset by a significant increase in charitable funding through the period, which rose</w:t>
      </w:r>
      <w:r w:rsidR="00B94431" w:rsidRPr="00F2205B">
        <w:rPr>
          <w:rFonts w:ascii="Calibri" w:hAnsi="Calibri" w:cs="Calibri"/>
          <w:sz w:val="22"/>
        </w:rPr>
        <w:t xml:space="preserve"> 2,000</w:t>
      </w:r>
      <w:r w:rsidR="009E3601">
        <w:rPr>
          <w:rFonts w:ascii="Calibri" w:hAnsi="Calibri" w:cs="Calibri"/>
          <w:sz w:val="22"/>
        </w:rPr>
        <w:t xml:space="preserve"> per cent</w:t>
      </w:r>
      <w:r w:rsidR="00B94431" w:rsidRPr="00F2205B">
        <w:rPr>
          <w:rFonts w:ascii="Calibri" w:hAnsi="Calibri" w:cs="Calibri"/>
          <w:sz w:val="22"/>
        </w:rPr>
        <w:t xml:space="preserve"> over this period.</w:t>
      </w:r>
    </w:p>
    <w:p w14:paraId="3E1BA0A9" w14:textId="77777777" w:rsidR="008215B4" w:rsidRDefault="008215B4" w:rsidP="00F2205B">
      <w:pPr>
        <w:spacing w:after="0" w:line="240" w:lineRule="auto"/>
        <w:jc w:val="both"/>
        <w:rPr>
          <w:rFonts w:ascii="Calibri" w:hAnsi="Calibri" w:cs="Calibri"/>
          <w:sz w:val="22"/>
        </w:rPr>
      </w:pPr>
    </w:p>
    <w:p w14:paraId="0FC61012" w14:textId="2146D8D7" w:rsidR="004915B8" w:rsidRPr="00F2205B" w:rsidRDefault="00166F4F" w:rsidP="00F2205B">
      <w:pPr>
        <w:spacing w:after="0" w:line="240" w:lineRule="auto"/>
        <w:jc w:val="both"/>
        <w:rPr>
          <w:rFonts w:ascii="Calibri" w:hAnsi="Calibri" w:cs="Calibri"/>
          <w:sz w:val="22"/>
        </w:rPr>
      </w:pPr>
      <w:r w:rsidRPr="00F2205B">
        <w:rPr>
          <w:rFonts w:ascii="Calibri" w:hAnsi="Calibri" w:cs="Calibri"/>
          <w:sz w:val="22"/>
        </w:rPr>
        <w:t>The major food relief organisations in Victoria have made a case for increased funding, often in the form of pre-budget submissions to State and Commonwealth governments, but also in response to cost-of-living crisis’ in recent years (</w:t>
      </w:r>
      <w:r w:rsidR="00E35678" w:rsidRPr="00F2205B">
        <w:rPr>
          <w:rFonts w:ascii="Calibri" w:hAnsi="Calibri" w:cs="Calibri"/>
          <w:sz w:val="22"/>
        </w:rPr>
        <w:t>SecondBite</w:t>
      </w:r>
      <w:r w:rsidR="00E35678">
        <w:rPr>
          <w:rFonts w:ascii="Calibri" w:hAnsi="Calibri" w:cs="Calibri"/>
          <w:sz w:val="22"/>
        </w:rPr>
        <w:t>,</w:t>
      </w:r>
      <w:r w:rsidR="00E35678" w:rsidRPr="00F2205B">
        <w:rPr>
          <w:rFonts w:ascii="Calibri" w:hAnsi="Calibri" w:cs="Calibri"/>
          <w:sz w:val="22"/>
        </w:rPr>
        <w:t xml:space="preserve"> </w:t>
      </w:r>
      <w:r w:rsidR="00502272" w:rsidRPr="00F2205B">
        <w:rPr>
          <w:rFonts w:ascii="Calibri" w:hAnsi="Calibri" w:cs="Calibri"/>
          <w:sz w:val="22"/>
        </w:rPr>
        <w:t>OzHarvest</w:t>
      </w:r>
      <w:r w:rsidR="00E35678">
        <w:rPr>
          <w:rFonts w:ascii="Calibri" w:hAnsi="Calibri" w:cs="Calibri"/>
          <w:sz w:val="22"/>
        </w:rPr>
        <w:t xml:space="preserve"> and</w:t>
      </w:r>
      <w:r w:rsidRPr="00F2205B">
        <w:rPr>
          <w:rFonts w:ascii="Calibri" w:hAnsi="Calibri" w:cs="Calibri"/>
          <w:sz w:val="22"/>
        </w:rPr>
        <w:t xml:space="preserve"> Foodbank</w:t>
      </w:r>
      <w:r w:rsidR="00464B4A">
        <w:rPr>
          <w:rFonts w:ascii="Calibri" w:hAnsi="Calibri" w:cs="Calibri"/>
          <w:sz w:val="22"/>
        </w:rPr>
        <w:t>,</w:t>
      </w:r>
      <w:r w:rsidRPr="00F2205B">
        <w:rPr>
          <w:rFonts w:ascii="Calibri" w:hAnsi="Calibri" w:cs="Calibri"/>
          <w:sz w:val="22"/>
        </w:rPr>
        <w:t xml:space="preserve"> 2023). Their case asks for both increased regular funding, and increased disaster relief funding, to support their actions taken to support affected families.</w:t>
      </w:r>
    </w:p>
    <w:p w14:paraId="2CF6D703" w14:textId="77777777" w:rsidR="008215B4" w:rsidRDefault="008215B4" w:rsidP="00F2205B">
      <w:pPr>
        <w:spacing w:after="0" w:line="240" w:lineRule="auto"/>
        <w:jc w:val="both"/>
        <w:rPr>
          <w:rFonts w:ascii="Calibri" w:hAnsi="Calibri" w:cs="Calibri"/>
          <w:sz w:val="22"/>
        </w:rPr>
      </w:pPr>
    </w:p>
    <w:p w14:paraId="54D12B21" w14:textId="44EF5759" w:rsidR="006E165D" w:rsidRPr="00F2205B" w:rsidRDefault="004242B5" w:rsidP="00F2205B">
      <w:pPr>
        <w:spacing w:after="0" w:line="240" w:lineRule="auto"/>
        <w:jc w:val="both"/>
        <w:rPr>
          <w:rFonts w:ascii="Calibri" w:hAnsi="Calibri" w:cs="Calibri"/>
          <w:sz w:val="22"/>
        </w:rPr>
      </w:pPr>
      <w:r w:rsidRPr="00F2205B">
        <w:rPr>
          <w:rFonts w:ascii="Calibri" w:hAnsi="Calibri" w:cs="Calibri"/>
          <w:sz w:val="22"/>
        </w:rPr>
        <w:t xml:space="preserve">There is little </w:t>
      </w:r>
      <w:r w:rsidR="005C442E" w:rsidRPr="00F2205B">
        <w:rPr>
          <w:rFonts w:ascii="Calibri" w:hAnsi="Calibri" w:cs="Calibri"/>
          <w:sz w:val="22"/>
        </w:rPr>
        <w:t xml:space="preserve">independent </w:t>
      </w:r>
      <w:r w:rsidRPr="00F2205B">
        <w:rPr>
          <w:rFonts w:ascii="Calibri" w:hAnsi="Calibri" w:cs="Calibri"/>
          <w:sz w:val="22"/>
        </w:rPr>
        <w:t>research into the challenges faced by charities and not-for-profits due to volatile funding constraints</w:t>
      </w:r>
      <w:r w:rsidR="005C442E" w:rsidRPr="00F2205B">
        <w:rPr>
          <w:rFonts w:ascii="Calibri" w:hAnsi="Calibri" w:cs="Calibri"/>
          <w:sz w:val="22"/>
        </w:rPr>
        <w:t xml:space="preserve">. </w:t>
      </w:r>
      <w:r w:rsidR="00166F4F" w:rsidRPr="00F2205B">
        <w:rPr>
          <w:rFonts w:ascii="Calibri" w:hAnsi="Calibri" w:cs="Calibri"/>
          <w:sz w:val="22"/>
        </w:rPr>
        <w:t xml:space="preserve"> Financial management principles would indicate that this lack of foresight would significantly impede forward planning, potentially hindering </w:t>
      </w:r>
      <w:r w:rsidR="00B4429D" w:rsidRPr="00F2205B">
        <w:rPr>
          <w:rFonts w:ascii="Calibri" w:hAnsi="Calibri" w:cs="Calibri"/>
          <w:sz w:val="22"/>
        </w:rPr>
        <w:t>investments</w:t>
      </w:r>
      <w:r w:rsidR="00B40900" w:rsidRPr="00F2205B">
        <w:rPr>
          <w:rFonts w:ascii="Calibri" w:hAnsi="Calibri" w:cs="Calibri"/>
          <w:sz w:val="22"/>
        </w:rPr>
        <w:t xml:space="preserve"> or </w:t>
      </w:r>
      <w:r w:rsidR="00502272" w:rsidRPr="00F2205B">
        <w:rPr>
          <w:rFonts w:ascii="Calibri" w:hAnsi="Calibri" w:cs="Calibri"/>
          <w:sz w:val="22"/>
        </w:rPr>
        <w:t>long-term</w:t>
      </w:r>
      <w:r w:rsidR="00B40900" w:rsidRPr="00F2205B">
        <w:rPr>
          <w:rFonts w:ascii="Calibri" w:hAnsi="Calibri" w:cs="Calibri"/>
          <w:sz w:val="22"/>
        </w:rPr>
        <w:t xml:space="preserve"> projects</w:t>
      </w:r>
      <w:r w:rsidR="00B4429D" w:rsidRPr="00F2205B">
        <w:rPr>
          <w:rFonts w:ascii="Calibri" w:hAnsi="Calibri" w:cs="Calibri"/>
          <w:sz w:val="22"/>
        </w:rPr>
        <w:t xml:space="preserve"> that could help Victorians in need.</w:t>
      </w:r>
    </w:p>
    <w:p w14:paraId="58E2E925" w14:textId="77777777" w:rsidR="008215B4" w:rsidRDefault="008215B4" w:rsidP="00F2205B">
      <w:pPr>
        <w:spacing w:after="0" w:line="240" w:lineRule="auto"/>
        <w:jc w:val="both"/>
        <w:rPr>
          <w:rFonts w:ascii="Calibri" w:hAnsi="Calibri" w:cs="Calibri"/>
          <w:sz w:val="22"/>
        </w:rPr>
      </w:pPr>
    </w:p>
    <w:p w14:paraId="1744B4E6" w14:textId="33D86040" w:rsidR="004915B8" w:rsidRPr="00F2205B" w:rsidRDefault="00B4429D" w:rsidP="00F2205B">
      <w:pPr>
        <w:spacing w:after="0" w:line="240" w:lineRule="auto"/>
        <w:jc w:val="both"/>
        <w:rPr>
          <w:rFonts w:ascii="Calibri" w:hAnsi="Calibri" w:cs="Calibri"/>
          <w:sz w:val="22"/>
        </w:rPr>
      </w:pPr>
      <w:r w:rsidRPr="00F2205B">
        <w:rPr>
          <w:rFonts w:ascii="Calibri" w:hAnsi="Calibri" w:cs="Calibri"/>
          <w:sz w:val="22"/>
        </w:rPr>
        <w:t xml:space="preserve">During the transition from Relief to Resilience indicated in the </w:t>
      </w:r>
      <w:r w:rsidR="00CC1D72" w:rsidRPr="008275E0">
        <w:rPr>
          <w:rFonts w:ascii="Calibri" w:hAnsi="Calibri" w:cs="Calibri"/>
          <w:i/>
          <w:iCs/>
          <w:sz w:val="22"/>
        </w:rPr>
        <w:t xml:space="preserve">Food Security </w:t>
      </w:r>
      <w:r w:rsidR="008275E0" w:rsidRPr="008275E0">
        <w:rPr>
          <w:rFonts w:ascii="Calibri" w:hAnsi="Calibri" w:cs="Calibri"/>
          <w:i/>
          <w:iCs/>
          <w:sz w:val="22"/>
        </w:rPr>
        <w:t>in Victoria</w:t>
      </w:r>
      <w:r w:rsidR="008275E0">
        <w:rPr>
          <w:rFonts w:ascii="Calibri" w:hAnsi="Calibri" w:cs="Calibri"/>
          <w:sz w:val="22"/>
        </w:rPr>
        <w:t xml:space="preserve"> </w:t>
      </w:r>
      <w:r w:rsidRPr="00F2205B">
        <w:rPr>
          <w:rFonts w:ascii="Calibri" w:hAnsi="Calibri" w:cs="Calibri"/>
          <w:sz w:val="22"/>
        </w:rPr>
        <w:t xml:space="preserve">report, dedicated and </w:t>
      </w:r>
      <w:r w:rsidR="00DA42C7" w:rsidRPr="00F2205B">
        <w:rPr>
          <w:rFonts w:ascii="Calibri" w:hAnsi="Calibri" w:cs="Calibri"/>
          <w:sz w:val="22"/>
        </w:rPr>
        <w:t>consistent financial</w:t>
      </w:r>
      <w:r w:rsidRPr="00F2205B">
        <w:rPr>
          <w:rFonts w:ascii="Calibri" w:hAnsi="Calibri" w:cs="Calibri"/>
          <w:sz w:val="22"/>
        </w:rPr>
        <w:t xml:space="preserve"> support for these organisations </w:t>
      </w:r>
      <w:r w:rsidR="00DA42C7" w:rsidRPr="00F2205B">
        <w:rPr>
          <w:rFonts w:ascii="Calibri" w:hAnsi="Calibri" w:cs="Calibri"/>
          <w:sz w:val="22"/>
        </w:rPr>
        <w:t xml:space="preserve">is likely to improve the services provided. Furthermore, if the Victorian Government has concerns about the uses of the funds, they could be allocated as grants to specific programs or </w:t>
      </w:r>
      <w:r w:rsidR="00181329" w:rsidRPr="00F2205B">
        <w:rPr>
          <w:rFonts w:ascii="Calibri" w:hAnsi="Calibri" w:cs="Calibri"/>
          <w:sz w:val="22"/>
        </w:rPr>
        <w:t>goals, which has been shown to be effective through he SBP program</w:t>
      </w:r>
      <w:r w:rsidR="00C05D15">
        <w:rPr>
          <w:rFonts w:ascii="Calibri" w:hAnsi="Calibri" w:cs="Calibri"/>
          <w:sz w:val="22"/>
        </w:rPr>
        <w:t>.</w:t>
      </w:r>
    </w:p>
    <w:p w14:paraId="5453CDEC" w14:textId="77777777" w:rsidR="008215B4" w:rsidRDefault="008215B4" w:rsidP="00F2205B">
      <w:pPr>
        <w:spacing w:after="0" w:line="240" w:lineRule="auto"/>
        <w:jc w:val="both"/>
        <w:rPr>
          <w:rFonts w:ascii="Calibri" w:hAnsi="Calibri" w:cs="Calibri"/>
          <w:sz w:val="22"/>
        </w:rPr>
      </w:pPr>
    </w:p>
    <w:p w14:paraId="73E8E8C2" w14:textId="14171380" w:rsidR="005227A5" w:rsidRPr="00F2205B" w:rsidRDefault="00D06A48" w:rsidP="00F2205B">
      <w:pPr>
        <w:spacing w:after="0" w:line="240" w:lineRule="auto"/>
        <w:jc w:val="both"/>
        <w:rPr>
          <w:rFonts w:ascii="Calibri" w:hAnsi="Calibri" w:cs="Calibri"/>
          <w:sz w:val="22"/>
        </w:rPr>
      </w:pPr>
      <w:r w:rsidRPr="00F2205B">
        <w:rPr>
          <w:rFonts w:ascii="Calibri" w:hAnsi="Calibri" w:cs="Calibri"/>
          <w:sz w:val="22"/>
        </w:rPr>
        <w:t xml:space="preserve">If the </w:t>
      </w:r>
      <w:r w:rsidR="008153DA" w:rsidRPr="00F2205B">
        <w:rPr>
          <w:rFonts w:ascii="Calibri" w:hAnsi="Calibri" w:cs="Calibri"/>
          <w:sz w:val="22"/>
        </w:rPr>
        <w:t xml:space="preserve">Victorian Government determines that more spending in the sector is necessary, there may be an opportunity to explore funding government programs, rather than </w:t>
      </w:r>
      <w:r w:rsidR="005227A5" w:rsidRPr="00F2205B">
        <w:rPr>
          <w:rFonts w:ascii="Calibri" w:hAnsi="Calibri" w:cs="Calibri"/>
          <w:sz w:val="22"/>
        </w:rPr>
        <w:t xml:space="preserve">providing grants to food relief charities. </w:t>
      </w:r>
    </w:p>
    <w:p w14:paraId="29AB37F3" w14:textId="77777777" w:rsidR="008215B4" w:rsidRDefault="008215B4" w:rsidP="00F2205B">
      <w:pPr>
        <w:spacing w:after="0" w:line="240" w:lineRule="auto"/>
        <w:jc w:val="both"/>
        <w:rPr>
          <w:rFonts w:ascii="Calibri" w:hAnsi="Calibri" w:cs="Calibri"/>
          <w:sz w:val="22"/>
        </w:rPr>
      </w:pPr>
    </w:p>
    <w:p w14:paraId="04404249" w14:textId="2E0FA7F5" w:rsidR="00D06A48" w:rsidRPr="00F2205B" w:rsidRDefault="005227A5" w:rsidP="00F2205B">
      <w:pPr>
        <w:spacing w:after="0" w:line="240" w:lineRule="auto"/>
        <w:jc w:val="both"/>
        <w:rPr>
          <w:rFonts w:ascii="Calibri" w:hAnsi="Calibri" w:cs="Calibri"/>
          <w:sz w:val="22"/>
        </w:rPr>
      </w:pPr>
      <w:r w:rsidRPr="00F2205B">
        <w:rPr>
          <w:rFonts w:ascii="Calibri" w:hAnsi="Calibri" w:cs="Calibri"/>
          <w:sz w:val="22"/>
        </w:rPr>
        <w:t>The charities have an advantage of existing operations, including logistics networks, warehouses and processes.</w:t>
      </w:r>
      <w:r w:rsidR="00391256" w:rsidRPr="00F2205B">
        <w:rPr>
          <w:rFonts w:ascii="Calibri" w:hAnsi="Calibri" w:cs="Calibri"/>
          <w:sz w:val="22"/>
        </w:rPr>
        <w:t xml:space="preserve"> Theoretically, any government program that is competing in a similar area would likely be financially less effective in the </w:t>
      </w:r>
      <w:r w:rsidR="009E3997" w:rsidRPr="00F2205B">
        <w:rPr>
          <w:rFonts w:ascii="Calibri" w:hAnsi="Calibri" w:cs="Calibri"/>
          <w:sz w:val="22"/>
        </w:rPr>
        <w:t xml:space="preserve">short- to medium-term. </w:t>
      </w:r>
      <w:r w:rsidR="00502272" w:rsidRPr="00F2205B">
        <w:rPr>
          <w:rFonts w:ascii="Calibri" w:hAnsi="Calibri" w:cs="Calibri"/>
          <w:sz w:val="22"/>
        </w:rPr>
        <w:t>However,</w:t>
      </w:r>
      <w:r w:rsidR="009E3997" w:rsidRPr="00F2205B">
        <w:rPr>
          <w:rFonts w:ascii="Calibri" w:hAnsi="Calibri" w:cs="Calibri"/>
          <w:sz w:val="22"/>
        </w:rPr>
        <w:t xml:space="preserve"> there could be opportunities to ensure spending is focussed on </w:t>
      </w:r>
      <w:r w:rsidR="00502272" w:rsidRPr="00F2205B">
        <w:rPr>
          <w:rFonts w:ascii="Calibri" w:hAnsi="Calibri" w:cs="Calibri"/>
          <w:sz w:val="22"/>
        </w:rPr>
        <w:t>areas</w:t>
      </w:r>
      <w:r w:rsidR="009E3997" w:rsidRPr="00F2205B">
        <w:rPr>
          <w:rFonts w:ascii="Calibri" w:hAnsi="Calibri" w:cs="Calibri"/>
          <w:sz w:val="22"/>
        </w:rPr>
        <w:t xml:space="preserve"> of need with a greater level of control than through charity funding.</w:t>
      </w:r>
    </w:p>
    <w:p w14:paraId="154427B3" w14:textId="1DFD9945" w:rsidR="009B3D57" w:rsidRPr="00F2205B" w:rsidRDefault="009B3D57" w:rsidP="00F2205B">
      <w:pPr>
        <w:spacing w:after="0" w:line="240" w:lineRule="auto"/>
        <w:jc w:val="both"/>
        <w:rPr>
          <w:rFonts w:ascii="Calibri" w:hAnsi="Calibri" w:cs="Calibri"/>
          <w:sz w:val="22"/>
          <w:lang w:val="en-US"/>
        </w:rPr>
        <w:sectPr w:rsidR="009B3D57" w:rsidRPr="00F2205B" w:rsidSect="00F2205B">
          <w:headerReference w:type="default" r:id="rId9"/>
          <w:footerReference w:type="even" r:id="rId10"/>
          <w:footerReference w:type="default" r:id="rId11"/>
          <w:footerReference w:type="first" r:id="rId12"/>
          <w:type w:val="continuous"/>
          <w:pgSz w:w="11906" w:h="16838"/>
          <w:pgMar w:top="1440" w:right="1440" w:bottom="1440" w:left="1440" w:header="709" w:footer="709" w:gutter="0"/>
          <w:pgNumType w:start="1"/>
          <w:cols w:space="708"/>
          <w:docGrid w:linePitch="360"/>
        </w:sectPr>
      </w:pPr>
    </w:p>
    <w:p w14:paraId="0740F827" w14:textId="7A05C9EE" w:rsidR="002D1B4F" w:rsidRPr="00363332" w:rsidRDefault="002D1B4F" w:rsidP="00363332">
      <w:pPr>
        <w:spacing w:after="0" w:line="240" w:lineRule="auto"/>
        <w:jc w:val="center"/>
        <w:rPr>
          <w:rFonts w:ascii="Calibri" w:hAnsi="Calibri" w:cs="Calibri"/>
          <w:b/>
          <w:bCs/>
          <w:sz w:val="22"/>
          <w:lang w:val="en-US"/>
        </w:rPr>
      </w:pPr>
      <w:r w:rsidRPr="00363332">
        <w:rPr>
          <w:rFonts w:ascii="Calibri" w:hAnsi="Calibri" w:cs="Calibri"/>
          <w:b/>
          <w:bCs/>
          <w:sz w:val="22"/>
          <w:lang w:val="en-US"/>
        </w:rPr>
        <w:lastRenderedPageBreak/>
        <w:t xml:space="preserve">Table </w:t>
      </w:r>
      <w:r w:rsidR="00612666" w:rsidRPr="00363332">
        <w:rPr>
          <w:rFonts w:ascii="Calibri" w:hAnsi="Calibri" w:cs="Calibri"/>
          <w:b/>
          <w:bCs/>
          <w:sz w:val="22"/>
          <w:lang w:val="en-US"/>
        </w:rPr>
        <w:t>2</w:t>
      </w:r>
      <w:r w:rsidR="00363332">
        <w:rPr>
          <w:rFonts w:ascii="Calibri" w:hAnsi="Calibri" w:cs="Calibri"/>
          <w:b/>
          <w:bCs/>
          <w:sz w:val="22"/>
          <w:lang w:val="en-US"/>
        </w:rPr>
        <w:t>.</w:t>
      </w:r>
      <w:r w:rsidRPr="00363332">
        <w:rPr>
          <w:rFonts w:ascii="Calibri" w:hAnsi="Calibri" w:cs="Calibri"/>
          <w:b/>
          <w:bCs/>
          <w:sz w:val="22"/>
          <w:lang w:val="en-US"/>
        </w:rPr>
        <w:t xml:space="preserve"> Foodbank Victoria </w:t>
      </w:r>
      <w:r w:rsidR="000E2262">
        <w:rPr>
          <w:rFonts w:ascii="Calibri" w:hAnsi="Calibri" w:cs="Calibri"/>
          <w:b/>
          <w:bCs/>
          <w:sz w:val="22"/>
          <w:lang w:val="en-US"/>
        </w:rPr>
        <w:t>r</w:t>
      </w:r>
      <w:r w:rsidRPr="00363332">
        <w:rPr>
          <w:rFonts w:ascii="Calibri" w:hAnsi="Calibri" w:cs="Calibri"/>
          <w:b/>
          <w:bCs/>
          <w:sz w:val="22"/>
          <w:lang w:val="en-US"/>
        </w:rPr>
        <w:t>evenue, 20</w:t>
      </w:r>
      <w:r w:rsidR="00692D11" w:rsidRPr="00363332">
        <w:rPr>
          <w:rFonts w:ascii="Calibri" w:hAnsi="Calibri" w:cs="Calibri"/>
          <w:b/>
          <w:bCs/>
          <w:sz w:val="22"/>
          <w:lang w:val="en-US"/>
        </w:rPr>
        <w:t>17-2024</w:t>
      </w:r>
    </w:p>
    <w:p w14:paraId="029DD0CB" w14:textId="77777777" w:rsidR="00D10CF2" w:rsidRPr="00F2205B" w:rsidRDefault="00D10CF2" w:rsidP="00F2205B">
      <w:pPr>
        <w:spacing w:after="0" w:line="240" w:lineRule="auto"/>
        <w:jc w:val="both"/>
        <w:rPr>
          <w:rFonts w:ascii="Calibri" w:hAnsi="Calibri" w:cs="Calibri"/>
          <w:sz w:val="22"/>
          <w:lang w:val="en-US"/>
        </w:rPr>
      </w:pPr>
    </w:p>
    <w:tbl>
      <w:tblPr>
        <w:tblW w:w="14033" w:type="dxa"/>
        <w:jc w:val="center"/>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119"/>
        <w:gridCol w:w="1134"/>
        <w:gridCol w:w="1134"/>
        <w:gridCol w:w="1134"/>
        <w:gridCol w:w="1218"/>
        <w:gridCol w:w="1218"/>
        <w:gridCol w:w="1249"/>
        <w:gridCol w:w="1276"/>
        <w:gridCol w:w="1276"/>
        <w:gridCol w:w="1275"/>
      </w:tblGrid>
      <w:tr w:rsidR="001B4815" w:rsidRPr="00F2205B" w14:paraId="2CFF78FE" w14:textId="77777777" w:rsidTr="005D1028">
        <w:trPr>
          <w:trHeight w:val="288"/>
          <w:jc w:val="center"/>
        </w:trPr>
        <w:tc>
          <w:tcPr>
            <w:tcW w:w="3119" w:type="dxa"/>
            <w:shd w:val="clear" w:color="156082" w:fill="156082"/>
            <w:noWrap/>
            <w:vAlign w:val="bottom"/>
            <w:hideMark/>
          </w:tcPr>
          <w:p w14:paraId="45938C99"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Foodbank Victoria</w:t>
            </w:r>
          </w:p>
        </w:tc>
        <w:tc>
          <w:tcPr>
            <w:tcW w:w="1134" w:type="dxa"/>
            <w:shd w:val="clear" w:color="156082" w:fill="156082"/>
            <w:noWrap/>
            <w:vAlign w:val="bottom"/>
            <w:hideMark/>
          </w:tcPr>
          <w:p w14:paraId="4885981B"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2016</w:t>
            </w:r>
          </w:p>
        </w:tc>
        <w:tc>
          <w:tcPr>
            <w:tcW w:w="1134" w:type="dxa"/>
            <w:shd w:val="clear" w:color="156082" w:fill="156082"/>
            <w:noWrap/>
            <w:vAlign w:val="bottom"/>
            <w:hideMark/>
          </w:tcPr>
          <w:p w14:paraId="48292B6F"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2017</w:t>
            </w:r>
          </w:p>
        </w:tc>
        <w:tc>
          <w:tcPr>
            <w:tcW w:w="1134" w:type="dxa"/>
            <w:shd w:val="clear" w:color="156082" w:fill="156082"/>
            <w:noWrap/>
            <w:vAlign w:val="bottom"/>
            <w:hideMark/>
          </w:tcPr>
          <w:p w14:paraId="6E74232E"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2018</w:t>
            </w:r>
          </w:p>
        </w:tc>
        <w:tc>
          <w:tcPr>
            <w:tcW w:w="1218" w:type="dxa"/>
            <w:shd w:val="clear" w:color="156082" w:fill="156082"/>
            <w:noWrap/>
            <w:vAlign w:val="bottom"/>
            <w:hideMark/>
          </w:tcPr>
          <w:p w14:paraId="78767E17"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2019</w:t>
            </w:r>
          </w:p>
        </w:tc>
        <w:tc>
          <w:tcPr>
            <w:tcW w:w="1218" w:type="dxa"/>
            <w:shd w:val="clear" w:color="156082" w:fill="156082"/>
            <w:noWrap/>
            <w:vAlign w:val="bottom"/>
            <w:hideMark/>
          </w:tcPr>
          <w:p w14:paraId="74D02539"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2020</w:t>
            </w:r>
          </w:p>
        </w:tc>
        <w:tc>
          <w:tcPr>
            <w:tcW w:w="1249" w:type="dxa"/>
            <w:shd w:val="clear" w:color="156082" w:fill="156082"/>
            <w:noWrap/>
            <w:vAlign w:val="bottom"/>
            <w:hideMark/>
          </w:tcPr>
          <w:p w14:paraId="7030F90F"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2021</w:t>
            </w:r>
          </w:p>
        </w:tc>
        <w:tc>
          <w:tcPr>
            <w:tcW w:w="1276" w:type="dxa"/>
            <w:shd w:val="clear" w:color="156082" w:fill="156082"/>
            <w:noWrap/>
            <w:vAlign w:val="bottom"/>
            <w:hideMark/>
          </w:tcPr>
          <w:p w14:paraId="21CFB04F"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2022</w:t>
            </w:r>
          </w:p>
        </w:tc>
        <w:tc>
          <w:tcPr>
            <w:tcW w:w="1276" w:type="dxa"/>
            <w:shd w:val="clear" w:color="156082" w:fill="156082"/>
            <w:noWrap/>
            <w:vAlign w:val="bottom"/>
            <w:hideMark/>
          </w:tcPr>
          <w:p w14:paraId="37AB83EB"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2023</w:t>
            </w:r>
          </w:p>
        </w:tc>
        <w:tc>
          <w:tcPr>
            <w:tcW w:w="1275" w:type="dxa"/>
            <w:shd w:val="clear" w:color="156082" w:fill="156082"/>
            <w:noWrap/>
            <w:vAlign w:val="bottom"/>
            <w:hideMark/>
          </w:tcPr>
          <w:p w14:paraId="49F09135" w14:textId="77777777" w:rsidR="001B4815" w:rsidRPr="00F2205B" w:rsidRDefault="001B4815"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2024</w:t>
            </w:r>
          </w:p>
        </w:tc>
      </w:tr>
      <w:tr w:rsidR="001B4815" w:rsidRPr="00F2205B" w14:paraId="07110640" w14:textId="77777777" w:rsidTr="005D1028">
        <w:trPr>
          <w:trHeight w:val="288"/>
          <w:jc w:val="center"/>
        </w:trPr>
        <w:tc>
          <w:tcPr>
            <w:tcW w:w="3119" w:type="dxa"/>
            <w:noWrap/>
            <w:vAlign w:val="bottom"/>
            <w:hideMark/>
          </w:tcPr>
          <w:p w14:paraId="5FD180D6" w14:textId="77777777"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Government grants - excl school breakfast program ($)</w:t>
            </w:r>
          </w:p>
        </w:tc>
        <w:tc>
          <w:tcPr>
            <w:tcW w:w="1134" w:type="dxa"/>
            <w:noWrap/>
            <w:vAlign w:val="bottom"/>
            <w:hideMark/>
          </w:tcPr>
          <w:p w14:paraId="0348866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2,293,056 </w:t>
            </w:r>
          </w:p>
        </w:tc>
        <w:tc>
          <w:tcPr>
            <w:tcW w:w="1134" w:type="dxa"/>
            <w:noWrap/>
            <w:vAlign w:val="bottom"/>
            <w:hideMark/>
          </w:tcPr>
          <w:p w14:paraId="1059168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2,119,632 </w:t>
            </w:r>
          </w:p>
        </w:tc>
        <w:tc>
          <w:tcPr>
            <w:tcW w:w="1134" w:type="dxa"/>
            <w:noWrap/>
            <w:vAlign w:val="bottom"/>
            <w:hideMark/>
          </w:tcPr>
          <w:p w14:paraId="44C11AB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2,430,266 </w:t>
            </w:r>
          </w:p>
        </w:tc>
        <w:tc>
          <w:tcPr>
            <w:tcW w:w="1218" w:type="dxa"/>
            <w:noWrap/>
            <w:vAlign w:val="bottom"/>
            <w:hideMark/>
          </w:tcPr>
          <w:p w14:paraId="3F2AFD1B"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2,902,178 </w:t>
            </w:r>
          </w:p>
        </w:tc>
        <w:tc>
          <w:tcPr>
            <w:tcW w:w="1218" w:type="dxa"/>
            <w:noWrap/>
            <w:vAlign w:val="bottom"/>
            <w:hideMark/>
          </w:tcPr>
          <w:p w14:paraId="6F3CBCBD"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5,865,036 </w:t>
            </w:r>
          </w:p>
        </w:tc>
        <w:tc>
          <w:tcPr>
            <w:tcW w:w="1249" w:type="dxa"/>
            <w:noWrap/>
            <w:vAlign w:val="bottom"/>
            <w:hideMark/>
          </w:tcPr>
          <w:p w14:paraId="082186E4"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6,462,296 </w:t>
            </w:r>
          </w:p>
        </w:tc>
        <w:tc>
          <w:tcPr>
            <w:tcW w:w="1276" w:type="dxa"/>
            <w:noWrap/>
            <w:vAlign w:val="bottom"/>
            <w:hideMark/>
          </w:tcPr>
          <w:p w14:paraId="09407F6B"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6,995,156 </w:t>
            </w:r>
          </w:p>
        </w:tc>
        <w:tc>
          <w:tcPr>
            <w:tcW w:w="1276" w:type="dxa"/>
            <w:noWrap/>
            <w:vAlign w:val="bottom"/>
            <w:hideMark/>
          </w:tcPr>
          <w:p w14:paraId="0A64F44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4,223,065 </w:t>
            </w:r>
          </w:p>
        </w:tc>
        <w:tc>
          <w:tcPr>
            <w:tcW w:w="1275" w:type="dxa"/>
            <w:noWrap/>
            <w:vAlign w:val="bottom"/>
            <w:hideMark/>
          </w:tcPr>
          <w:p w14:paraId="5DFB26EC"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3,574,911 </w:t>
            </w:r>
          </w:p>
        </w:tc>
      </w:tr>
      <w:tr w:rsidR="001B4815" w:rsidRPr="00F2205B" w14:paraId="6E017673" w14:textId="77777777" w:rsidTr="005D1028">
        <w:trPr>
          <w:trHeight w:val="288"/>
          <w:jc w:val="center"/>
        </w:trPr>
        <w:tc>
          <w:tcPr>
            <w:tcW w:w="3119" w:type="dxa"/>
            <w:noWrap/>
            <w:vAlign w:val="bottom"/>
            <w:hideMark/>
          </w:tcPr>
          <w:p w14:paraId="332988E9" w14:textId="77777777"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Government grants - school breakfast program ($)</w:t>
            </w:r>
          </w:p>
        </w:tc>
        <w:tc>
          <w:tcPr>
            <w:tcW w:w="1134" w:type="dxa"/>
            <w:noWrap/>
            <w:vAlign w:val="bottom"/>
            <w:hideMark/>
          </w:tcPr>
          <w:p w14:paraId="5B762D4E"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1,518,000 </w:t>
            </w:r>
          </w:p>
        </w:tc>
        <w:tc>
          <w:tcPr>
            <w:tcW w:w="1134" w:type="dxa"/>
            <w:noWrap/>
            <w:vAlign w:val="bottom"/>
            <w:hideMark/>
          </w:tcPr>
          <w:p w14:paraId="5FB5014B"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3,195,000 </w:t>
            </w:r>
          </w:p>
        </w:tc>
        <w:tc>
          <w:tcPr>
            <w:tcW w:w="1134" w:type="dxa"/>
            <w:noWrap/>
            <w:vAlign w:val="bottom"/>
            <w:hideMark/>
          </w:tcPr>
          <w:p w14:paraId="3DFF9308"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2,990,000 </w:t>
            </w:r>
          </w:p>
        </w:tc>
        <w:tc>
          <w:tcPr>
            <w:tcW w:w="1218" w:type="dxa"/>
            <w:noWrap/>
            <w:vAlign w:val="bottom"/>
            <w:hideMark/>
          </w:tcPr>
          <w:p w14:paraId="10B86C4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4,382,669 </w:t>
            </w:r>
          </w:p>
        </w:tc>
        <w:tc>
          <w:tcPr>
            <w:tcW w:w="1218" w:type="dxa"/>
            <w:noWrap/>
            <w:vAlign w:val="bottom"/>
            <w:hideMark/>
          </w:tcPr>
          <w:p w14:paraId="0E1DC4FF"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8,918,579 </w:t>
            </w:r>
          </w:p>
        </w:tc>
        <w:tc>
          <w:tcPr>
            <w:tcW w:w="1249" w:type="dxa"/>
            <w:noWrap/>
            <w:vAlign w:val="bottom"/>
            <w:hideMark/>
          </w:tcPr>
          <w:p w14:paraId="271B13C6"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9,652,783 </w:t>
            </w:r>
          </w:p>
        </w:tc>
        <w:tc>
          <w:tcPr>
            <w:tcW w:w="1276" w:type="dxa"/>
            <w:noWrap/>
            <w:vAlign w:val="bottom"/>
            <w:hideMark/>
          </w:tcPr>
          <w:p w14:paraId="54D2620E"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10,955,579 </w:t>
            </w:r>
          </w:p>
        </w:tc>
        <w:tc>
          <w:tcPr>
            <w:tcW w:w="1276" w:type="dxa"/>
            <w:noWrap/>
            <w:vAlign w:val="bottom"/>
            <w:hideMark/>
          </w:tcPr>
          <w:p w14:paraId="260885BC"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18,073,752 </w:t>
            </w:r>
          </w:p>
        </w:tc>
        <w:tc>
          <w:tcPr>
            <w:tcW w:w="1275" w:type="dxa"/>
            <w:noWrap/>
            <w:vAlign w:val="bottom"/>
            <w:hideMark/>
          </w:tcPr>
          <w:p w14:paraId="2FFF3E30"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19,047,461 </w:t>
            </w:r>
          </w:p>
        </w:tc>
      </w:tr>
      <w:tr w:rsidR="001B4815" w:rsidRPr="00F2205B" w14:paraId="5E5333C4" w14:textId="77777777" w:rsidTr="005D1028">
        <w:trPr>
          <w:trHeight w:val="288"/>
          <w:jc w:val="center"/>
        </w:trPr>
        <w:tc>
          <w:tcPr>
            <w:tcW w:w="3119" w:type="dxa"/>
            <w:noWrap/>
            <w:vAlign w:val="bottom"/>
            <w:hideMark/>
          </w:tcPr>
          <w:p w14:paraId="492A10C3" w14:textId="7DC77010"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 xml:space="preserve">Revenue from </w:t>
            </w:r>
            <w:r w:rsidR="0028589A">
              <w:rPr>
                <w:rFonts w:ascii="Calibri" w:hAnsi="Calibri" w:cs="Calibri"/>
                <w:sz w:val="22"/>
                <w:lang w:eastAsia="en-AU"/>
              </w:rPr>
              <w:t>h</w:t>
            </w:r>
            <w:r w:rsidRPr="00F2205B">
              <w:rPr>
                <w:rFonts w:ascii="Calibri" w:hAnsi="Calibri" w:cs="Calibri"/>
                <w:sz w:val="22"/>
                <w:lang w:eastAsia="en-AU"/>
              </w:rPr>
              <w:t>andling fees ($)</w:t>
            </w:r>
          </w:p>
        </w:tc>
        <w:tc>
          <w:tcPr>
            <w:tcW w:w="1134" w:type="dxa"/>
            <w:noWrap/>
            <w:vAlign w:val="bottom"/>
            <w:hideMark/>
          </w:tcPr>
          <w:p w14:paraId="6DD1F3C3"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1,219,946 </w:t>
            </w:r>
          </w:p>
        </w:tc>
        <w:tc>
          <w:tcPr>
            <w:tcW w:w="1134" w:type="dxa"/>
            <w:noWrap/>
            <w:vAlign w:val="bottom"/>
            <w:hideMark/>
          </w:tcPr>
          <w:p w14:paraId="2A816166"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1,227,281 </w:t>
            </w:r>
          </w:p>
        </w:tc>
        <w:tc>
          <w:tcPr>
            <w:tcW w:w="1134" w:type="dxa"/>
            <w:noWrap/>
            <w:vAlign w:val="bottom"/>
            <w:hideMark/>
          </w:tcPr>
          <w:p w14:paraId="40824CB6"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1,513,934 </w:t>
            </w:r>
          </w:p>
        </w:tc>
        <w:tc>
          <w:tcPr>
            <w:tcW w:w="1218" w:type="dxa"/>
            <w:noWrap/>
            <w:vAlign w:val="bottom"/>
            <w:hideMark/>
          </w:tcPr>
          <w:p w14:paraId="61C5C6F8"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1,429,019 </w:t>
            </w:r>
          </w:p>
        </w:tc>
        <w:tc>
          <w:tcPr>
            <w:tcW w:w="1218" w:type="dxa"/>
            <w:noWrap/>
            <w:vAlign w:val="bottom"/>
            <w:hideMark/>
          </w:tcPr>
          <w:p w14:paraId="7B6F04A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1,506,884 </w:t>
            </w:r>
          </w:p>
        </w:tc>
        <w:tc>
          <w:tcPr>
            <w:tcW w:w="1249" w:type="dxa"/>
            <w:noWrap/>
            <w:vAlign w:val="bottom"/>
            <w:hideMark/>
          </w:tcPr>
          <w:p w14:paraId="6D12CF2A"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1,802,868 </w:t>
            </w:r>
          </w:p>
        </w:tc>
        <w:tc>
          <w:tcPr>
            <w:tcW w:w="1276" w:type="dxa"/>
            <w:noWrap/>
            <w:vAlign w:val="bottom"/>
            <w:hideMark/>
          </w:tcPr>
          <w:p w14:paraId="05A25D32"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1,366,164 </w:t>
            </w:r>
          </w:p>
        </w:tc>
        <w:tc>
          <w:tcPr>
            <w:tcW w:w="1276" w:type="dxa"/>
            <w:noWrap/>
            <w:vAlign w:val="bottom"/>
            <w:hideMark/>
          </w:tcPr>
          <w:p w14:paraId="40DE000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2,598,865 </w:t>
            </w:r>
          </w:p>
        </w:tc>
        <w:tc>
          <w:tcPr>
            <w:tcW w:w="1275" w:type="dxa"/>
            <w:noWrap/>
            <w:vAlign w:val="bottom"/>
            <w:hideMark/>
          </w:tcPr>
          <w:p w14:paraId="1FB42DF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2,645,379 </w:t>
            </w:r>
          </w:p>
        </w:tc>
      </w:tr>
      <w:tr w:rsidR="001B4815" w:rsidRPr="00F2205B" w14:paraId="481792D2" w14:textId="77777777" w:rsidTr="005D1028">
        <w:trPr>
          <w:trHeight w:val="288"/>
          <w:jc w:val="center"/>
        </w:trPr>
        <w:tc>
          <w:tcPr>
            <w:tcW w:w="3119" w:type="dxa"/>
            <w:noWrap/>
            <w:vAlign w:val="bottom"/>
            <w:hideMark/>
          </w:tcPr>
          <w:p w14:paraId="38F5CF67" w14:textId="48F65EDB"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 xml:space="preserve">Donations, </w:t>
            </w:r>
            <w:r w:rsidR="0028589A">
              <w:rPr>
                <w:rFonts w:ascii="Calibri" w:hAnsi="Calibri" w:cs="Calibri"/>
                <w:sz w:val="22"/>
                <w:lang w:eastAsia="en-AU"/>
              </w:rPr>
              <w:t>c</w:t>
            </w:r>
            <w:r w:rsidRPr="00F2205B">
              <w:rPr>
                <w:rFonts w:ascii="Calibri" w:hAnsi="Calibri" w:cs="Calibri"/>
                <w:sz w:val="22"/>
                <w:lang w:eastAsia="en-AU"/>
              </w:rPr>
              <w:t>haritable income and fundraising ($)</w:t>
            </w:r>
          </w:p>
        </w:tc>
        <w:tc>
          <w:tcPr>
            <w:tcW w:w="1134" w:type="dxa"/>
            <w:noWrap/>
            <w:vAlign w:val="bottom"/>
            <w:hideMark/>
          </w:tcPr>
          <w:p w14:paraId="49227D28"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555,970 </w:t>
            </w:r>
          </w:p>
        </w:tc>
        <w:tc>
          <w:tcPr>
            <w:tcW w:w="1134" w:type="dxa"/>
            <w:noWrap/>
            <w:vAlign w:val="bottom"/>
            <w:hideMark/>
          </w:tcPr>
          <w:p w14:paraId="4B28401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652,240 </w:t>
            </w:r>
          </w:p>
        </w:tc>
        <w:tc>
          <w:tcPr>
            <w:tcW w:w="1134" w:type="dxa"/>
            <w:noWrap/>
            <w:vAlign w:val="bottom"/>
            <w:hideMark/>
          </w:tcPr>
          <w:p w14:paraId="622FCD6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1,218,910 </w:t>
            </w:r>
          </w:p>
        </w:tc>
        <w:tc>
          <w:tcPr>
            <w:tcW w:w="1218" w:type="dxa"/>
            <w:noWrap/>
            <w:vAlign w:val="bottom"/>
            <w:hideMark/>
          </w:tcPr>
          <w:p w14:paraId="5EE6FB52"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1,700,767 </w:t>
            </w:r>
          </w:p>
        </w:tc>
        <w:tc>
          <w:tcPr>
            <w:tcW w:w="1218" w:type="dxa"/>
            <w:noWrap/>
            <w:vAlign w:val="bottom"/>
            <w:hideMark/>
          </w:tcPr>
          <w:p w14:paraId="5E446702"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5,743,040 </w:t>
            </w:r>
          </w:p>
        </w:tc>
        <w:tc>
          <w:tcPr>
            <w:tcW w:w="1249" w:type="dxa"/>
            <w:noWrap/>
            <w:vAlign w:val="bottom"/>
            <w:hideMark/>
          </w:tcPr>
          <w:p w14:paraId="013098FD"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7,828,127 </w:t>
            </w:r>
          </w:p>
        </w:tc>
        <w:tc>
          <w:tcPr>
            <w:tcW w:w="1276" w:type="dxa"/>
            <w:noWrap/>
            <w:vAlign w:val="bottom"/>
            <w:hideMark/>
          </w:tcPr>
          <w:p w14:paraId="4069CC8B"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9,397,776 </w:t>
            </w:r>
          </w:p>
        </w:tc>
        <w:tc>
          <w:tcPr>
            <w:tcW w:w="1276" w:type="dxa"/>
            <w:noWrap/>
            <w:vAlign w:val="bottom"/>
            <w:hideMark/>
          </w:tcPr>
          <w:p w14:paraId="35D8D7E6"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10,058,221 </w:t>
            </w:r>
          </w:p>
        </w:tc>
        <w:tc>
          <w:tcPr>
            <w:tcW w:w="1275" w:type="dxa"/>
            <w:noWrap/>
            <w:vAlign w:val="bottom"/>
            <w:hideMark/>
          </w:tcPr>
          <w:p w14:paraId="5ADF6AF8"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10,465,436 </w:t>
            </w:r>
          </w:p>
        </w:tc>
      </w:tr>
      <w:tr w:rsidR="001B4815" w:rsidRPr="00F2205B" w14:paraId="6B936A14" w14:textId="77777777" w:rsidTr="005D1028">
        <w:trPr>
          <w:trHeight w:val="288"/>
          <w:jc w:val="center"/>
        </w:trPr>
        <w:tc>
          <w:tcPr>
            <w:tcW w:w="3119" w:type="dxa"/>
            <w:noWrap/>
            <w:vAlign w:val="bottom"/>
            <w:hideMark/>
          </w:tcPr>
          <w:p w14:paraId="4B685D40" w14:textId="77777777"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Other grants - assets and program development ($)</w:t>
            </w:r>
          </w:p>
        </w:tc>
        <w:tc>
          <w:tcPr>
            <w:tcW w:w="1134" w:type="dxa"/>
            <w:noWrap/>
            <w:vAlign w:val="bottom"/>
            <w:hideMark/>
          </w:tcPr>
          <w:p w14:paraId="7DCE4DB7"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232,000 </w:t>
            </w:r>
          </w:p>
        </w:tc>
        <w:tc>
          <w:tcPr>
            <w:tcW w:w="1134" w:type="dxa"/>
            <w:noWrap/>
            <w:vAlign w:val="bottom"/>
            <w:hideMark/>
          </w:tcPr>
          <w:p w14:paraId="6E887424"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157,634 </w:t>
            </w:r>
          </w:p>
        </w:tc>
        <w:tc>
          <w:tcPr>
            <w:tcW w:w="1134" w:type="dxa"/>
            <w:noWrap/>
            <w:vAlign w:val="bottom"/>
            <w:hideMark/>
          </w:tcPr>
          <w:p w14:paraId="03DC834A"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158,938 </w:t>
            </w:r>
          </w:p>
        </w:tc>
        <w:tc>
          <w:tcPr>
            <w:tcW w:w="1218" w:type="dxa"/>
            <w:noWrap/>
            <w:vAlign w:val="bottom"/>
            <w:hideMark/>
          </w:tcPr>
          <w:p w14:paraId="3DA56B40"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182,336 </w:t>
            </w:r>
          </w:p>
        </w:tc>
        <w:tc>
          <w:tcPr>
            <w:tcW w:w="1218" w:type="dxa"/>
            <w:noWrap/>
            <w:vAlign w:val="bottom"/>
            <w:hideMark/>
          </w:tcPr>
          <w:p w14:paraId="0E104707"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2,236,363 </w:t>
            </w:r>
          </w:p>
        </w:tc>
        <w:tc>
          <w:tcPr>
            <w:tcW w:w="1249" w:type="dxa"/>
            <w:noWrap/>
            <w:vAlign w:val="bottom"/>
            <w:hideMark/>
          </w:tcPr>
          <w:p w14:paraId="218183AE"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1,339,421 </w:t>
            </w:r>
          </w:p>
        </w:tc>
        <w:tc>
          <w:tcPr>
            <w:tcW w:w="1276" w:type="dxa"/>
            <w:noWrap/>
            <w:vAlign w:val="bottom"/>
            <w:hideMark/>
          </w:tcPr>
          <w:p w14:paraId="00A55D2B"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6,031,814 </w:t>
            </w:r>
          </w:p>
        </w:tc>
        <w:tc>
          <w:tcPr>
            <w:tcW w:w="1276" w:type="dxa"/>
            <w:noWrap/>
            <w:vAlign w:val="bottom"/>
            <w:hideMark/>
          </w:tcPr>
          <w:p w14:paraId="62F3DB83"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741,943 </w:t>
            </w:r>
          </w:p>
        </w:tc>
        <w:tc>
          <w:tcPr>
            <w:tcW w:w="1275" w:type="dxa"/>
            <w:noWrap/>
            <w:vAlign w:val="bottom"/>
            <w:hideMark/>
          </w:tcPr>
          <w:p w14:paraId="403926D4"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515,203 </w:t>
            </w:r>
          </w:p>
        </w:tc>
      </w:tr>
      <w:tr w:rsidR="001B4815" w:rsidRPr="00F2205B" w14:paraId="702BEBD0" w14:textId="77777777" w:rsidTr="005D1028">
        <w:trPr>
          <w:trHeight w:val="288"/>
          <w:jc w:val="center"/>
        </w:trPr>
        <w:tc>
          <w:tcPr>
            <w:tcW w:w="3119" w:type="dxa"/>
            <w:noWrap/>
            <w:vAlign w:val="bottom"/>
            <w:hideMark/>
          </w:tcPr>
          <w:p w14:paraId="11598405" w14:textId="77777777"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Other ($)</w:t>
            </w:r>
          </w:p>
        </w:tc>
        <w:tc>
          <w:tcPr>
            <w:tcW w:w="1134" w:type="dxa"/>
            <w:noWrap/>
            <w:vAlign w:val="bottom"/>
            <w:hideMark/>
          </w:tcPr>
          <w:p w14:paraId="322A65F2"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124,975 </w:t>
            </w:r>
          </w:p>
        </w:tc>
        <w:tc>
          <w:tcPr>
            <w:tcW w:w="1134" w:type="dxa"/>
            <w:noWrap/>
            <w:vAlign w:val="bottom"/>
            <w:hideMark/>
          </w:tcPr>
          <w:p w14:paraId="1F95BC40"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122,911 </w:t>
            </w:r>
          </w:p>
        </w:tc>
        <w:tc>
          <w:tcPr>
            <w:tcW w:w="1134" w:type="dxa"/>
            <w:noWrap/>
            <w:vAlign w:val="bottom"/>
            <w:hideMark/>
          </w:tcPr>
          <w:p w14:paraId="4E6393BA"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136,716 </w:t>
            </w:r>
          </w:p>
        </w:tc>
        <w:tc>
          <w:tcPr>
            <w:tcW w:w="1218" w:type="dxa"/>
            <w:noWrap/>
            <w:vAlign w:val="bottom"/>
            <w:hideMark/>
          </w:tcPr>
          <w:p w14:paraId="5D27346A"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163,987 </w:t>
            </w:r>
          </w:p>
        </w:tc>
        <w:tc>
          <w:tcPr>
            <w:tcW w:w="1218" w:type="dxa"/>
            <w:noWrap/>
            <w:vAlign w:val="bottom"/>
            <w:hideMark/>
          </w:tcPr>
          <w:p w14:paraId="4412AB4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93,622 </w:t>
            </w:r>
          </w:p>
        </w:tc>
        <w:tc>
          <w:tcPr>
            <w:tcW w:w="1249" w:type="dxa"/>
            <w:noWrap/>
            <w:vAlign w:val="bottom"/>
            <w:hideMark/>
          </w:tcPr>
          <w:p w14:paraId="1B41F520"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555,672 </w:t>
            </w:r>
          </w:p>
        </w:tc>
        <w:tc>
          <w:tcPr>
            <w:tcW w:w="1276" w:type="dxa"/>
            <w:noWrap/>
            <w:vAlign w:val="bottom"/>
            <w:hideMark/>
          </w:tcPr>
          <w:p w14:paraId="4C658BCA"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81,294 </w:t>
            </w:r>
          </w:p>
        </w:tc>
        <w:tc>
          <w:tcPr>
            <w:tcW w:w="1276" w:type="dxa"/>
            <w:noWrap/>
            <w:vAlign w:val="bottom"/>
            <w:hideMark/>
          </w:tcPr>
          <w:p w14:paraId="6EB0A2F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973,997 </w:t>
            </w:r>
          </w:p>
        </w:tc>
        <w:tc>
          <w:tcPr>
            <w:tcW w:w="1275" w:type="dxa"/>
            <w:noWrap/>
            <w:vAlign w:val="bottom"/>
            <w:hideMark/>
          </w:tcPr>
          <w:p w14:paraId="0967DA3C"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1,503,742 </w:t>
            </w:r>
          </w:p>
        </w:tc>
      </w:tr>
      <w:tr w:rsidR="001B4815" w:rsidRPr="00F2205B" w14:paraId="08C05C36" w14:textId="77777777" w:rsidTr="005D1028">
        <w:trPr>
          <w:trHeight w:val="288"/>
          <w:jc w:val="center"/>
        </w:trPr>
        <w:tc>
          <w:tcPr>
            <w:tcW w:w="3119" w:type="dxa"/>
            <w:noWrap/>
            <w:vAlign w:val="bottom"/>
            <w:hideMark/>
          </w:tcPr>
          <w:p w14:paraId="6002775B" w14:textId="77777777" w:rsidR="001B4815" w:rsidRPr="00F2205B" w:rsidRDefault="001B4815" w:rsidP="00224149">
            <w:pPr>
              <w:spacing w:after="0" w:line="240" w:lineRule="auto"/>
              <w:rPr>
                <w:rFonts w:ascii="Calibri" w:hAnsi="Calibri" w:cs="Calibri"/>
                <w:sz w:val="22"/>
                <w:lang w:eastAsia="en-AU"/>
              </w:rPr>
            </w:pPr>
            <w:r w:rsidRPr="00F2205B">
              <w:rPr>
                <w:rFonts w:ascii="Calibri" w:hAnsi="Calibri" w:cs="Calibri"/>
                <w:sz w:val="22"/>
                <w:lang w:eastAsia="en-AU"/>
              </w:rPr>
              <w:t>Total ($)</w:t>
            </w:r>
          </w:p>
        </w:tc>
        <w:tc>
          <w:tcPr>
            <w:tcW w:w="1134" w:type="dxa"/>
            <w:noWrap/>
            <w:vAlign w:val="bottom"/>
            <w:hideMark/>
          </w:tcPr>
          <w:p w14:paraId="59A9D45E"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5,943,947 </w:t>
            </w:r>
          </w:p>
        </w:tc>
        <w:tc>
          <w:tcPr>
            <w:tcW w:w="1134" w:type="dxa"/>
            <w:noWrap/>
            <w:vAlign w:val="bottom"/>
            <w:hideMark/>
          </w:tcPr>
          <w:p w14:paraId="63451315"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7,474,698 </w:t>
            </w:r>
          </w:p>
        </w:tc>
        <w:tc>
          <w:tcPr>
            <w:tcW w:w="1134" w:type="dxa"/>
            <w:noWrap/>
            <w:vAlign w:val="bottom"/>
            <w:hideMark/>
          </w:tcPr>
          <w:p w14:paraId="6BF9ECE9"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8,448,764 </w:t>
            </w:r>
          </w:p>
        </w:tc>
        <w:tc>
          <w:tcPr>
            <w:tcW w:w="1218" w:type="dxa"/>
            <w:noWrap/>
            <w:vAlign w:val="bottom"/>
            <w:hideMark/>
          </w:tcPr>
          <w:p w14:paraId="6E029024"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10,760,956 </w:t>
            </w:r>
          </w:p>
        </w:tc>
        <w:tc>
          <w:tcPr>
            <w:tcW w:w="1218" w:type="dxa"/>
            <w:noWrap/>
            <w:vAlign w:val="bottom"/>
            <w:hideMark/>
          </w:tcPr>
          <w:p w14:paraId="7360ABB0"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24,363,524 </w:t>
            </w:r>
          </w:p>
        </w:tc>
        <w:tc>
          <w:tcPr>
            <w:tcW w:w="1249" w:type="dxa"/>
            <w:noWrap/>
            <w:vAlign w:val="bottom"/>
            <w:hideMark/>
          </w:tcPr>
          <w:p w14:paraId="5EA76D75"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27,641,167 </w:t>
            </w:r>
          </w:p>
        </w:tc>
        <w:tc>
          <w:tcPr>
            <w:tcW w:w="1276" w:type="dxa"/>
            <w:noWrap/>
            <w:vAlign w:val="bottom"/>
            <w:hideMark/>
          </w:tcPr>
          <w:p w14:paraId="581EF858"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34,827,783 </w:t>
            </w:r>
          </w:p>
        </w:tc>
        <w:tc>
          <w:tcPr>
            <w:tcW w:w="1276" w:type="dxa"/>
            <w:noWrap/>
            <w:vAlign w:val="bottom"/>
            <w:hideMark/>
          </w:tcPr>
          <w:p w14:paraId="372A35D1"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36,669,843 </w:t>
            </w:r>
          </w:p>
        </w:tc>
        <w:tc>
          <w:tcPr>
            <w:tcW w:w="1275" w:type="dxa"/>
            <w:noWrap/>
            <w:vAlign w:val="bottom"/>
            <w:hideMark/>
          </w:tcPr>
          <w:p w14:paraId="695F5157" w14:textId="77777777" w:rsidR="001B4815" w:rsidRPr="00F2205B" w:rsidRDefault="001B4815" w:rsidP="00BE6EBC">
            <w:pPr>
              <w:spacing w:after="0" w:line="240" w:lineRule="auto"/>
              <w:jc w:val="right"/>
              <w:rPr>
                <w:rFonts w:ascii="Calibri" w:hAnsi="Calibri" w:cs="Calibri"/>
                <w:sz w:val="22"/>
                <w:lang w:eastAsia="en-AU"/>
              </w:rPr>
            </w:pPr>
            <w:r w:rsidRPr="00F2205B">
              <w:rPr>
                <w:rFonts w:ascii="Calibri" w:hAnsi="Calibri" w:cs="Calibri"/>
                <w:sz w:val="22"/>
                <w:lang w:eastAsia="en-AU"/>
              </w:rPr>
              <w:t xml:space="preserve">         37,752,132 </w:t>
            </w:r>
          </w:p>
        </w:tc>
      </w:tr>
    </w:tbl>
    <w:p w14:paraId="7082B5CC" w14:textId="35E0D1C9" w:rsidR="00992C64" w:rsidRPr="00363332" w:rsidRDefault="00D10CF2" w:rsidP="00363332">
      <w:pPr>
        <w:spacing w:after="0" w:line="240" w:lineRule="auto"/>
        <w:jc w:val="center"/>
        <w:rPr>
          <w:rFonts w:ascii="Calibri" w:hAnsi="Calibri" w:cs="Calibri"/>
          <w:sz w:val="20"/>
          <w:szCs w:val="20"/>
          <w:lang w:val="en-US"/>
        </w:rPr>
      </w:pPr>
      <w:r w:rsidRPr="00363332">
        <w:rPr>
          <w:rFonts w:ascii="Calibri" w:hAnsi="Calibri" w:cs="Calibri"/>
          <w:i/>
          <w:iCs/>
          <w:sz w:val="20"/>
          <w:szCs w:val="20"/>
          <w:lang w:val="en-US"/>
        </w:rPr>
        <w:t>Source</w:t>
      </w:r>
      <w:r w:rsidRPr="00363332">
        <w:rPr>
          <w:rFonts w:ascii="Calibri" w:hAnsi="Calibri" w:cs="Calibri"/>
          <w:sz w:val="20"/>
          <w:szCs w:val="20"/>
          <w:lang w:val="en-US"/>
        </w:rPr>
        <w:t xml:space="preserve">: Gathered from Foodbank Victoria </w:t>
      </w:r>
      <w:r w:rsidRPr="004B3F39">
        <w:rPr>
          <w:rFonts w:ascii="Calibri" w:hAnsi="Calibri" w:cs="Calibri"/>
          <w:i/>
          <w:iCs/>
          <w:sz w:val="20"/>
          <w:szCs w:val="20"/>
          <w:lang w:val="en-US"/>
        </w:rPr>
        <w:t>Annual Reports</w:t>
      </w:r>
      <w:r w:rsidRPr="00363332">
        <w:rPr>
          <w:rFonts w:ascii="Calibri" w:hAnsi="Calibri" w:cs="Calibri"/>
          <w:sz w:val="20"/>
          <w:szCs w:val="20"/>
          <w:lang w:val="en-US"/>
        </w:rPr>
        <w:t xml:space="preserve"> 2017-2024</w:t>
      </w:r>
    </w:p>
    <w:p w14:paraId="20A6093D" w14:textId="77777777" w:rsidR="00EE0FF1" w:rsidRPr="00F2205B" w:rsidRDefault="00EE0FF1" w:rsidP="00F2205B">
      <w:pPr>
        <w:spacing w:after="0" w:line="240" w:lineRule="auto"/>
        <w:jc w:val="both"/>
        <w:rPr>
          <w:rFonts w:ascii="Calibri" w:hAnsi="Calibri" w:cs="Calibri"/>
          <w:b/>
          <w:bCs/>
          <w:sz w:val="22"/>
          <w:lang w:val="en-US"/>
        </w:rPr>
      </w:pPr>
    </w:p>
    <w:p w14:paraId="28707D79" w14:textId="6D1B6C4A" w:rsidR="000E2262" w:rsidRDefault="00E071FD" w:rsidP="00363332">
      <w:pPr>
        <w:spacing w:after="0" w:line="240" w:lineRule="auto"/>
        <w:jc w:val="center"/>
        <w:rPr>
          <w:rFonts w:ascii="Calibri" w:hAnsi="Calibri" w:cs="Calibri"/>
          <w:b/>
          <w:bCs/>
          <w:sz w:val="22"/>
          <w:lang w:val="en-US"/>
        </w:rPr>
      </w:pPr>
      <w:r w:rsidRPr="00363332">
        <w:rPr>
          <w:rFonts w:ascii="Calibri" w:hAnsi="Calibri" w:cs="Calibri"/>
          <w:b/>
          <w:bCs/>
          <w:sz w:val="22"/>
          <w:lang w:val="en-US"/>
        </w:rPr>
        <w:t xml:space="preserve">Table </w:t>
      </w:r>
      <w:r w:rsidR="00612666" w:rsidRPr="00363332">
        <w:rPr>
          <w:rFonts w:ascii="Calibri" w:hAnsi="Calibri" w:cs="Calibri"/>
          <w:b/>
          <w:bCs/>
          <w:sz w:val="22"/>
          <w:lang w:val="en-US"/>
        </w:rPr>
        <w:t>3</w:t>
      </w:r>
      <w:r w:rsidR="00363332">
        <w:rPr>
          <w:rFonts w:ascii="Calibri" w:hAnsi="Calibri" w:cs="Calibri"/>
          <w:b/>
          <w:bCs/>
          <w:sz w:val="22"/>
          <w:lang w:val="en-US"/>
        </w:rPr>
        <w:t>.</w:t>
      </w:r>
      <w:r w:rsidRPr="00363332">
        <w:rPr>
          <w:rFonts w:ascii="Calibri" w:hAnsi="Calibri" w:cs="Calibri"/>
          <w:b/>
          <w:bCs/>
          <w:sz w:val="22"/>
          <w:lang w:val="en-US"/>
        </w:rPr>
        <w:t xml:space="preserve"> Percentage of Foodbank Victoria </w:t>
      </w:r>
      <w:r w:rsidR="000E2262">
        <w:rPr>
          <w:rFonts w:ascii="Calibri" w:hAnsi="Calibri" w:cs="Calibri"/>
          <w:b/>
          <w:bCs/>
          <w:sz w:val="22"/>
          <w:lang w:val="en-US"/>
        </w:rPr>
        <w:t>r</w:t>
      </w:r>
      <w:r w:rsidRPr="00363332">
        <w:rPr>
          <w:rFonts w:ascii="Calibri" w:hAnsi="Calibri" w:cs="Calibri"/>
          <w:b/>
          <w:bCs/>
          <w:sz w:val="22"/>
          <w:lang w:val="en-US"/>
        </w:rPr>
        <w:t xml:space="preserve">evenue </w:t>
      </w:r>
      <w:r w:rsidR="00382B24" w:rsidRPr="00363332">
        <w:rPr>
          <w:rFonts w:ascii="Calibri" w:hAnsi="Calibri" w:cs="Calibri"/>
          <w:b/>
          <w:bCs/>
          <w:sz w:val="22"/>
          <w:lang w:val="en-US"/>
        </w:rPr>
        <w:t>provided by the various government grants</w:t>
      </w:r>
      <w:r w:rsidR="00B06F5E">
        <w:rPr>
          <w:rFonts w:ascii="Calibri" w:hAnsi="Calibri" w:cs="Calibri"/>
          <w:b/>
          <w:bCs/>
          <w:sz w:val="22"/>
          <w:lang w:val="en-US"/>
        </w:rPr>
        <w:t>, 2017-2024</w:t>
      </w:r>
      <w:r w:rsidR="00382B24" w:rsidRPr="00363332">
        <w:rPr>
          <w:rFonts w:ascii="Calibri" w:hAnsi="Calibri" w:cs="Calibri"/>
          <w:b/>
          <w:bCs/>
          <w:sz w:val="22"/>
          <w:lang w:val="en-US"/>
        </w:rPr>
        <w:t xml:space="preserve"> </w:t>
      </w:r>
    </w:p>
    <w:p w14:paraId="0E1C83BE" w14:textId="399701BD" w:rsidR="00E071FD" w:rsidRPr="00363332" w:rsidRDefault="000E2262" w:rsidP="00363332">
      <w:pPr>
        <w:spacing w:after="0" w:line="240" w:lineRule="auto"/>
        <w:jc w:val="center"/>
        <w:rPr>
          <w:rFonts w:ascii="Calibri" w:hAnsi="Calibri" w:cs="Calibri"/>
          <w:b/>
          <w:bCs/>
          <w:sz w:val="22"/>
          <w:lang w:val="en-US"/>
        </w:rPr>
      </w:pPr>
      <w:r>
        <w:rPr>
          <w:rFonts w:ascii="Calibri" w:hAnsi="Calibri" w:cs="Calibri"/>
          <w:b/>
          <w:bCs/>
          <w:sz w:val="22"/>
          <w:lang w:val="en-US"/>
        </w:rPr>
        <w:t>(</w:t>
      </w:r>
      <w:r w:rsidR="006E1BAC" w:rsidRPr="00363332">
        <w:rPr>
          <w:rFonts w:ascii="Calibri" w:hAnsi="Calibri" w:cs="Calibri"/>
          <w:b/>
          <w:bCs/>
          <w:sz w:val="22"/>
          <w:lang w:val="en-US"/>
        </w:rPr>
        <w:t xml:space="preserve">EXSB – Excluding </w:t>
      </w:r>
      <w:r w:rsidR="0028589A">
        <w:rPr>
          <w:rFonts w:ascii="Calibri" w:hAnsi="Calibri" w:cs="Calibri"/>
          <w:b/>
          <w:bCs/>
          <w:sz w:val="22"/>
          <w:lang w:val="en-US"/>
        </w:rPr>
        <w:t>s</w:t>
      </w:r>
      <w:r w:rsidR="006E1BAC" w:rsidRPr="00363332">
        <w:rPr>
          <w:rFonts w:ascii="Calibri" w:hAnsi="Calibri" w:cs="Calibri"/>
          <w:b/>
          <w:bCs/>
          <w:sz w:val="22"/>
          <w:lang w:val="en-US"/>
        </w:rPr>
        <w:t xml:space="preserve">chool </w:t>
      </w:r>
      <w:r w:rsidR="0028589A">
        <w:rPr>
          <w:rFonts w:ascii="Calibri" w:hAnsi="Calibri" w:cs="Calibri"/>
          <w:b/>
          <w:bCs/>
          <w:sz w:val="22"/>
          <w:lang w:val="en-US"/>
        </w:rPr>
        <w:t>b</w:t>
      </w:r>
      <w:r w:rsidR="006E1BAC" w:rsidRPr="00363332">
        <w:rPr>
          <w:rFonts w:ascii="Calibri" w:hAnsi="Calibri" w:cs="Calibri"/>
          <w:b/>
          <w:bCs/>
          <w:sz w:val="22"/>
          <w:lang w:val="en-US"/>
        </w:rPr>
        <w:t xml:space="preserve">reakfast </w:t>
      </w:r>
      <w:r w:rsidR="0028589A">
        <w:rPr>
          <w:rFonts w:ascii="Calibri" w:hAnsi="Calibri" w:cs="Calibri"/>
          <w:b/>
          <w:bCs/>
          <w:sz w:val="22"/>
          <w:lang w:val="en-US"/>
        </w:rPr>
        <w:t>p</w:t>
      </w:r>
      <w:r w:rsidR="006E1BAC" w:rsidRPr="00363332">
        <w:rPr>
          <w:rFonts w:ascii="Calibri" w:hAnsi="Calibri" w:cs="Calibri"/>
          <w:b/>
          <w:bCs/>
          <w:sz w:val="22"/>
          <w:lang w:val="en-US"/>
        </w:rPr>
        <w:t>rogram</w:t>
      </w:r>
      <w:r>
        <w:rPr>
          <w:rFonts w:ascii="Calibri" w:hAnsi="Calibri" w:cs="Calibri"/>
          <w:b/>
          <w:bCs/>
          <w:sz w:val="22"/>
          <w:lang w:val="en-US"/>
        </w:rPr>
        <w:t>;</w:t>
      </w:r>
      <w:r w:rsidR="006E1BAC" w:rsidRPr="00363332">
        <w:rPr>
          <w:rFonts w:ascii="Calibri" w:hAnsi="Calibri" w:cs="Calibri"/>
          <w:b/>
          <w:bCs/>
          <w:sz w:val="22"/>
          <w:lang w:val="en-US"/>
        </w:rPr>
        <w:t xml:space="preserve"> INSB – Including school breakfast program</w:t>
      </w:r>
      <w:r>
        <w:rPr>
          <w:rFonts w:ascii="Calibri" w:hAnsi="Calibri" w:cs="Calibri"/>
          <w:b/>
          <w:bCs/>
          <w:sz w:val="22"/>
          <w:lang w:val="en-US"/>
        </w:rPr>
        <w:t>)</w:t>
      </w:r>
    </w:p>
    <w:p w14:paraId="1E062F96" w14:textId="77777777" w:rsidR="00D10CF2" w:rsidRPr="00F2205B" w:rsidRDefault="00D10CF2" w:rsidP="00F2205B">
      <w:pPr>
        <w:spacing w:after="0" w:line="240" w:lineRule="auto"/>
        <w:jc w:val="both"/>
        <w:rPr>
          <w:rFonts w:ascii="Calibri" w:hAnsi="Calibri" w:cs="Calibri"/>
          <w:sz w:val="22"/>
          <w:lang w:val="en-US"/>
        </w:rPr>
      </w:pPr>
    </w:p>
    <w:tbl>
      <w:tblPr>
        <w:tblW w:w="13687" w:type="dxa"/>
        <w:jc w:val="center"/>
        <w:tblBorders>
          <w:top w:val="single" w:sz="4" w:space="0" w:color="156082"/>
          <w:left w:val="single" w:sz="4" w:space="0" w:color="156082"/>
          <w:bottom w:val="single" w:sz="4" w:space="0" w:color="156082"/>
          <w:right w:val="single" w:sz="4" w:space="0" w:color="156082"/>
          <w:insideV w:val="single" w:sz="4" w:space="0" w:color="156082"/>
        </w:tblBorders>
        <w:tblLayout w:type="fixed"/>
        <w:tblLook w:val="04A0" w:firstRow="1" w:lastRow="0" w:firstColumn="1" w:lastColumn="0" w:noHBand="0" w:noVBand="1"/>
      </w:tblPr>
      <w:tblGrid>
        <w:gridCol w:w="5524"/>
        <w:gridCol w:w="907"/>
        <w:gridCol w:w="907"/>
        <w:gridCol w:w="907"/>
        <w:gridCol w:w="907"/>
        <w:gridCol w:w="907"/>
        <w:gridCol w:w="907"/>
        <w:gridCol w:w="907"/>
        <w:gridCol w:w="907"/>
        <w:gridCol w:w="907"/>
      </w:tblGrid>
      <w:tr w:rsidR="006E1BAC" w:rsidRPr="00F2205B" w14:paraId="32DA72A7" w14:textId="77777777" w:rsidTr="00224149">
        <w:trPr>
          <w:trHeight w:val="356"/>
          <w:jc w:val="center"/>
        </w:trPr>
        <w:tc>
          <w:tcPr>
            <w:tcW w:w="5524" w:type="dxa"/>
            <w:tcBorders>
              <w:bottom w:val="nil"/>
            </w:tcBorders>
            <w:shd w:val="clear" w:color="156082" w:fill="156082"/>
            <w:noWrap/>
            <w:vAlign w:val="bottom"/>
            <w:hideMark/>
          </w:tcPr>
          <w:p w14:paraId="682C1A95"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Foodbank Victoria</w:t>
            </w:r>
          </w:p>
        </w:tc>
        <w:tc>
          <w:tcPr>
            <w:tcW w:w="907" w:type="dxa"/>
            <w:tcBorders>
              <w:bottom w:val="nil"/>
            </w:tcBorders>
            <w:shd w:val="clear" w:color="156082" w:fill="156082"/>
            <w:noWrap/>
            <w:vAlign w:val="bottom"/>
            <w:hideMark/>
          </w:tcPr>
          <w:p w14:paraId="7F04A236"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2016</w:t>
            </w:r>
          </w:p>
        </w:tc>
        <w:tc>
          <w:tcPr>
            <w:tcW w:w="907" w:type="dxa"/>
            <w:tcBorders>
              <w:bottom w:val="nil"/>
            </w:tcBorders>
            <w:shd w:val="clear" w:color="156082" w:fill="156082"/>
            <w:noWrap/>
            <w:vAlign w:val="bottom"/>
            <w:hideMark/>
          </w:tcPr>
          <w:p w14:paraId="6FCFFAE2"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2017</w:t>
            </w:r>
          </w:p>
        </w:tc>
        <w:tc>
          <w:tcPr>
            <w:tcW w:w="907" w:type="dxa"/>
            <w:tcBorders>
              <w:bottom w:val="nil"/>
            </w:tcBorders>
            <w:shd w:val="clear" w:color="156082" w:fill="156082"/>
            <w:noWrap/>
            <w:vAlign w:val="bottom"/>
            <w:hideMark/>
          </w:tcPr>
          <w:p w14:paraId="18D8A751"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2018</w:t>
            </w:r>
          </w:p>
        </w:tc>
        <w:tc>
          <w:tcPr>
            <w:tcW w:w="907" w:type="dxa"/>
            <w:tcBorders>
              <w:bottom w:val="nil"/>
            </w:tcBorders>
            <w:shd w:val="clear" w:color="156082" w:fill="156082"/>
            <w:noWrap/>
            <w:vAlign w:val="bottom"/>
            <w:hideMark/>
          </w:tcPr>
          <w:p w14:paraId="4A97819A"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2019</w:t>
            </w:r>
          </w:p>
        </w:tc>
        <w:tc>
          <w:tcPr>
            <w:tcW w:w="907" w:type="dxa"/>
            <w:tcBorders>
              <w:bottom w:val="nil"/>
            </w:tcBorders>
            <w:shd w:val="clear" w:color="156082" w:fill="156082"/>
            <w:noWrap/>
            <w:vAlign w:val="bottom"/>
            <w:hideMark/>
          </w:tcPr>
          <w:p w14:paraId="3153CD1C"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2020</w:t>
            </w:r>
          </w:p>
        </w:tc>
        <w:tc>
          <w:tcPr>
            <w:tcW w:w="907" w:type="dxa"/>
            <w:tcBorders>
              <w:bottom w:val="nil"/>
            </w:tcBorders>
            <w:shd w:val="clear" w:color="156082" w:fill="156082"/>
            <w:noWrap/>
            <w:vAlign w:val="bottom"/>
            <w:hideMark/>
          </w:tcPr>
          <w:p w14:paraId="76F06EAE"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2021</w:t>
            </w:r>
          </w:p>
        </w:tc>
        <w:tc>
          <w:tcPr>
            <w:tcW w:w="907" w:type="dxa"/>
            <w:tcBorders>
              <w:bottom w:val="nil"/>
            </w:tcBorders>
            <w:shd w:val="clear" w:color="156082" w:fill="156082"/>
            <w:noWrap/>
            <w:vAlign w:val="bottom"/>
            <w:hideMark/>
          </w:tcPr>
          <w:p w14:paraId="00D2FC4E"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2022</w:t>
            </w:r>
          </w:p>
        </w:tc>
        <w:tc>
          <w:tcPr>
            <w:tcW w:w="907" w:type="dxa"/>
            <w:tcBorders>
              <w:bottom w:val="nil"/>
            </w:tcBorders>
            <w:shd w:val="clear" w:color="156082" w:fill="156082"/>
            <w:noWrap/>
            <w:vAlign w:val="bottom"/>
            <w:hideMark/>
          </w:tcPr>
          <w:p w14:paraId="3925EFD0"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2023</w:t>
            </w:r>
          </w:p>
        </w:tc>
        <w:tc>
          <w:tcPr>
            <w:tcW w:w="907" w:type="dxa"/>
            <w:tcBorders>
              <w:bottom w:val="nil"/>
            </w:tcBorders>
            <w:shd w:val="clear" w:color="156082" w:fill="156082"/>
            <w:noWrap/>
            <w:vAlign w:val="bottom"/>
            <w:hideMark/>
          </w:tcPr>
          <w:p w14:paraId="7F6DD03B" w14:textId="77777777" w:rsidR="006E1BAC" w:rsidRPr="00F2205B" w:rsidRDefault="006E1BAC" w:rsidP="00F2205B">
            <w:pPr>
              <w:spacing w:after="0" w:line="240" w:lineRule="auto"/>
              <w:jc w:val="both"/>
              <w:rPr>
                <w:rFonts w:ascii="Calibri" w:hAnsi="Calibri" w:cs="Calibri"/>
                <w:color w:val="FFFFFF" w:themeColor="background1"/>
                <w:sz w:val="22"/>
                <w:lang w:eastAsia="en-AU"/>
              </w:rPr>
            </w:pPr>
            <w:r w:rsidRPr="00F2205B">
              <w:rPr>
                <w:rFonts w:ascii="Calibri" w:hAnsi="Calibri" w:cs="Calibri"/>
                <w:color w:val="FFFFFF" w:themeColor="background1"/>
                <w:sz w:val="22"/>
                <w:lang w:eastAsia="en-AU"/>
              </w:rPr>
              <w:t>2024</w:t>
            </w:r>
          </w:p>
        </w:tc>
      </w:tr>
      <w:tr w:rsidR="006E1BAC" w:rsidRPr="00F2205B" w14:paraId="6E3693F0" w14:textId="77777777" w:rsidTr="00224149">
        <w:trPr>
          <w:trHeight w:val="356"/>
          <w:jc w:val="center"/>
        </w:trPr>
        <w:tc>
          <w:tcPr>
            <w:tcW w:w="5524" w:type="dxa"/>
            <w:tcBorders>
              <w:top w:val="nil"/>
              <w:bottom w:val="single" w:sz="4" w:space="0" w:color="156082"/>
              <w:right w:val="nil"/>
            </w:tcBorders>
            <w:noWrap/>
            <w:vAlign w:val="bottom"/>
            <w:hideMark/>
          </w:tcPr>
          <w:p w14:paraId="016D3708" w14:textId="77777777"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Percentage of income from government grants (EXSB)</w:t>
            </w:r>
          </w:p>
        </w:tc>
        <w:tc>
          <w:tcPr>
            <w:tcW w:w="907" w:type="dxa"/>
            <w:tcBorders>
              <w:top w:val="nil"/>
              <w:left w:val="nil"/>
              <w:bottom w:val="single" w:sz="4" w:space="0" w:color="156082"/>
              <w:right w:val="nil"/>
            </w:tcBorders>
            <w:noWrap/>
            <w:vAlign w:val="bottom"/>
            <w:hideMark/>
          </w:tcPr>
          <w:p w14:paraId="55E4D086" w14:textId="3253AECF"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39</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46207B5F" w14:textId="4F6604A1"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28</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6729D6E2" w14:textId="17CC6EA1"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29</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4B25811B" w14:textId="18BCDDAC"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27</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78D6BCF3" w14:textId="2090D864"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24</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611BB5CE" w14:textId="6FCA440D"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23</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7F1A7FAA" w14:textId="3DA18AC1"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20</w:t>
            </w:r>
            <w:r w:rsidR="009E3601">
              <w:rPr>
                <w:rFonts w:ascii="Calibri" w:hAnsi="Calibri" w:cs="Calibri"/>
                <w:sz w:val="22"/>
                <w:lang w:eastAsia="en-AU"/>
              </w:rPr>
              <w:t xml:space="preserve"> </w:t>
            </w:r>
          </w:p>
        </w:tc>
        <w:tc>
          <w:tcPr>
            <w:tcW w:w="907" w:type="dxa"/>
            <w:tcBorders>
              <w:top w:val="nil"/>
              <w:left w:val="nil"/>
              <w:bottom w:val="single" w:sz="4" w:space="0" w:color="156082"/>
              <w:right w:val="nil"/>
            </w:tcBorders>
            <w:noWrap/>
            <w:vAlign w:val="bottom"/>
            <w:hideMark/>
          </w:tcPr>
          <w:p w14:paraId="36A0A92D" w14:textId="7954D478"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12</w:t>
            </w:r>
            <w:r w:rsidR="009E3601">
              <w:rPr>
                <w:rFonts w:ascii="Calibri" w:hAnsi="Calibri" w:cs="Calibri"/>
                <w:sz w:val="22"/>
                <w:lang w:eastAsia="en-AU"/>
              </w:rPr>
              <w:t xml:space="preserve"> </w:t>
            </w:r>
          </w:p>
        </w:tc>
        <w:tc>
          <w:tcPr>
            <w:tcW w:w="907" w:type="dxa"/>
            <w:tcBorders>
              <w:top w:val="nil"/>
              <w:left w:val="nil"/>
              <w:bottom w:val="single" w:sz="4" w:space="0" w:color="156082"/>
            </w:tcBorders>
            <w:noWrap/>
            <w:vAlign w:val="bottom"/>
            <w:hideMark/>
          </w:tcPr>
          <w:p w14:paraId="4C86E61C" w14:textId="4667EEF0"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9</w:t>
            </w:r>
            <w:r w:rsidR="009E3601">
              <w:rPr>
                <w:rFonts w:ascii="Calibri" w:hAnsi="Calibri" w:cs="Calibri"/>
                <w:sz w:val="22"/>
                <w:lang w:eastAsia="en-AU"/>
              </w:rPr>
              <w:t xml:space="preserve"> </w:t>
            </w:r>
          </w:p>
        </w:tc>
      </w:tr>
      <w:tr w:rsidR="006E1BAC" w:rsidRPr="00F2205B" w14:paraId="2BD07660" w14:textId="77777777" w:rsidTr="00224149">
        <w:trPr>
          <w:trHeight w:val="356"/>
          <w:jc w:val="center"/>
        </w:trPr>
        <w:tc>
          <w:tcPr>
            <w:tcW w:w="5524" w:type="dxa"/>
            <w:tcBorders>
              <w:top w:val="single" w:sz="4" w:space="0" w:color="156082"/>
              <w:bottom w:val="single" w:sz="4" w:space="0" w:color="156082"/>
              <w:right w:val="nil"/>
            </w:tcBorders>
            <w:noWrap/>
            <w:vAlign w:val="bottom"/>
            <w:hideMark/>
          </w:tcPr>
          <w:p w14:paraId="3ED6613D" w14:textId="77777777"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Percentage of income from government grants (INSB)</w:t>
            </w:r>
          </w:p>
        </w:tc>
        <w:tc>
          <w:tcPr>
            <w:tcW w:w="907" w:type="dxa"/>
            <w:tcBorders>
              <w:top w:val="single" w:sz="4" w:space="0" w:color="156082"/>
              <w:left w:val="nil"/>
              <w:bottom w:val="single" w:sz="4" w:space="0" w:color="156082"/>
              <w:right w:val="nil"/>
            </w:tcBorders>
            <w:noWrap/>
            <w:vAlign w:val="bottom"/>
            <w:hideMark/>
          </w:tcPr>
          <w:p w14:paraId="415D2F29" w14:textId="1C464408"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64</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2EE7151B" w14:textId="4EACAE63"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71</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72218525" w14:textId="51AAF0BE"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64</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0AFDE291" w14:textId="25E28EA1"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68</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48E98D8C" w14:textId="7F8675A6"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61</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42E80887" w14:textId="645C663A"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58</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5A9C069F" w14:textId="47CAA1E7"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52</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right w:val="nil"/>
            </w:tcBorders>
            <w:noWrap/>
            <w:vAlign w:val="bottom"/>
            <w:hideMark/>
          </w:tcPr>
          <w:p w14:paraId="2EB6EAF6" w14:textId="43B1E4CC"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61</w:t>
            </w:r>
            <w:r w:rsidR="009E3601">
              <w:rPr>
                <w:rFonts w:ascii="Calibri" w:hAnsi="Calibri" w:cs="Calibri"/>
                <w:sz w:val="22"/>
                <w:lang w:eastAsia="en-AU"/>
              </w:rPr>
              <w:t xml:space="preserve"> </w:t>
            </w:r>
          </w:p>
        </w:tc>
        <w:tc>
          <w:tcPr>
            <w:tcW w:w="907" w:type="dxa"/>
            <w:tcBorders>
              <w:top w:val="single" w:sz="4" w:space="0" w:color="156082"/>
              <w:left w:val="nil"/>
              <w:bottom w:val="single" w:sz="4" w:space="0" w:color="156082"/>
            </w:tcBorders>
            <w:noWrap/>
            <w:vAlign w:val="bottom"/>
            <w:hideMark/>
          </w:tcPr>
          <w:p w14:paraId="3A60BA1B" w14:textId="1AA343B3" w:rsidR="006E1BAC" w:rsidRPr="00F2205B" w:rsidRDefault="006E1BAC" w:rsidP="00F2205B">
            <w:pPr>
              <w:spacing w:after="0" w:line="240" w:lineRule="auto"/>
              <w:jc w:val="both"/>
              <w:rPr>
                <w:rFonts w:ascii="Calibri" w:hAnsi="Calibri" w:cs="Calibri"/>
                <w:sz w:val="22"/>
                <w:lang w:eastAsia="en-AU"/>
              </w:rPr>
            </w:pPr>
            <w:r w:rsidRPr="00F2205B">
              <w:rPr>
                <w:rFonts w:ascii="Calibri" w:hAnsi="Calibri" w:cs="Calibri"/>
                <w:sz w:val="22"/>
                <w:lang w:eastAsia="en-AU"/>
              </w:rPr>
              <w:t>60</w:t>
            </w:r>
            <w:r w:rsidR="009E3601">
              <w:rPr>
                <w:rFonts w:ascii="Calibri" w:hAnsi="Calibri" w:cs="Calibri"/>
                <w:sz w:val="22"/>
                <w:lang w:eastAsia="en-AU"/>
              </w:rPr>
              <w:t xml:space="preserve"> </w:t>
            </w:r>
          </w:p>
        </w:tc>
      </w:tr>
    </w:tbl>
    <w:p w14:paraId="2D885ECB" w14:textId="77777777" w:rsidR="00363332" w:rsidRPr="00363332" w:rsidRDefault="00363332" w:rsidP="00363332">
      <w:pPr>
        <w:spacing w:after="0" w:line="240" w:lineRule="auto"/>
        <w:jc w:val="center"/>
        <w:rPr>
          <w:rFonts w:ascii="Calibri" w:hAnsi="Calibri" w:cs="Calibri"/>
          <w:sz w:val="20"/>
          <w:szCs w:val="20"/>
          <w:lang w:val="en-US"/>
        </w:rPr>
      </w:pPr>
      <w:r w:rsidRPr="00363332">
        <w:rPr>
          <w:rFonts w:ascii="Calibri" w:hAnsi="Calibri" w:cs="Calibri"/>
          <w:i/>
          <w:iCs/>
          <w:sz w:val="20"/>
          <w:szCs w:val="20"/>
          <w:lang w:val="en-US"/>
        </w:rPr>
        <w:t>Source</w:t>
      </w:r>
      <w:r w:rsidRPr="00363332">
        <w:rPr>
          <w:rFonts w:ascii="Calibri" w:hAnsi="Calibri" w:cs="Calibri"/>
          <w:sz w:val="20"/>
          <w:szCs w:val="20"/>
          <w:lang w:val="en-US"/>
        </w:rPr>
        <w:t xml:space="preserve">: Gathered from Foodbank Victoria </w:t>
      </w:r>
      <w:r w:rsidRPr="004B3F39">
        <w:rPr>
          <w:rFonts w:ascii="Calibri" w:hAnsi="Calibri" w:cs="Calibri"/>
          <w:i/>
          <w:iCs/>
          <w:sz w:val="20"/>
          <w:szCs w:val="20"/>
          <w:lang w:val="en-US"/>
        </w:rPr>
        <w:t>Annual Reports</w:t>
      </w:r>
      <w:r w:rsidRPr="00363332">
        <w:rPr>
          <w:rFonts w:ascii="Calibri" w:hAnsi="Calibri" w:cs="Calibri"/>
          <w:sz w:val="20"/>
          <w:szCs w:val="20"/>
          <w:lang w:val="en-US"/>
        </w:rPr>
        <w:t xml:space="preserve"> 2017-2024</w:t>
      </w:r>
    </w:p>
    <w:p w14:paraId="760AA8C9" w14:textId="77777777" w:rsidR="00AE7D4E" w:rsidRPr="00F2205B" w:rsidRDefault="00AE7D4E" w:rsidP="00F2205B">
      <w:pPr>
        <w:spacing w:after="0" w:line="240" w:lineRule="auto"/>
        <w:jc w:val="both"/>
        <w:rPr>
          <w:rFonts w:ascii="Calibri" w:hAnsi="Calibri" w:cs="Calibri"/>
          <w:sz w:val="22"/>
          <w:lang w:val="en-US"/>
        </w:rPr>
        <w:sectPr w:rsidR="00AE7D4E" w:rsidRPr="00F2205B" w:rsidSect="008F6113">
          <w:pgSz w:w="16838" w:h="11906" w:orient="landscape"/>
          <w:pgMar w:top="1440" w:right="1440" w:bottom="1440" w:left="1440" w:header="709" w:footer="709" w:gutter="0"/>
          <w:cols w:space="708"/>
          <w:docGrid w:linePitch="360"/>
        </w:sectPr>
      </w:pPr>
    </w:p>
    <w:p w14:paraId="6702F5C0"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lastRenderedPageBreak/>
        <w:t>Food relief is broader than simply the three major food relief charities discussed earlier in this analysis. Victoria is supported by over 500 smaller grassroots charities, pantries, soup kitchens and independent networks providing food relief to their local communities. While direct consistent investment in the three major providers would be impactful, further consideration into how funding could be used to support charities at the local level could find significant opportunities.</w:t>
      </w:r>
    </w:p>
    <w:p w14:paraId="779AA5FB" w14:textId="77777777" w:rsidR="0090757C" w:rsidRDefault="0090757C" w:rsidP="0090757C">
      <w:pPr>
        <w:pStyle w:val="Heading3"/>
        <w:spacing w:before="0" w:after="0" w:line="240" w:lineRule="auto"/>
        <w:jc w:val="both"/>
        <w:rPr>
          <w:rFonts w:ascii="Calibri" w:hAnsi="Calibri" w:cs="Calibri"/>
          <w:sz w:val="22"/>
          <w:szCs w:val="22"/>
        </w:rPr>
      </w:pPr>
    </w:p>
    <w:p w14:paraId="02DE8938" w14:textId="77777777" w:rsidR="0090757C" w:rsidRPr="00F2205B" w:rsidRDefault="0090757C" w:rsidP="0090757C">
      <w:pPr>
        <w:pStyle w:val="Heading3"/>
        <w:spacing w:before="0" w:after="0" w:line="240" w:lineRule="auto"/>
        <w:jc w:val="both"/>
        <w:rPr>
          <w:rFonts w:ascii="Calibri" w:hAnsi="Calibri" w:cs="Calibri"/>
          <w:sz w:val="22"/>
          <w:szCs w:val="22"/>
        </w:rPr>
      </w:pPr>
      <w:r w:rsidRPr="00F2205B">
        <w:rPr>
          <w:rFonts w:ascii="Calibri" w:hAnsi="Calibri" w:cs="Calibri"/>
          <w:sz w:val="22"/>
          <w:szCs w:val="22"/>
        </w:rPr>
        <w:t xml:space="preserve">Recommendation 21 </w:t>
      </w:r>
      <w:r>
        <w:rPr>
          <w:rFonts w:ascii="Calibri" w:hAnsi="Calibri" w:cs="Calibri"/>
          <w:sz w:val="22"/>
          <w:szCs w:val="22"/>
        </w:rPr>
        <w:t>c</w:t>
      </w:r>
      <w:r w:rsidRPr="00F2205B">
        <w:rPr>
          <w:rFonts w:ascii="Calibri" w:hAnsi="Calibri" w:cs="Calibri"/>
          <w:sz w:val="22"/>
          <w:szCs w:val="22"/>
        </w:rPr>
        <w:t>onclusion</w:t>
      </w:r>
    </w:p>
    <w:p w14:paraId="2E42E6B6" w14:textId="77777777" w:rsidR="0090757C" w:rsidRDefault="0090757C" w:rsidP="0090757C">
      <w:pPr>
        <w:spacing w:after="0" w:line="240" w:lineRule="auto"/>
        <w:jc w:val="both"/>
        <w:rPr>
          <w:rFonts w:ascii="Calibri" w:hAnsi="Calibri" w:cs="Calibri"/>
          <w:sz w:val="22"/>
        </w:rPr>
      </w:pPr>
    </w:p>
    <w:p w14:paraId="5799A4E4"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 xml:space="preserve">The committee recommended that the food relief sector is provided with consistent recurrent funding from the Victorian Government to ensure it can address both current demand and future challenges. </w:t>
      </w:r>
    </w:p>
    <w:p w14:paraId="3C57A854"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Inconsistency in funding is likely a factor in decision-making, investment, and performance in food relief charities. The Victorian Government could improve this with a commitment to funding. However, there are some opportunities that may be overlooked in the simplistic model the report recommends; these are:</w:t>
      </w:r>
    </w:p>
    <w:p w14:paraId="09E16EC4" w14:textId="77777777" w:rsidR="0090757C" w:rsidRPr="00F2205B" w:rsidRDefault="0090757C" w:rsidP="0090757C">
      <w:pPr>
        <w:pStyle w:val="ListParagraph"/>
        <w:numPr>
          <w:ilvl w:val="0"/>
          <w:numId w:val="21"/>
        </w:numPr>
        <w:spacing w:after="0" w:line="240" w:lineRule="auto"/>
        <w:ind w:left="0" w:firstLine="0"/>
        <w:jc w:val="both"/>
        <w:rPr>
          <w:rFonts w:ascii="Calibri" w:hAnsi="Calibri" w:cs="Calibri"/>
          <w:sz w:val="22"/>
        </w:rPr>
      </w:pPr>
      <w:r w:rsidRPr="00F2205B">
        <w:rPr>
          <w:rFonts w:ascii="Calibri" w:hAnsi="Calibri" w:cs="Calibri"/>
          <w:sz w:val="22"/>
        </w:rPr>
        <w:t>A comparison of outcomes between funding of food relief charities, and direct investment through government initiatives, interventions and projects.</w:t>
      </w:r>
    </w:p>
    <w:p w14:paraId="28631D49" w14:textId="77777777" w:rsidR="0090757C" w:rsidRPr="00464B4A" w:rsidRDefault="0090757C" w:rsidP="0090757C">
      <w:pPr>
        <w:pStyle w:val="ListParagraph"/>
        <w:numPr>
          <w:ilvl w:val="0"/>
          <w:numId w:val="21"/>
        </w:numPr>
        <w:spacing w:after="0" w:line="240" w:lineRule="auto"/>
        <w:ind w:left="0" w:firstLine="0"/>
        <w:jc w:val="both"/>
      </w:pPr>
      <w:r w:rsidRPr="00464B4A">
        <w:rPr>
          <w:rFonts w:ascii="Calibri" w:hAnsi="Calibri" w:cs="Calibri"/>
          <w:sz w:val="22"/>
        </w:rPr>
        <w:t>Determination of how consistent funds could be used to support more than the three major charities in Victoria.</w:t>
      </w:r>
    </w:p>
    <w:p w14:paraId="7D674951" w14:textId="77777777" w:rsidR="0090757C" w:rsidRDefault="0090757C" w:rsidP="0090757C">
      <w:pPr>
        <w:pStyle w:val="ListParagraph"/>
        <w:spacing w:after="0" w:line="240" w:lineRule="auto"/>
        <w:ind w:left="0"/>
        <w:jc w:val="both"/>
      </w:pPr>
    </w:p>
    <w:p w14:paraId="7E74936B" w14:textId="77777777" w:rsidR="0090757C" w:rsidRPr="00C67432" w:rsidRDefault="0090757C" w:rsidP="0090757C">
      <w:pPr>
        <w:pStyle w:val="ListParagraph"/>
        <w:spacing w:after="0" w:line="240" w:lineRule="auto"/>
        <w:ind w:left="0"/>
        <w:jc w:val="both"/>
        <w:rPr>
          <w:rFonts w:ascii="Calibri" w:hAnsi="Calibri" w:cs="Calibri"/>
          <w:b/>
          <w:bCs/>
        </w:rPr>
      </w:pPr>
      <w:r w:rsidRPr="00C67432">
        <w:rPr>
          <w:rFonts w:ascii="Calibri" w:hAnsi="Calibri" w:cs="Calibri"/>
          <w:b/>
          <w:bCs/>
        </w:rPr>
        <w:t>Further Discussion and Research Recommendations</w:t>
      </w:r>
    </w:p>
    <w:p w14:paraId="59487EC2" w14:textId="77777777" w:rsidR="0090757C" w:rsidRDefault="0090757C" w:rsidP="0090757C">
      <w:pPr>
        <w:spacing w:after="0" w:line="240" w:lineRule="auto"/>
        <w:jc w:val="both"/>
        <w:rPr>
          <w:rFonts w:ascii="Calibri" w:hAnsi="Calibri" w:cs="Calibri"/>
          <w:sz w:val="22"/>
          <w:lang w:val="en-US"/>
        </w:rPr>
      </w:pPr>
    </w:p>
    <w:p w14:paraId="4D33C14D"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Food insecurity is a growing problem in Australia, </w:t>
      </w:r>
      <w:r>
        <w:rPr>
          <w:rFonts w:ascii="Calibri" w:hAnsi="Calibri" w:cs="Calibri"/>
          <w:sz w:val="22"/>
          <w:lang w:val="en-US"/>
        </w:rPr>
        <w:t xml:space="preserve">with approximately </w:t>
      </w:r>
      <w:r w:rsidRPr="00F2205B">
        <w:rPr>
          <w:rFonts w:ascii="Calibri" w:hAnsi="Calibri" w:cs="Calibri"/>
          <w:sz w:val="22"/>
        </w:rPr>
        <w:t xml:space="preserve">one in </w:t>
      </w:r>
      <w:r>
        <w:rPr>
          <w:rFonts w:ascii="Calibri" w:hAnsi="Calibri" w:cs="Calibri"/>
          <w:sz w:val="22"/>
        </w:rPr>
        <w:t xml:space="preserve">three </w:t>
      </w:r>
      <w:r w:rsidRPr="00F2205B">
        <w:rPr>
          <w:rFonts w:ascii="Calibri" w:hAnsi="Calibri" w:cs="Calibri"/>
          <w:sz w:val="22"/>
        </w:rPr>
        <w:t>Australian</w:t>
      </w:r>
      <w:r>
        <w:rPr>
          <w:rFonts w:ascii="Calibri" w:hAnsi="Calibri" w:cs="Calibri"/>
          <w:sz w:val="22"/>
        </w:rPr>
        <w:t xml:space="preserve"> households</w:t>
      </w:r>
      <w:r w:rsidRPr="00F2205B">
        <w:rPr>
          <w:rFonts w:ascii="Calibri" w:hAnsi="Calibri" w:cs="Calibri"/>
          <w:sz w:val="22"/>
        </w:rPr>
        <w:t xml:space="preserve"> </w:t>
      </w:r>
      <w:r>
        <w:rPr>
          <w:rFonts w:ascii="Calibri" w:hAnsi="Calibri" w:cs="Calibri"/>
          <w:sz w:val="22"/>
        </w:rPr>
        <w:t xml:space="preserve">currently </w:t>
      </w:r>
      <w:r w:rsidRPr="00F2205B">
        <w:rPr>
          <w:rFonts w:ascii="Calibri" w:hAnsi="Calibri" w:cs="Calibri"/>
          <w:sz w:val="22"/>
        </w:rPr>
        <w:t>experienc</w:t>
      </w:r>
      <w:r>
        <w:rPr>
          <w:rFonts w:ascii="Calibri" w:hAnsi="Calibri" w:cs="Calibri"/>
          <w:sz w:val="22"/>
        </w:rPr>
        <w:t>ing</w:t>
      </w:r>
      <w:r w:rsidRPr="00F2205B">
        <w:rPr>
          <w:rFonts w:ascii="Calibri" w:hAnsi="Calibri" w:cs="Calibri"/>
          <w:sz w:val="22"/>
        </w:rPr>
        <w:t xml:space="preserve"> </w:t>
      </w:r>
      <w:r>
        <w:rPr>
          <w:rFonts w:ascii="Calibri" w:hAnsi="Calibri" w:cs="Calibri"/>
          <w:sz w:val="22"/>
        </w:rPr>
        <w:t xml:space="preserve">severe or moderate </w:t>
      </w:r>
      <w:r w:rsidRPr="00F2205B">
        <w:rPr>
          <w:rFonts w:ascii="Calibri" w:hAnsi="Calibri" w:cs="Calibri"/>
          <w:sz w:val="22"/>
        </w:rPr>
        <w:t xml:space="preserve">food insecurity </w:t>
      </w:r>
      <w:r>
        <w:rPr>
          <w:rFonts w:ascii="Calibri" w:hAnsi="Calibri" w:cs="Calibri"/>
          <w:sz w:val="22"/>
        </w:rPr>
        <w:t>(Foodbank Australia, 2025)</w:t>
      </w:r>
      <w:r w:rsidRPr="00F2205B">
        <w:rPr>
          <w:rFonts w:ascii="Calibri" w:hAnsi="Calibri" w:cs="Calibri"/>
          <w:sz w:val="22"/>
        </w:rPr>
        <w:t xml:space="preserve">. </w:t>
      </w:r>
      <w:r>
        <w:rPr>
          <w:rFonts w:ascii="Calibri" w:hAnsi="Calibri" w:cs="Calibri"/>
          <w:sz w:val="22"/>
        </w:rPr>
        <w:t xml:space="preserve">A further 11 per cent of households experience marginal food insecurity. </w:t>
      </w:r>
      <w:r w:rsidRPr="00F2205B">
        <w:rPr>
          <w:rFonts w:ascii="Calibri" w:hAnsi="Calibri" w:cs="Calibri"/>
          <w:sz w:val="22"/>
          <w:lang w:val="en-US"/>
        </w:rPr>
        <w:t xml:space="preserve">Some of these households are transient, experiencing only short-term insecurity, however a growing number of </w:t>
      </w:r>
      <w:r>
        <w:rPr>
          <w:rFonts w:ascii="Calibri" w:hAnsi="Calibri" w:cs="Calibri"/>
          <w:sz w:val="22"/>
          <w:lang w:val="en-US"/>
        </w:rPr>
        <w:t>Austral</w:t>
      </w:r>
      <w:r w:rsidRPr="00F2205B">
        <w:rPr>
          <w:rFonts w:ascii="Calibri" w:hAnsi="Calibri" w:cs="Calibri"/>
          <w:sz w:val="22"/>
          <w:lang w:val="en-US"/>
        </w:rPr>
        <w:t xml:space="preserve">ians are experiencing long-term food insecurity. A lack of sufficient nutritious food has severe long-term impacts on people affected by it, which are disproportionately </w:t>
      </w:r>
      <w:r>
        <w:rPr>
          <w:rFonts w:ascii="Calibri" w:hAnsi="Calibri" w:cs="Calibri"/>
          <w:sz w:val="22"/>
          <w:lang w:val="en-US"/>
        </w:rPr>
        <w:t xml:space="preserve">in </w:t>
      </w:r>
      <w:r w:rsidRPr="00F2205B">
        <w:rPr>
          <w:rFonts w:ascii="Calibri" w:hAnsi="Calibri" w:cs="Calibri"/>
          <w:sz w:val="22"/>
          <w:lang w:val="en-US"/>
        </w:rPr>
        <w:t>groups that see other types of social or economic disadvantages.</w:t>
      </w:r>
    </w:p>
    <w:p w14:paraId="558B853B" w14:textId="77777777" w:rsidR="0090757C" w:rsidRDefault="0090757C" w:rsidP="0090757C">
      <w:pPr>
        <w:spacing w:after="0" w:line="240" w:lineRule="auto"/>
        <w:jc w:val="both"/>
        <w:rPr>
          <w:rFonts w:ascii="Calibri" w:hAnsi="Calibri" w:cs="Calibri"/>
          <w:sz w:val="22"/>
          <w:lang w:val="en-US"/>
        </w:rPr>
      </w:pPr>
    </w:p>
    <w:p w14:paraId="6483159A"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The Legislative Council of Victoria commissioned </w:t>
      </w:r>
      <w:r>
        <w:rPr>
          <w:rFonts w:ascii="Calibri" w:hAnsi="Calibri" w:cs="Calibri"/>
          <w:sz w:val="22"/>
          <w:lang w:val="en-US"/>
        </w:rPr>
        <w:t xml:space="preserve">a </w:t>
      </w:r>
      <w:r w:rsidRPr="00F2205B">
        <w:rPr>
          <w:rFonts w:ascii="Calibri" w:hAnsi="Calibri" w:cs="Calibri"/>
          <w:sz w:val="22"/>
          <w:lang w:val="en-US"/>
        </w:rPr>
        <w:t xml:space="preserve">report </w:t>
      </w:r>
      <w:r>
        <w:rPr>
          <w:rFonts w:ascii="Calibri" w:hAnsi="Calibri" w:cs="Calibri"/>
          <w:sz w:val="22"/>
          <w:lang w:val="en-US"/>
        </w:rPr>
        <w:t>into</w:t>
      </w:r>
      <w:r w:rsidRPr="00F2205B">
        <w:rPr>
          <w:rFonts w:ascii="Calibri" w:hAnsi="Calibri" w:cs="Calibri"/>
          <w:sz w:val="22"/>
          <w:lang w:val="en-US"/>
        </w:rPr>
        <w:t xml:space="preserve"> food insecurity. The report included twenty-five recommendations covering short- and long-term solutions to support the current food relief industry and </w:t>
      </w:r>
      <w:r>
        <w:rPr>
          <w:rFonts w:ascii="Calibri" w:hAnsi="Calibri" w:cs="Calibri"/>
          <w:sz w:val="22"/>
          <w:lang w:val="en-US"/>
        </w:rPr>
        <w:t xml:space="preserve">to </w:t>
      </w:r>
      <w:r w:rsidRPr="00F2205B">
        <w:rPr>
          <w:rFonts w:ascii="Calibri" w:hAnsi="Calibri" w:cs="Calibri"/>
          <w:sz w:val="22"/>
          <w:lang w:val="en-US"/>
        </w:rPr>
        <w:t>move towards a food resilient future.</w:t>
      </w:r>
    </w:p>
    <w:p w14:paraId="13E0A7BD" w14:textId="77777777" w:rsidR="0090757C" w:rsidRDefault="0090757C" w:rsidP="0090757C">
      <w:pPr>
        <w:spacing w:after="0" w:line="240" w:lineRule="auto"/>
        <w:jc w:val="both"/>
        <w:rPr>
          <w:rFonts w:ascii="Calibri" w:hAnsi="Calibri" w:cs="Calibri"/>
          <w:sz w:val="22"/>
          <w:lang w:val="en-US"/>
        </w:rPr>
      </w:pPr>
    </w:p>
    <w:p w14:paraId="2C8FBBA1"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Many recommendations in the report are representative of a desire for change in the food industry and food relief industry to reduce food waste, redirect surplus resources to those in need, and improve food distribution Victoria-wide. </w:t>
      </w:r>
    </w:p>
    <w:p w14:paraId="211DCB49" w14:textId="77777777" w:rsidR="0090757C" w:rsidRDefault="0090757C" w:rsidP="0090757C">
      <w:pPr>
        <w:spacing w:after="0" w:line="240" w:lineRule="auto"/>
        <w:jc w:val="both"/>
        <w:rPr>
          <w:rFonts w:ascii="Calibri" w:hAnsi="Calibri" w:cs="Calibri"/>
          <w:sz w:val="22"/>
        </w:rPr>
      </w:pPr>
    </w:p>
    <w:p w14:paraId="0F0C610D"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 xml:space="preserve">Wheeler </w:t>
      </w:r>
      <w:r>
        <w:rPr>
          <w:rFonts w:ascii="Calibri" w:hAnsi="Calibri" w:cs="Calibri"/>
          <w:sz w:val="22"/>
        </w:rPr>
        <w:t xml:space="preserve">et al. </w:t>
      </w:r>
      <w:r w:rsidRPr="00F2205B">
        <w:rPr>
          <w:rFonts w:ascii="Calibri" w:hAnsi="Calibri" w:cs="Calibri"/>
          <w:sz w:val="22"/>
        </w:rPr>
        <w:t>(2025) researched the attitudes of South Australians towards various food waste reduction policies. The results can</w:t>
      </w:r>
      <w:r>
        <w:rPr>
          <w:rFonts w:ascii="Calibri" w:hAnsi="Calibri" w:cs="Calibri"/>
          <w:sz w:val="22"/>
        </w:rPr>
        <w:t>no</w:t>
      </w:r>
      <w:r w:rsidRPr="00F2205B">
        <w:rPr>
          <w:rFonts w:ascii="Calibri" w:hAnsi="Calibri" w:cs="Calibri"/>
          <w:sz w:val="22"/>
        </w:rPr>
        <w:t>t be assumed to translate perfectly to Victorians, however there are likely similarities in attitudes. They found that effectiveness and fairness were the most important factors in positive responses. They found that penalties such as fines or taxes on food waste were preferred to other options including informational campaigns and structural changes. This would seem to indicate that Australians broadly view food waste negatively and are open to seeing changes through the supply chain to improve food policies.</w:t>
      </w:r>
    </w:p>
    <w:p w14:paraId="68F3E5AB" w14:textId="77777777" w:rsidR="0090757C" w:rsidRDefault="0090757C" w:rsidP="0090757C">
      <w:pPr>
        <w:spacing w:after="0" w:line="240" w:lineRule="auto"/>
        <w:jc w:val="both"/>
        <w:rPr>
          <w:rFonts w:ascii="Calibri" w:hAnsi="Calibri" w:cs="Calibri"/>
          <w:sz w:val="22"/>
          <w:lang w:val="en-US"/>
        </w:rPr>
      </w:pPr>
    </w:p>
    <w:p w14:paraId="6FBEC8EE"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The Victorian Government’s response showed a hesitation to support policies outside of those that were already in operation or </w:t>
      </w:r>
      <w:r>
        <w:rPr>
          <w:rFonts w:ascii="Calibri" w:hAnsi="Calibri" w:cs="Calibri"/>
          <w:sz w:val="22"/>
          <w:lang w:val="en-US"/>
        </w:rPr>
        <w:t xml:space="preserve">those that </w:t>
      </w:r>
      <w:r w:rsidRPr="00F2205B">
        <w:rPr>
          <w:rFonts w:ascii="Calibri" w:hAnsi="Calibri" w:cs="Calibri"/>
          <w:sz w:val="22"/>
          <w:lang w:val="en-US"/>
        </w:rPr>
        <w:t xml:space="preserve">have made some progress towards </w:t>
      </w:r>
      <w:r>
        <w:rPr>
          <w:rFonts w:ascii="Calibri" w:hAnsi="Calibri" w:cs="Calibri"/>
          <w:sz w:val="22"/>
          <w:lang w:val="en-US"/>
        </w:rPr>
        <w:t>implementation</w:t>
      </w:r>
      <w:r w:rsidRPr="00F2205B">
        <w:rPr>
          <w:rFonts w:ascii="Calibri" w:hAnsi="Calibri" w:cs="Calibri"/>
          <w:sz w:val="22"/>
          <w:lang w:val="en-US"/>
        </w:rPr>
        <w:t xml:space="preserve">. This hesitation is prudent, considering the recommendations include proposals that could be burdensome and costly to implement. </w:t>
      </w:r>
      <w:r w:rsidRPr="00F2205B">
        <w:rPr>
          <w:rFonts w:ascii="Calibri" w:hAnsi="Calibri" w:cs="Calibri"/>
          <w:color w:val="000000"/>
          <w:sz w:val="22"/>
          <w:lang w:val="en-US"/>
        </w:rPr>
        <w:t xml:space="preserve">Additionally, this analysis indicates that certain recommendations may have been included without thoroughly reviewing all relevant literature, and they may not have explored all options available to the government for achieving the best results for Victorians. </w:t>
      </w:r>
    </w:p>
    <w:p w14:paraId="052F3D50"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color w:val="000000"/>
          <w:sz w:val="22"/>
          <w:lang w:val="en-US"/>
        </w:rPr>
        <w:lastRenderedPageBreak/>
        <w:t xml:space="preserve">This review identified several unresolved issues in existing research that should be explored further to improve knowledge of food relief and food systems, with the aim of better supporting people in Victoria. The </w:t>
      </w:r>
      <w:r>
        <w:rPr>
          <w:rFonts w:ascii="Calibri" w:hAnsi="Calibri" w:cs="Calibri"/>
          <w:color w:val="000000"/>
          <w:sz w:val="22"/>
          <w:lang w:val="en-US"/>
        </w:rPr>
        <w:t>R</w:t>
      </w:r>
      <w:r w:rsidRPr="00F2205B">
        <w:rPr>
          <w:rFonts w:ascii="Calibri" w:hAnsi="Calibri" w:cs="Calibri"/>
          <w:color w:val="000000"/>
          <w:sz w:val="22"/>
          <w:lang w:val="en-US"/>
        </w:rPr>
        <w:t xml:space="preserve">eport relies heavily on feedback from industry stakeholders, who may have differing interests that influence their support or opposition to some recommendations. </w:t>
      </w:r>
      <w:r w:rsidRPr="00F2205B">
        <w:rPr>
          <w:rFonts w:ascii="Calibri" w:hAnsi="Calibri" w:cs="Calibri"/>
          <w:sz w:val="22"/>
          <w:lang w:val="en-US"/>
        </w:rPr>
        <w:t>The Victorian Government may benefit from initial research into the overall economic costs of food insecurity, and the potential benefits of intervention to aid decision making.</w:t>
      </w:r>
      <w:r>
        <w:rPr>
          <w:rFonts w:ascii="Calibri" w:hAnsi="Calibri" w:cs="Calibri"/>
          <w:sz w:val="22"/>
          <w:lang w:val="en-US"/>
        </w:rPr>
        <w:t xml:space="preserve"> </w:t>
      </w:r>
      <w:r w:rsidRPr="00F2205B">
        <w:rPr>
          <w:rFonts w:ascii="Calibri" w:hAnsi="Calibri" w:cs="Calibri"/>
          <w:sz w:val="22"/>
          <w:lang w:val="en-US"/>
        </w:rPr>
        <w:t xml:space="preserve">Further independent research into the following </w:t>
      </w:r>
      <w:r>
        <w:rPr>
          <w:rFonts w:ascii="Calibri" w:hAnsi="Calibri" w:cs="Calibri"/>
          <w:sz w:val="22"/>
          <w:lang w:val="en-US"/>
        </w:rPr>
        <w:t xml:space="preserve">specific </w:t>
      </w:r>
      <w:r w:rsidRPr="00F2205B">
        <w:rPr>
          <w:rFonts w:ascii="Calibri" w:hAnsi="Calibri" w:cs="Calibri"/>
          <w:sz w:val="22"/>
          <w:lang w:val="en-US"/>
        </w:rPr>
        <w:t>areas would be worth consideration by the Victorian Government.</w:t>
      </w:r>
    </w:p>
    <w:p w14:paraId="004FDA71" w14:textId="77777777" w:rsidR="0090757C" w:rsidRPr="00F2205B" w:rsidRDefault="0090757C" w:rsidP="0090757C">
      <w:pPr>
        <w:spacing w:after="0" w:line="240" w:lineRule="auto"/>
        <w:jc w:val="both"/>
        <w:rPr>
          <w:rFonts w:ascii="Calibri" w:hAnsi="Calibri" w:cs="Calibri"/>
          <w:sz w:val="22"/>
          <w:lang w:val="en-US"/>
        </w:rPr>
      </w:pPr>
    </w:p>
    <w:p w14:paraId="127BD341" w14:textId="77777777" w:rsidR="0090757C" w:rsidRPr="00F2205B" w:rsidRDefault="0090757C" w:rsidP="0090757C">
      <w:pPr>
        <w:pStyle w:val="Heading3"/>
        <w:spacing w:before="0" w:after="0" w:line="240" w:lineRule="auto"/>
        <w:jc w:val="both"/>
        <w:rPr>
          <w:rFonts w:ascii="Calibri" w:hAnsi="Calibri" w:cs="Calibri"/>
          <w:sz w:val="22"/>
          <w:szCs w:val="22"/>
        </w:rPr>
      </w:pPr>
      <w:r>
        <w:rPr>
          <w:rFonts w:ascii="Calibri" w:hAnsi="Calibri" w:cs="Calibri"/>
          <w:sz w:val="22"/>
          <w:szCs w:val="22"/>
        </w:rPr>
        <w:t>Advocating for tax relief for charitable food donations</w:t>
      </w:r>
    </w:p>
    <w:p w14:paraId="336432EA" w14:textId="77777777" w:rsidR="0090757C" w:rsidRDefault="0090757C" w:rsidP="0090757C">
      <w:pPr>
        <w:spacing w:after="0" w:line="240" w:lineRule="auto"/>
        <w:jc w:val="both"/>
        <w:rPr>
          <w:rFonts w:ascii="Calibri" w:hAnsi="Calibri" w:cs="Calibri"/>
          <w:sz w:val="22"/>
        </w:rPr>
      </w:pPr>
    </w:p>
    <w:p w14:paraId="26021C19"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 xml:space="preserve">The Victorian Government is ultimately only able to advocate for policies to the Commonwealth Government. Before tax incentives are advocated for from a state level, it may be prudent to research further the likely outcomes </w:t>
      </w:r>
      <w:r>
        <w:rPr>
          <w:rFonts w:ascii="Calibri" w:hAnsi="Calibri" w:cs="Calibri"/>
          <w:sz w:val="22"/>
        </w:rPr>
        <w:t xml:space="preserve">from </w:t>
      </w:r>
      <w:r w:rsidRPr="00F2205B">
        <w:rPr>
          <w:rFonts w:ascii="Calibri" w:hAnsi="Calibri" w:cs="Calibri"/>
          <w:sz w:val="22"/>
        </w:rPr>
        <w:t>the tax incentives.</w:t>
      </w:r>
      <w:r>
        <w:rPr>
          <w:rFonts w:ascii="Calibri" w:hAnsi="Calibri" w:cs="Calibri"/>
          <w:sz w:val="22"/>
        </w:rPr>
        <w:t xml:space="preserve"> Since the available empirical evidence notes the influence of the </w:t>
      </w:r>
      <w:r w:rsidRPr="00F2205B">
        <w:rPr>
          <w:rFonts w:ascii="Calibri" w:hAnsi="Calibri" w:cs="Calibri"/>
          <w:sz w:val="22"/>
        </w:rPr>
        <w:t>added logistical challenges of transport time, refrigeration and expenses to donation sites</w:t>
      </w:r>
      <w:r>
        <w:rPr>
          <w:rFonts w:ascii="Calibri" w:hAnsi="Calibri" w:cs="Calibri"/>
          <w:sz w:val="22"/>
        </w:rPr>
        <w:t>, and the fact that these will vary by product and by location, a suggestion would be a series of case studies of Victorian food industries that play a major role in the food relief sector</w:t>
      </w:r>
      <w:r w:rsidRPr="00F2205B">
        <w:rPr>
          <w:rFonts w:ascii="Calibri" w:hAnsi="Calibri" w:cs="Calibri"/>
          <w:sz w:val="22"/>
        </w:rPr>
        <w:t>.</w:t>
      </w:r>
      <w:r>
        <w:rPr>
          <w:rFonts w:ascii="Calibri" w:hAnsi="Calibri" w:cs="Calibri"/>
          <w:sz w:val="22"/>
        </w:rPr>
        <w:t xml:space="preserve"> Fresh fruits and vegetables would be a worthy sector, given the strong interrelationships with nutrition policy and food waste.</w:t>
      </w:r>
    </w:p>
    <w:p w14:paraId="39FCB603" w14:textId="77777777" w:rsidR="0090757C" w:rsidRDefault="0090757C" w:rsidP="0090757C">
      <w:pPr>
        <w:spacing w:after="0" w:line="240" w:lineRule="auto"/>
        <w:jc w:val="both"/>
        <w:rPr>
          <w:rFonts w:ascii="Calibri" w:hAnsi="Calibri" w:cs="Calibri"/>
          <w:sz w:val="22"/>
        </w:rPr>
      </w:pPr>
    </w:p>
    <w:p w14:paraId="2EDF5D25" w14:textId="77777777" w:rsidR="0090757C" w:rsidRPr="00F2205B" w:rsidRDefault="0090757C" w:rsidP="0090757C">
      <w:pPr>
        <w:spacing w:after="0" w:line="240" w:lineRule="auto"/>
        <w:jc w:val="both"/>
        <w:rPr>
          <w:rFonts w:ascii="Calibri" w:eastAsiaTheme="majorEastAsia" w:hAnsi="Calibri" w:cs="Calibri"/>
          <w:sz w:val="22"/>
        </w:rPr>
      </w:pPr>
      <w:r w:rsidRPr="00F2205B">
        <w:rPr>
          <w:rFonts w:ascii="Calibri" w:hAnsi="Calibri" w:cs="Calibri"/>
          <w:sz w:val="22"/>
        </w:rPr>
        <w:t>Additionally, the expected outcomes should also be compared to the impact of direct spending in the sector. Direct spending on food that would otherwise be wasted has been shown to be more efficient from a treasury perspective and may be worth exploring. The additional benefit for the Victorian Government of a direct spending approach is that it would not require Commonwealth Government cooperation.</w:t>
      </w:r>
    </w:p>
    <w:p w14:paraId="4A0515EE" w14:textId="77777777" w:rsidR="0090757C" w:rsidRDefault="0090757C" w:rsidP="0090757C">
      <w:pPr>
        <w:pStyle w:val="Heading2"/>
      </w:pPr>
    </w:p>
    <w:p w14:paraId="40271BDC" w14:textId="77777777" w:rsidR="0090757C" w:rsidRPr="00944D7F" w:rsidRDefault="0090757C" w:rsidP="0090757C">
      <w:pPr>
        <w:pStyle w:val="Heading2"/>
      </w:pPr>
      <w:r w:rsidRPr="00944D7F">
        <w:t xml:space="preserve">Reducing </w:t>
      </w:r>
      <w:r>
        <w:t>f</w:t>
      </w:r>
      <w:r w:rsidRPr="00944D7F">
        <w:t xml:space="preserve">ood </w:t>
      </w:r>
      <w:r>
        <w:t>w</w:t>
      </w:r>
      <w:r w:rsidRPr="00944D7F">
        <w:t>aste</w:t>
      </w:r>
    </w:p>
    <w:p w14:paraId="37649CF1" w14:textId="77777777" w:rsidR="0090757C" w:rsidRDefault="0090757C" w:rsidP="0090757C">
      <w:pPr>
        <w:spacing w:after="0" w:line="240" w:lineRule="auto"/>
        <w:jc w:val="both"/>
        <w:rPr>
          <w:rFonts w:ascii="Calibri" w:hAnsi="Calibri" w:cs="Calibri"/>
          <w:sz w:val="22"/>
          <w:lang w:val="en-US"/>
        </w:rPr>
      </w:pPr>
    </w:p>
    <w:p w14:paraId="29E5911C"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If the Victorian Government were determined to explore implementation of the financial recommendations to reduced food waste, recommendation 12 – Food donation tax incentives, would be preferred </w:t>
      </w:r>
      <w:r>
        <w:rPr>
          <w:rFonts w:ascii="Calibri" w:hAnsi="Calibri" w:cs="Calibri"/>
          <w:sz w:val="22"/>
          <w:lang w:val="en-US"/>
        </w:rPr>
        <w:t>in principle</w:t>
      </w:r>
      <w:r w:rsidRPr="00F2205B">
        <w:rPr>
          <w:rFonts w:ascii="Calibri" w:hAnsi="Calibri" w:cs="Calibri"/>
          <w:sz w:val="22"/>
          <w:lang w:val="en-US"/>
        </w:rPr>
        <w:t xml:space="preserve"> to recommendation 13 – Food waste penalties. </w:t>
      </w:r>
      <w:r>
        <w:rPr>
          <w:rFonts w:ascii="Calibri" w:hAnsi="Calibri" w:cs="Calibri"/>
          <w:sz w:val="22"/>
          <w:lang w:val="en-US"/>
        </w:rPr>
        <w:t>However, t</w:t>
      </w:r>
      <w:r w:rsidRPr="00F2205B">
        <w:rPr>
          <w:rFonts w:ascii="Calibri" w:hAnsi="Calibri" w:cs="Calibri"/>
          <w:sz w:val="22"/>
          <w:lang w:val="en-US"/>
        </w:rPr>
        <w:t xml:space="preserve">he supporting evidence in the report for recommendation 12 is heavily influenced by the KPMG report from 2020 and </w:t>
      </w:r>
      <w:r>
        <w:rPr>
          <w:rFonts w:ascii="Calibri" w:hAnsi="Calibri" w:cs="Calibri"/>
          <w:sz w:val="22"/>
          <w:lang w:val="en-US"/>
        </w:rPr>
        <w:t xml:space="preserve">it </w:t>
      </w:r>
      <w:r w:rsidRPr="00F2205B">
        <w:rPr>
          <w:rFonts w:ascii="Calibri" w:hAnsi="Calibri" w:cs="Calibri"/>
          <w:sz w:val="22"/>
          <w:lang w:val="en-US"/>
        </w:rPr>
        <w:t>did not fully explore the international evidence for the effectiveness of similar policies. The empirical evidence does not support the implementation of the policies. The Government would benefit from supporting further independent research to determine if Australia would be an outlier in this area or likely follow international trends.</w:t>
      </w:r>
      <w:r>
        <w:rPr>
          <w:rFonts w:ascii="Calibri" w:hAnsi="Calibri" w:cs="Calibri"/>
          <w:sz w:val="22"/>
          <w:lang w:val="en-US"/>
        </w:rPr>
        <w:t xml:space="preserve"> Again, </w:t>
      </w:r>
      <w:r>
        <w:rPr>
          <w:rFonts w:ascii="Calibri" w:hAnsi="Calibri" w:cs="Calibri"/>
          <w:sz w:val="22"/>
        </w:rPr>
        <w:t>a suggestion would be a series of case studies of Victorian food industries that play a major role in the food relief sector, with fresh fruits and vegetables a worthy choice.</w:t>
      </w:r>
    </w:p>
    <w:p w14:paraId="66FCA48E" w14:textId="77777777" w:rsidR="0090757C" w:rsidRDefault="0090757C" w:rsidP="0090757C">
      <w:pPr>
        <w:spacing w:after="0" w:line="240" w:lineRule="auto"/>
        <w:jc w:val="both"/>
        <w:rPr>
          <w:rFonts w:ascii="Calibri" w:hAnsi="Calibri" w:cs="Calibri"/>
          <w:sz w:val="22"/>
          <w:lang w:val="en-US"/>
        </w:rPr>
      </w:pPr>
    </w:p>
    <w:p w14:paraId="0541BD12"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Penalty-based policies have poor effectiveness in reducing waste, or in redirecting excess food to charity markets, and may have unintended consequences in reducing the overall food supply. Tax-based policies have further challenges in Victoria because the Commonwealth Government controls the legislation and ultimate decision making. </w:t>
      </w:r>
    </w:p>
    <w:p w14:paraId="45FF1B14" w14:textId="77777777" w:rsidR="0090757C" w:rsidRDefault="0090757C" w:rsidP="0090757C">
      <w:pPr>
        <w:spacing w:after="0" w:line="240" w:lineRule="auto"/>
        <w:jc w:val="both"/>
        <w:rPr>
          <w:rFonts w:ascii="Calibri" w:hAnsi="Calibri" w:cs="Calibri"/>
          <w:sz w:val="22"/>
          <w:lang w:val="en-US"/>
        </w:rPr>
      </w:pPr>
    </w:p>
    <w:p w14:paraId="66BEA94D" w14:textId="77777777" w:rsidR="0090757C"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The Victorian Government could potentially explore non-tax incentive policies that could be implemented at the State level, rather than just through advocation to the Commonwealth Government. Direct investment through purchasing excess food, undesirable food, or otherwise nutritious but unused food has lower budgetary impacts when compared to tax considerations. However, little research on the direct comparison between these options has been completed and further exploration is recommended.</w:t>
      </w:r>
    </w:p>
    <w:p w14:paraId="3B71E369" w14:textId="77777777" w:rsidR="0090757C" w:rsidRDefault="0090757C" w:rsidP="0090757C">
      <w:pPr>
        <w:spacing w:after="0" w:line="240" w:lineRule="auto"/>
        <w:jc w:val="both"/>
        <w:rPr>
          <w:rFonts w:ascii="Calibri" w:hAnsi="Calibri" w:cs="Calibri"/>
          <w:sz w:val="22"/>
          <w:lang w:val="en-US"/>
        </w:rPr>
      </w:pPr>
    </w:p>
    <w:p w14:paraId="1B2E1754" w14:textId="77777777" w:rsidR="0090757C" w:rsidRDefault="0090757C" w:rsidP="0090757C">
      <w:pPr>
        <w:spacing w:after="0" w:line="240" w:lineRule="auto"/>
        <w:jc w:val="both"/>
        <w:rPr>
          <w:rFonts w:ascii="Calibri" w:hAnsi="Calibri" w:cs="Calibri"/>
          <w:sz w:val="22"/>
          <w:lang w:val="en-US"/>
        </w:rPr>
      </w:pPr>
    </w:p>
    <w:p w14:paraId="52419F5F" w14:textId="77777777" w:rsidR="0090757C" w:rsidRPr="002B555E" w:rsidRDefault="0090757C" w:rsidP="0090757C">
      <w:pPr>
        <w:spacing w:after="0" w:line="240" w:lineRule="auto"/>
        <w:jc w:val="both"/>
        <w:rPr>
          <w:rFonts w:ascii="Calibri" w:hAnsi="Calibri" w:cs="Calibri"/>
          <w:b/>
          <w:bCs/>
          <w:i/>
          <w:iCs/>
          <w:sz w:val="22"/>
        </w:rPr>
      </w:pPr>
      <w:r w:rsidRPr="002B555E">
        <w:rPr>
          <w:rFonts w:ascii="Calibri" w:hAnsi="Calibri" w:cs="Calibri"/>
          <w:b/>
          <w:bCs/>
          <w:i/>
          <w:iCs/>
          <w:sz w:val="22"/>
        </w:rPr>
        <w:lastRenderedPageBreak/>
        <w:t>Food relief services map and audit</w:t>
      </w:r>
    </w:p>
    <w:p w14:paraId="3A8BDFA5" w14:textId="77777777" w:rsidR="0090757C" w:rsidRDefault="0090757C" w:rsidP="0090757C">
      <w:pPr>
        <w:spacing w:after="0" w:line="240" w:lineRule="auto"/>
        <w:jc w:val="both"/>
        <w:rPr>
          <w:rFonts w:ascii="Calibri" w:hAnsi="Calibri" w:cs="Calibri"/>
          <w:sz w:val="22"/>
          <w:lang w:val="en-US"/>
        </w:rPr>
      </w:pPr>
    </w:p>
    <w:p w14:paraId="230F9882" w14:textId="77777777" w:rsidR="0090757C"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A map purely showing the availability of food relief would improve the Victorian Government’s ability to ensure adequate coverage. Better results may be found by cross</w:t>
      </w:r>
      <w:r>
        <w:rPr>
          <w:rFonts w:ascii="Calibri" w:hAnsi="Calibri" w:cs="Calibri"/>
          <w:sz w:val="22"/>
          <w:lang w:val="en-US"/>
        </w:rPr>
        <w:t>-</w:t>
      </w:r>
      <w:r w:rsidRPr="00F2205B">
        <w:rPr>
          <w:rFonts w:ascii="Calibri" w:hAnsi="Calibri" w:cs="Calibri"/>
          <w:sz w:val="22"/>
          <w:lang w:val="en-US"/>
        </w:rPr>
        <w:t>analysing the coverage map with demographic information to determine if the coverage is focused on areas of need to meet the demand of the public.</w:t>
      </w:r>
    </w:p>
    <w:p w14:paraId="285A655B" w14:textId="77777777" w:rsidR="0090757C" w:rsidRDefault="0090757C" w:rsidP="0090757C">
      <w:pPr>
        <w:spacing w:after="0" w:line="240" w:lineRule="auto"/>
        <w:jc w:val="both"/>
        <w:rPr>
          <w:rFonts w:ascii="Calibri" w:hAnsi="Calibri" w:cs="Calibri"/>
          <w:sz w:val="22"/>
        </w:rPr>
      </w:pPr>
    </w:p>
    <w:p w14:paraId="2EEF1B64"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Any further research should take a multi-factor approach to a gap analysis. In an ideal situation, research would be conducted using demographic information of the Victorian population, focussed on economic measures, to determine where food relief is most needed. Useful metrics to determine likelihood of requiring food relief include (but are not limited to):</w:t>
      </w:r>
    </w:p>
    <w:p w14:paraId="25FAA22C" w14:textId="77777777" w:rsidR="0090757C" w:rsidRPr="00F2205B" w:rsidRDefault="0090757C" w:rsidP="0090757C">
      <w:pPr>
        <w:pStyle w:val="ListParagraph"/>
        <w:numPr>
          <w:ilvl w:val="0"/>
          <w:numId w:val="18"/>
        </w:numPr>
        <w:spacing w:after="0" w:line="240" w:lineRule="auto"/>
        <w:ind w:left="0" w:firstLine="0"/>
        <w:jc w:val="both"/>
        <w:rPr>
          <w:rFonts w:ascii="Calibri" w:hAnsi="Calibri" w:cs="Calibri"/>
          <w:sz w:val="22"/>
        </w:rPr>
      </w:pPr>
      <w:r w:rsidRPr="00F2205B">
        <w:rPr>
          <w:rFonts w:ascii="Calibri" w:hAnsi="Calibri" w:cs="Calibri"/>
          <w:sz w:val="22"/>
        </w:rPr>
        <w:t>income per household,</w:t>
      </w:r>
    </w:p>
    <w:p w14:paraId="1B2C3978" w14:textId="77777777" w:rsidR="0090757C" w:rsidRPr="00F2205B" w:rsidRDefault="0090757C" w:rsidP="0090757C">
      <w:pPr>
        <w:pStyle w:val="ListParagraph"/>
        <w:numPr>
          <w:ilvl w:val="0"/>
          <w:numId w:val="18"/>
        </w:numPr>
        <w:spacing w:after="0" w:line="240" w:lineRule="auto"/>
        <w:ind w:left="0" w:firstLine="0"/>
        <w:jc w:val="both"/>
        <w:rPr>
          <w:rFonts w:ascii="Calibri" w:hAnsi="Calibri" w:cs="Calibri"/>
          <w:sz w:val="22"/>
        </w:rPr>
      </w:pPr>
      <w:r w:rsidRPr="00F2205B">
        <w:rPr>
          <w:rFonts w:ascii="Calibri" w:hAnsi="Calibri" w:cs="Calibri"/>
          <w:sz w:val="22"/>
        </w:rPr>
        <w:t xml:space="preserve">income per household member, </w:t>
      </w:r>
    </w:p>
    <w:p w14:paraId="0AA56F03" w14:textId="77777777" w:rsidR="0090757C" w:rsidRPr="00F2205B" w:rsidRDefault="0090757C" w:rsidP="0090757C">
      <w:pPr>
        <w:pStyle w:val="ListParagraph"/>
        <w:numPr>
          <w:ilvl w:val="0"/>
          <w:numId w:val="18"/>
        </w:numPr>
        <w:spacing w:after="0" w:line="240" w:lineRule="auto"/>
        <w:ind w:left="0" w:firstLine="0"/>
        <w:jc w:val="both"/>
        <w:rPr>
          <w:rFonts w:ascii="Calibri" w:hAnsi="Calibri" w:cs="Calibri"/>
          <w:sz w:val="22"/>
        </w:rPr>
      </w:pPr>
      <w:r w:rsidRPr="00F2205B">
        <w:rPr>
          <w:rFonts w:ascii="Calibri" w:hAnsi="Calibri" w:cs="Calibri"/>
          <w:sz w:val="22"/>
        </w:rPr>
        <w:t>education levels, or</w:t>
      </w:r>
    </w:p>
    <w:p w14:paraId="07A08555" w14:textId="77777777" w:rsidR="0090757C" w:rsidRPr="00F2205B" w:rsidRDefault="0090757C" w:rsidP="0090757C">
      <w:pPr>
        <w:pStyle w:val="ListParagraph"/>
        <w:numPr>
          <w:ilvl w:val="0"/>
          <w:numId w:val="18"/>
        </w:numPr>
        <w:spacing w:after="0" w:line="240" w:lineRule="auto"/>
        <w:ind w:left="0" w:firstLine="0"/>
        <w:jc w:val="both"/>
        <w:rPr>
          <w:rFonts w:ascii="Calibri" w:hAnsi="Calibri" w:cs="Calibri"/>
          <w:sz w:val="22"/>
        </w:rPr>
      </w:pPr>
      <w:r w:rsidRPr="00F2205B">
        <w:rPr>
          <w:rFonts w:ascii="Calibri" w:hAnsi="Calibri" w:cs="Calibri"/>
          <w:sz w:val="22"/>
        </w:rPr>
        <w:t>cultural demographics</w:t>
      </w:r>
    </w:p>
    <w:p w14:paraId="3427CD0B" w14:textId="77777777" w:rsidR="0090757C" w:rsidRDefault="0090757C" w:rsidP="0090757C">
      <w:pPr>
        <w:spacing w:after="0" w:line="240" w:lineRule="auto"/>
        <w:jc w:val="both"/>
        <w:rPr>
          <w:rFonts w:ascii="Calibri" w:hAnsi="Calibri" w:cs="Calibri"/>
          <w:sz w:val="22"/>
        </w:rPr>
      </w:pPr>
    </w:p>
    <w:p w14:paraId="75F1FD8D"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Once it has been determined which population areas are most likely to require food relief, this should be factored into an analysis of food relief coverage to determine if the current resources are being equitably distributed.</w:t>
      </w:r>
    </w:p>
    <w:p w14:paraId="5F991344" w14:textId="77777777" w:rsidR="0090757C" w:rsidRDefault="0090757C" w:rsidP="0090757C">
      <w:pPr>
        <w:pStyle w:val="Heading2"/>
      </w:pPr>
    </w:p>
    <w:p w14:paraId="0E84FA16" w14:textId="77777777" w:rsidR="0090757C" w:rsidRPr="00F2205B" w:rsidRDefault="0090757C" w:rsidP="0090757C">
      <w:pPr>
        <w:pStyle w:val="Heading2"/>
      </w:pPr>
      <w:r w:rsidRPr="00F2205B">
        <w:t xml:space="preserve">Recurrent </w:t>
      </w:r>
      <w:r>
        <w:t>f</w:t>
      </w:r>
      <w:r w:rsidRPr="00F2205B">
        <w:t>unding</w:t>
      </w:r>
    </w:p>
    <w:p w14:paraId="1E7AE46D" w14:textId="77777777" w:rsidR="0090757C" w:rsidRDefault="0090757C" w:rsidP="0090757C">
      <w:pPr>
        <w:spacing w:after="0" w:line="240" w:lineRule="auto"/>
        <w:jc w:val="both"/>
        <w:rPr>
          <w:rFonts w:ascii="Calibri" w:hAnsi="Calibri" w:cs="Calibri"/>
          <w:sz w:val="22"/>
          <w:lang w:val="en-US"/>
        </w:rPr>
      </w:pPr>
    </w:p>
    <w:p w14:paraId="6B99F98B" w14:textId="44FA318B"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The Victorian Government may view a commitment to recurrent funding for food relief charities to be a sign of reliance on government funds in the sector. This could raise questions about whether food relief should simply be managed by the state government, rather than </w:t>
      </w:r>
      <w:r>
        <w:rPr>
          <w:rFonts w:ascii="Calibri" w:hAnsi="Calibri" w:cs="Calibri"/>
          <w:sz w:val="22"/>
          <w:lang w:val="en-US"/>
        </w:rPr>
        <w:t xml:space="preserve">being </w:t>
      </w:r>
      <w:r w:rsidR="00F02A98">
        <w:rPr>
          <w:rFonts w:ascii="Calibri" w:hAnsi="Calibri" w:cs="Calibri"/>
          <w:sz w:val="22"/>
          <w:lang w:val="en-US"/>
        </w:rPr>
        <w:t>part-funded</w:t>
      </w:r>
      <w:r w:rsidRPr="00F2205B">
        <w:rPr>
          <w:rFonts w:ascii="Calibri" w:hAnsi="Calibri" w:cs="Calibri"/>
          <w:sz w:val="22"/>
          <w:lang w:val="en-US"/>
        </w:rPr>
        <w:t xml:space="preserve"> by the government and operated by private </w:t>
      </w:r>
      <w:r>
        <w:rPr>
          <w:rFonts w:ascii="Calibri" w:hAnsi="Calibri" w:cs="Calibri"/>
          <w:sz w:val="22"/>
          <w:lang w:val="en-US"/>
        </w:rPr>
        <w:t>entities</w:t>
      </w:r>
      <w:r w:rsidRPr="00F2205B">
        <w:rPr>
          <w:rFonts w:ascii="Calibri" w:hAnsi="Calibri" w:cs="Calibri"/>
          <w:sz w:val="22"/>
          <w:lang w:val="en-US"/>
        </w:rPr>
        <w:t>.</w:t>
      </w:r>
      <w:r>
        <w:rPr>
          <w:rFonts w:ascii="Calibri" w:hAnsi="Calibri" w:cs="Calibri"/>
          <w:sz w:val="22"/>
          <w:lang w:val="en-US"/>
        </w:rPr>
        <w:t xml:space="preserve"> There is a whole literature available on this question (Mounter et al., 2019) based on the theory of market failure and chain failure.</w:t>
      </w:r>
    </w:p>
    <w:p w14:paraId="0D07426F" w14:textId="77777777" w:rsidR="0090757C" w:rsidRDefault="0090757C" w:rsidP="0090757C">
      <w:pPr>
        <w:spacing w:after="0" w:line="240" w:lineRule="auto"/>
        <w:jc w:val="both"/>
        <w:rPr>
          <w:rFonts w:ascii="Calibri" w:hAnsi="Calibri" w:cs="Calibri"/>
          <w:sz w:val="22"/>
          <w:lang w:val="en-US"/>
        </w:rPr>
      </w:pPr>
    </w:p>
    <w:p w14:paraId="6A8C5664"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Undoubtedly, </w:t>
      </w:r>
      <w:r>
        <w:rPr>
          <w:rFonts w:ascii="Calibri" w:hAnsi="Calibri" w:cs="Calibri"/>
          <w:sz w:val="22"/>
          <w:lang w:val="en-US"/>
        </w:rPr>
        <w:t xml:space="preserve">a </w:t>
      </w:r>
      <w:r w:rsidRPr="00F2205B">
        <w:rPr>
          <w:rFonts w:ascii="Calibri" w:hAnsi="Calibri" w:cs="Calibri"/>
          <w:sz w:val="22"/>
          <w:lang w:val="en-US"/>
        </w:rPr>
        <w:t xml:space="preserve">commitment to recurrent spending would likely improve services provided, and improve the ability for existing </w:t>
      </w:r>
      <w:r>
        <w:rPr>
          <w:rFonts w:ascii="Calibri" w:hAnsi="Calibri" w:cs="Calibri"/>
          <w:sz w:val="22"/>
          <w:lang w:val="en-US"/>
        </w:rPr>
        <w:t>entities</w:t>
      </w:r>
      <w:r w:rsidRPr="00F2205B">
        <w:rPr>
          <w:rFonts w:ascii="Calibri" w:hAnsi="Calibri" w:cs="Calibri"/>
          <w:sz w:val="22"/>
          <w:lang w:val="en-US"/>
        </w:rPr>
        <w:t xml:space="preserve"> to make long-term investments in the sector. If the Victorian Government were to explore long-term commitments to spending in the industry, the operations may be operated better as a State-Government program where spending can be controlled and targeted.</w:t>
      </w:r>
    </w:p>
    <w:p w14:paraId="24DB31C4" w14:textId="77777777" w:rsidR="0090757C" w:rsidRDefault="0090757C" w:rsidP="0090757C">
      <w:pPr>
        <w:spacing w:after="0" w:line="240" w:lineRule="auto"/>
        <w:jc w:val="both"/>
        <w:rPr>
          <w:rFonts w:ascii="Calibri" w:hAnsi="Calibri" w:cs="Calibri"/>
          <w:sz w:val="22"/>
          <w:lang w:val="en-US"/>
        </w:rPr>
      </w:pPr>
    </w:p>
    <w:p w14:paraId="0810F437"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Research into expected outcomes comparing government-run programs to privately run programs funded by the Victorian Government should be conducted to determine the best allocation of funding. </w:t>
      </w:r>
    </w:p>
    <w:p w14:paraId="0D758473"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If the Victorian Government decides to go ahead with funding the food relief sector, there should be consideration of what portion should be provided to large organisations, and how local charities and community-led initiatives could be funded.</w:t>
      </w:r>
    </w:p>
    <w:p w14:paraId="7066F888" w14:textId="77777777" w:rsidR="0090757C" w:rsidRDefault="0090757C" w:rsidP="0090757C">
      <w:pPr>
        <w:pStyle w:val="Heading1"/>
        <w:rPr>
          <w:lang w:val="en-US"/>
        </w:rPr>
      </w:pPr>
    </w:p>
    <w:p w14:paraId="3959618F" w14:textId="77777777" w:rsidR="0090757C" w:rsidRPr="00F2205B" w:rsidRDefault="0090757C" w:rsidP="0090757C">
      <w:pPr>
        <w:pStyle w:val="Heading1"/>
        <w:rPr>
          <w:lang w:val="en-US"/>
        </w:rPr>
      </w:pPr>
      <w:r w:rsidRPr="00F2205B">
        <w:rPr>
          <w:lang w:val="en-US"/>
        </w:rPr>
        <w:t>Conclusion</w:t>
      </w:r>
    </w:p>
    <w:p w14:paraId="35007102" w14:textId="77777777" w:rsidR="0090757C" w:rsidRDefault="0090757C" w:rsidP="0090757C">
      <w:pPr>
        <w:spacing w:after="0" w:line="240" w:lineRule="auto"/>
        <w:jc w:val="both"/>
        <w:rPr>
          <w:rFonts w:ascii="Calibri" w:hAnsi="Calibri" w:cs="Calibri"/>
          <w:sz w:val="22"/>
          <w:lang w:val="en-US"/>
        </w:rPr>
      </w:pPr>
    </w:p>
    <w:p w14:paraId="6CFC2D32" w14:textId="77777777" w:rsidR="0090757C" w:rsidRDefault="0090757C" w:rsidP="0090757C">
      <w:pPr>
        <w:spacing w:after="0" w:line="240" w:lineRule="auto"/>
        <w:jc w:val="both"/>
        <w:rPr>
          <w:rFonts w:ascii="Calibri" w:hAnsi="Calibri" w:cs="Calibri"/>
          <w:sz w:val="22"/>
        </w:rPr>
      </w:pPr>
      <w:r>
        <w:rPr>
          <w:rFonts w:ascii="Calibri" w:hAnsi="Calibri" w:cs="Calibri"/>
          <w:sz w:val="22"/>
          <w:lang w:val="en-US"/>
        </w:rPr>
        <w:t>In t</w:t>
      </w:r>
      <w:r w:rsidRPr="00F2205B">
        <w:rPr>
          <w:rFonts w:ascii="Calibri" w:hAnsi="Calibri" w:cs="Calibri"/>
          <w:sz w:val="22"/>
          <w:lang w:val="en-US"/>
        </w:rPr>
        <w:t xml:space="preserve">his </w:t>
      </w:r>
      <w:r>
        <w:rPr>
          <w:rFonts w:ascii="Calibri" w:hAnsi="Calibri" w:cs="Calibri"/>
          <w:sz w:val="22"/>
          <w:lang w:val="en-US"/>
        </w:rPr>
        <w:t>paper, four</w:t>
      </w:r>
      <w:r w:rsidRPr="00F2205B">
        <w:rPr>
          <w:rFonts w:ascii="Calibri" w:hAnsi="Calibri" w:cs="Calibri"/>
          <w:sz w:val="22"/>
          <w:lang w:val="en-US"/>
        </w:rPr>
        <w:t xml:space="preserve"> </w:t>
      </w:r>
      <w:r>
        <w:rPr>
          <w:rFonts w:ascii="Calibri" w:hAnsi="Calibri" w:cs="Calibri"/>
          <w:sz w:val="22"/>
          <w:lang w:val="en-US"/>
        </w:rPr>
        <w:t xml:space="preserve">of the </w:t>
      </w:r>
      <w:r w:rsidRPr="00F2205B">
        <w:rPr>
          <w:rFonts w:ascii="Calibri" w:hAnsi="Calibri" w:cs="Calibri"/>
          <w:sz w:val="22"/>
          <w:lang w:val="en-US"/>
        </w:rPr>
        <w:t>recommendations made by t</w:t>
      </w:r>
      <w:r w:rsidRPr="00F2205B">
        <w:rPr>
          <w:rFonts w:ascii="Calibri" w:hAnsi="Calibri" w:cs="Calibri"/>
          <w:sz w:val="22"/>
        </w:rPr>
        <w:t xml:space="preserve">he Legislative Council Legal and Social Issues Committee in the report </w:t>
      </w:r>
      <w:r w:rsidRPr="00DE35A8">
        <w:rPr>
          <w:rFonts w:ascii="Calibri" w:hAnsi="Calibri" w:cs="Calibri"/>
          <w:i/>
          <w:iCs/>
          <w:sz w:val="22"/>
        </w:rPr>
        <w:t>Food Security in Victoria</w:t>
      </w:r>
      <w:r>
        <w:rPr>
          <w:rFonts w:ascii="Calibri" w:hAnsi="Calibri" w:cs="Calibri"/>
          <w:sz w:val="22"/>
        </w:rPr>
        <w:t xml:space="preserve"> have been examined.</w:t>
      </w:r>
      <w:r w:rsidRPr="00F2205B">
        <w:rPr>
          <w:rFonts w:ascii="Calibri" w:hAnsi="Calibri" w:cs="Calibri"/>
          <w:sz w:val="22"/>
        </w:rPr>
        <w:t xml:space="preserve"> The recommendations reviewed were those that would support the current system of food relief in Victoria</w:t>
      </w:r>
      <w:r>
        <w:rPr>
          <w:rFonts w:ascii="Calibri" w:hAnsi="Calibri" w:cs="Calibri"/>
          <w:sz w:val="22"/>
        </w:rPr>
        <w:t xml:space="preserve">, but which the Victorian Government has not expressly adopted or rejected. </w:t>
      </w:r>
    </w:p>
    <w:p w14:paraId="215EBE58" w14:textId="77777777" w:rsidR="0090757C" w:rsidRPr="00F2205B" w:rsidRDefault="0090757C" w:rsidP="0090757C">
      <w:pPr>
        <w:spacing w:after="0" w:line="240" w:lineRule="auto"/>
        <w:jc w:val="both"/>
        <w:rPr>
          <w:rFonts w:ascii="Calibri" w:hAnsi="Calibri" w:cs="Calibri"/>
          <w:sz w:val="22"/>
        </w:rPr>
      </w:pPr>
    </w:p>
    <w:p w14:paraId="4AB8EE17"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 xml:space="preserve">The review found that the recommendations were </w:t>
      </w:r>
      <w:r>
        <w:rPr>
          <w:rFonts w:ascii="Calibri" w:hAnsi="Calibri" w:cs="Calibri"/>
          <w:sz w:val="22"/>
        </w:rPr>
        <w:t>potentially effective</w:t>
      </w:r>
      <w:r w:rsidRPr="00F2205B">
        <w:rPr>
          <w:rFonts w:ascii="Calibri" w:hAnsi="Calibri" w:cs="Calibri"/>
          <w:sz w:val="22"/>
        </w:rPr>
        <w:t xml:space="preserve"> from an economic theory perspective. However, the recommendations were often not supported by empirical evidence or directly conflicted with the international evidence on outcomes. </w:t>
      </w:r>
    </w:p>
    <w:p w14:paraId="3392C412" w14:textId="77777777" w:rsidR="0090757C" w:rsidRDefault="0090757C" w:rsidP="0090757C">
      <w:pPr>
        <w:spacing w:after="0" w:line="240" w:lineRule="auto"/>
        <w:jc w:val="both"/>
        <w:rPr>
          <w:rFonts w:ascii="Calibri" w:hAnsi="Calibri" w:cs="Calibri"/>
          <w:sz w:val="22"/>
        </w:rPr>
      </w:pPr>
    </w:p>
    <w:p w14:paraId="2078A69B"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rPr>
        <w:lastRenderedPageBreak/>
        <w:t>The Victorian Government would benefit from further independent research into the recommendations explored in this review to determine feasibility and predicted outcomes.</w:t>
      </w:r>
      <w:r>
        <w:rPr>
          <w:rFonts w:ascii="Calibri" w:hAnsi="Calibri" w:cs="Calibri"/>
          <w:sz w:val="22"/>
        </w:rPr>
        <w:t xml:space="preserve"> A range of suggested recommendations for further research have been proposed.</w:t>
      </w:r>
    </w:p>
    <w:p w14:paraId="4F9C4766" w14:textId="77777777" w:rsidR="0090757C" w:rsidRPr="00F2205B" w:rsidRDefault="0090757C" w:rsidP="0090757C">
      <w:pPr>
        <w:spacing w:after="0" w:line="240" w:lineRule="auto"/>
        <w:jc w:val="both"/>
        <w:rPr>
          <w:rFonts w:ascii="Calibri" w:hAnsi="Calibri" w:cs="Calibri"/>
          <w:sz w:val="22"/>
          <w:lang w:val="en-US"/>
        </w:rPr>
      </w:pPr>
    </w:p>
    <w:p w14:paraId="396BEBA6" w14:textId="77777777" w:rsidR="0090757C" w:rsidRPr="00F2205B" w:rsidRDefault="0090757C" w:rsidP="0090757C">
      <w:pPr>
        <w:pStyle w:val="Heading1"/>
        <w:rPr>
          <w:lang w:val="en-US"/>
        </w:rPr>
      </w:pPr>
      <w:r w:rsidRPr="00F2205B">
        <w:rPr>
          <w:lang w:val="en-US"/>
        </w:rPr>
        <w:t>References</w:t>
      </w:r>
    </w:p>
    <w:p w14:paraId="7C3BFFBD" w14:textId="77777777" w:rsidR="0090757C" w:rsidRDefault="0090757C" w:rsidP="0090757C">
      <w:pPr>
        <w:pStyle w:val="Referencing"/>
        <w:spacing w:after="0"/>
        <w:ind w:left="0" w:firstLine="0"/>
        <w:jc w:val="both"/>
        <w:rPr>
          <w:rFonts w:ascii="Calibri" w:hAnsi="Calibri" w:cs="Calibri"/>
          <w:sz w:val="22"/>
        </w:rPr>
      </w:pPr>
    </w:p>
    <w:p w14:paraId="24CEFDF5" w14:textId="77777777" w:rsidR="0090757C" w:rsidRPr="00F2205B" w:rsidRDefault="0090757C" w:rsidP="0090757C">
      <w:pPr>
        <w:pStyle w:val="Referencing"/>
        <w:spacing w:after="0"/>
        <w:ind w:left="0" w:firstLine="0"/>
        <w:jc w:val="both"/>
        <w:rPr>
          <w:rFonts w:ascii="Calibri" w:hAnsi="Calibri" w:cs="Calibri"/>
          <w:sz w:val="22"/>
        </w:rPr>
      </w:pPr>
      <w:r w:rsidRPr="00F2205B">
        <w:rPr>
          <w:rFonts w:ascii="Calibri" w:hAnsi="Calibri" w:cs="Calibri"/>
          <w:sz w:val="22"/>
        </w:rPr>
        <w:t>Access Economics. 2006. The Economic Costs of Obesity. Report for Diabetes Australia, Canberra.</w:t>
      </w:r>
    </w:p>
    <w:p w14:paraId="33F16311" w14:textId="77777777" w:rsidR="0090757C" w:rsidRDefault="0090757C" w:rsidP="0090757C">
      <w:pPr>
        <w:spacing w:after="0" w:line="240" w:lineRule="auto"/>
        <w:jc w:val="both"/>
        <w:rPr>
          <w:rFonts w:ascii="Calibri" w:hAnsi="Calibri" w:cs="Calibri"/>
          <w:sz w:val="22"/>
          <w:lang w:val="en-US"/>
        </w:rPr>
      </w:pPr>
    </w:p>
    <w:p w14:paraId="4E724C75"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 xml:space="preserve">Ask Izzy. 2026. "About Ask Izzy." from </w:t>
      </w:r>
      <w:hyperlink r:id="rId13" w:history="1">
        <w:r w:rsidRPr="00F2205B">
          <w:rPr>
            <w:rStyle w:val="Hyperlink"/>
            <w:rFonts w:ascii="Calibri" w:hAnsi="Calibri" w:cs="Calibri"/>
            <w:sz w:val="22"/>
          </w:rPr>
          <w:t>https://about.askizzy.org.au/about/</w:t>
        </w:r>
      </w:hyperlink>
      <w:r w:rsidRPr="00F2205B">
        <w:rPr>
          <w:rFonts w:ascii="Calibri" w:hAnsi="Calibri" w:cs="Calibri"/>
          <w:sz w:val="22"/>
          <w:lang w:val="en-US"/>
        </w:rPr>
        <w:t>.</w:t>
      </w:r>
    </w:p>
    <w:p w14:paraId="11EBF0B6" w14:textId="77777777" w:rsidR="0090757C" w:rsidRDefault="0090757C" w:rsidP="0090757C">
      <w:pPr>
        <w:spacing w:after="0" w:line="240" w:lineRule="auto"/>
        <w:jc w:val="both"/>
        <w:rPr>
          <w:rFonts w:ascii="Calibri" w:hAnsi="Calibri" w:cs="Calibri"/>
          <w:sz w:val="22"/>
        </w:rPr>
      </w:pPr>
    </w:p>
    <w:p w14:paraId="237E1F2E" w14:textId="77777777" w:rsidR="0090757C" w:rsidRPr="00F2205B" w:rsidRDefault="0090757C" w:rsidP="0090757C">
      <w:pPr>
        <w:spacing w:after="0" w:line="240" w:lineRule="auto"/>
        <w:jc w:val="both"/>
        <w:rPr>
          <w:rFonts w:ascii="Calibri" w:hAnsi="Calibri" w:cs="Calibri"/>
          <w:sz w:val="22"/>
        </w:rPr>
      </w:pPr>
      <w:r w:rsidRPr="00F2205B">
        <w:rPr>
          <w:rFonts w:ascii="Calibri" w:hAnsi="Calibri" w:cs="Calibri"/>
          <w:sz w:val="22"/>
        </w:rPr>
        <w:t xml:space="preserve">Aitken, John A, Balca Alaybek, Rob Hartman, Grace Mika, Emily M Broad Leib, Regan Plekenpol, Karl Branting, Denali Rao, Laura Leets, and Amber Sprenger. 2024. “Initial Assessment of the Efficacy of Food Recovery Policies in US States for Increasing Food Donations and Reducing Waste”. </w:t>
      </w:r>
      <w:r w:rsidRPr="00F2205B">
        <w:rPr>
          <w:rFonts w:ascii="Calibri" w:hAnsi="Calibri" w:cs="Calibri"/>
          <w:i/>
          <w:iCs/>
          <w:sz w:val="22"/>
        </w:rPr>
        <w:t>Waste Management (Elmsford)</w:t>
      </w:r>
      <w:r w:rsidRPr="00F2205B">
        <w:rPr>
          <w:rFonts w:ascii="Calibri" w:hAnsi="Calibri" w:cs="Calibri"/>
          <w:sz w:val="22"/>
        </w:rPr>
        <w:t xml:space="preserve"> (United States) 176: 149–58. </w:t>
      </w:r>
      <w:hyperlink r:id="rId14" w:history="1">
        <w:r w:rsidRPr="00F2205B">
          <w:rPr>
            <w:rStyle w:val="Hyperlink"/>
            <w:rFonts w:ascii="Calibri" w:hAnsi="Calibri" w:cs="Calibri"/>
            <w:sz w:val="22"/>
          </w:rPr>
          <w:t>https://doi.org/10.1016/j.wasman.2023.12.051</w:t>
        </w:r>
      </w:hyperlink>
      <w:r w:rsidRPr="00F2205B">
        <w:rPr>
          <w:rFonts w:ascii="Calibri" w:hAnsi="Calibri" w:cs="Calibri"/>
          <w:sz w:val="22"/>
        </w:rPr>
        <w:t xml:space="preserve">. </w:t>
      </w:r>
    </w:p>
    <w:p w14:paraId="387EEFDE" w14:textId="77777777" w:rsidR="0090757C" w:rsidRDefault="0090757C" w:rsidP="0090757C">
      <w:pPr>
        <w:spacing w:after="0" w:line="240" w:lineRule="auto"/>
        <w:jc w:val="both"/>
        <w:rPr>
          <w:rFonts w:ascii="Calibri" w:hAnsi="Calibri" w:cs="Calibri"/>
          <w:sz w:val="22"/>
          <w:lang w:val="en-US"/>
        </w:rPr>
      </w:pPr>
    </w:p>
    <w:p w14:paraId="78C4EE6A" w14:textId="77777777" w:rsidR="0090757C" w:rsidRPr="00F2205B" w:rsidRDefault="0090757C" w:rsidP="0090757C">
      <w:pPr>
        <w:spacing w:after="0" w:line="240" w:lineRule="auto"/>
        <w:jc w:val="both"/>
        <w:rPr>
          <w:rFonts w:ascii="Calibri" w:hAnsi="Calibri" w:cs="Calibri"/>
          <w:sz w:val="22"/>
          <w:lang w:val="en-US"/>
        </w:rPr>
      </w:pPr>
      <w:r w:rsidRPr="00F2205B">
        <w:rPr>
          <w:rFonts w:ascii="Calibri" w:hAnsi="Calibri" w:cs="Calibri"/>
          <w:sz w:val="22"/>
          <w:lang w:val="en-US"/>
        </w:rPr>
        <w:t>Australian Institute of Family Studies.</w:t>
      </w:r>
      <w:r>
        <w:rPr>
          <w:rFonts w:ascii="Calibri" w:hAnsi="Calibri" w:cs="Calibri"/>
          <w:sz w:val="22"/>
          <w:lang w:val="en-US"/>
        </w:rPr>
        <w:t xml:space="preserve"> </w:t>
      </w:r>
      <w:r w:rsidRPr="00F2205B">
        <w:rPr>
          <w:rFonts w:ascii="Calibri" w:hAnsi="Calibri" w:cs="Calibri"/>
          <w:sz w:val="22"/>
          <w:lang w:val="en-US"/>
        </w:rPr>
        <w:t xml:space="preserve">2019. Understanding food insecurity in Australia, Child Family Community Australia. </w:t>
      </w:r>
      <w:r w:rsidRPr="00F2205B">
        <w:rPr>
          <w:rFonts w:ascii="Calibri" w:hAnsi="Calibri" w:cs="Calibri"/>
          <w:sz w:val="22"/>
        </w:rPr>
        <w:t xml:space="preserve">Australia Government. </w:t>
      </w:r>
      <w:hyperlink r:id="rId15" w:history="1">
        <w:r w:rsidRPr="00F2205B">
          <w:rPr>
            <w:rStyle w:val="Hyperlink"/>
            <w:rFonts w:ascii="Calibri" w:hAnsi="Calibri" w:cs="Calibri"/>
            <w:sz w:val="22"/>
            <w:lang w:val="en-US"/>
          </w:rPr>
          <w:t>https://aifs.gov.au/sites/default/files/publication-documents/2009_cfca_understanding_food_insecurity_in_australia_0.pdf</w:t>
        </w:r>
      </w:hyperlink>
      <w:r w:rsidRPr="00F2205B">
        <w:rPr>
          <w:rFonts w:ascii="Calibri" w:hAnsi="Calibri" w:cs="Calibri"/>
          <w:sz w:val="22"/>
          <w:lang w:val="en-US"/>
        </w:rPr>
        <w:t xml:space="preserve">. </w:t>
      </w:r>
    </w:p>
    <w:p w14:paraId="61072399" w14:textId="77777777" w:rsidR="00F02A98" w:rsidRDefault="00F02A98" w:rsidP="00F2205B">
      <w:pPr>
        <w:spacing w:after="0" w:line="240" w:lineRule="auto"/>
        <w:jc w:val="both"/>
        <w:rPr>
          <w:rFonts w:ascii="Calibri" w:hAnsi="Calibri" w:cs="Calibri"/>
          <w:sz w:val="22"/>
          <w:lang w:val="en-US"/>
        </w:rPr>
      </w:pPr>
    </w:p>
    <w:p w14:paraId="3C3E4F35" w14:textId="4D4B68FA" w:rsidR="00531EE1" w:rsidRPr="00F2205B" w:rsidRDefault="00531EE1"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Australian Taxation Office. 2026. "Research and development tax incentive." from </w:t>
      </w:r>
      <w:hyperlink r:id="rId16" w:history="1">
        <w:r w:rsidRPr="00F2205B">
          <w:rPr>
            <w:rStyle w:val="Hyperlink"/>
            <w:rFonts w:ascii="Calibri" w:hAnsi="Calibri" w:cs="Calibri"/>
            <w:sz w:val="22"/>
          </w:rPr>
          <w:t>https://www.ato.gov.au/businesses-and-organisations/income-deductions-and-concessions/incentives-and-concessions/research-and-development-tax-incentive-and-concessions/research-and-development-tax-incentive</w:t>
        </w:r>
      </w:hyperlink>
      <w:r w:rsidRPr="00F2205B">
        <w:rPr>
          <w:rFonts w:ascii="Calibri" w:hAnsi="Calibri" w:cs="Calibri"/>
          <w:sz w:val="22"/>
          <w:lang w:val="en-US"/>
        </w:rPr>
        <w:t>.</w:t>
      </w:r>
    </w:p>
    <w:p w14:paraId="089136A9" w14:textId="77777777" w:rsidR="00B06F5E" w:rsidRDefault="00B06F5E" w:rsidP="00F2205B">
      <w:pPr>
        <w:spacing w:after="0" w:line="240" w:lineRule="auto"/>
        <w:jc w:val="both"/>
        <w:rPr>
          <w:rFonts w:ascii="Calibri" w:hAnsi="Calibri" w:cs="Calibri"/>
          <w:sz w:val="22"/>
          <w:lang w:val="en-US"/>
        </w:rPr>
      </w:pPr>
    </w:p>
    <w:p w14:paraId="14DDEC76" w14:textId="3D259D55" w:rsidR="001E3575" w:rsidRPr="00F2205B" w:rsidRDefault="001E3575"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Better Regulation Victoria. 2024. Victorian Guide to Regulation. State of Victoria, Melbourne. </w:t>
      </w:r>
      <w:hyperlink r:id="rId17" w:history="1">
        <w:r w:rsidRPr="00F2205B">
          <w:rPr>
            <w:rStyle w:val="Hyperlink"/>
            <w:rFonts w:ascii="Calibri" w:hAnsi="Calibri" w:cs="Calibri"/>
            <w:sz w:val="22"/>
            <w:lang w:val="en-US"/>
          </w:rPr>
          <w:t>https://www.vic.gov.au/sites/default/files/2025-04/2024-Victorian-Guide-to-Regulation.pdf</w:t>
        </w:r>
      </w:hyperlink>
      <w:r w:rsidRPr="00F2205B">
        <w:rPr>
          <w:rFonts w:ascii="Calibri" w:hAnsi="Calibri" w:cs="Calibri"/>
          <w:sz w:val="22"/>
          <w:lang w:val="en-US"/>
        </w:rPr>
        <w:t>.</w:t>
      </w:r>
    </w:p>
    <w:p w14:paraId="56DC2976" w14:textId="77777777" w:rsidR="00FA2B67" w:rsidRDefault="00FA2B67" w:rsidP="00F2205B">
      <w:pPr>
        <w:spacing w:after="0" w:line="240" w:lineRule="auto"/>
        <w:jc w:val="both"/>
        <w:rPr>
          <w:rFonts w:ascii="Calibri" w:hAnsi="Calibri" w:cs="Calibri"/>
          <w:sz w:val="22"/>
        </w:rPr>
      </w:pPr>
    </w:p>
    <w:p w14:paraId="266CDA31" w14:textId="28D03709" w:rsidR="00F76413" w:rsidRPr="00F2205B" w:rsidRDefault="00F76413" w:rsidP="00F2205B">
      <w:pPr>
        <w:spacing w:after="0" w:line="240" w:lineRule="auto"/>
        <w:jc w:val="both"/>
        <w:rPr>
          <w:rFonts w:ascii="Calibri" w:hAnsi="Calibri" w:cs="Calibri"/>
          <w:sz w:val="22"/>
        </w:rPr>
      </w:pPr>
      <w:r w:rsidRPr="00F2205B">
        <w:rPr>
          <w:rFonts w:ascii="Calibri" w:hAnsi="Calibri" w:cs="Calibri"/>
          <w:sz w:val="22"/>
        </w:rPr>
        <w:t xml:space="preserve">Bradley, Morgan, Julian Melchor, Rachel Carr, and Sara Karjoo. 2023. “Obesity and Malnutrition in Children and Adults: A Clinical Review”. </w:t>
      </w:r>
      <w:r w:rsidRPr="00F2205B">
        <w:rPr>
          <w:rFonts w:ascii="Calibri" w:hAnsi="Calibri" w:cs="Calibri"/>
          <w:i/>
          <w:iCs/>
          <w:sz w:val="22"/>
        </w:rPr>
        <w:t>Obesity Pillars (Online)</w:t>
      </w:r>
      <w:r w:rsidRPr="00F2205B">
        <w:rPr>
          <w:rFonts w:ascii="Calibri" w:hAnsi="Calibri" w:cs="Calibri"/>
          <w:sz w:val="22"/>
        </w:rPr>
        <w:t xml:space="preserve"> (United States) 8 (: 100087. </w:t>
      </w:r>
      <w:hyperlink r:id="rId18" w:history="1">
        <w:r w:rsidRPr="00F2205B">
          <w:rPr>
            <w:rStyle w:val="Hyperlink"/>
            <w:rFonts w:ascii="Calibri" w:hAnsi="Calibri" w:cs="Calibri"/>
            <w:sz w:val="22"/>
          </w:rPr>
          <w:t>https://doi.org/10.1016/j.obpill.2023.100087</w:t>
        </w:r>
      </w:hyperlink>
      <w:r w:rsidRPr="00F2205B">
        <w:rPr>
          <w:rFonts w:ascii="Calibri" w:hAnsi="Calibri" w:cs="Calibri"/>
          <w:sz w:val="22"/>
        </w:rPr>
        <w:t xml:space="preserve">. </w:t>
      </w:r>
    </w:p>
    <w:p w14:paraId="5495C7A3" w14:textId="77777777" w:rsidR="00FA2B67" w:rsidRDefault="00FA2B67" w:rsidP="00F2205B">
      <w:pPr>
        <w:spacing w:after="0" w:line="240" w:lineRule="auto"/>
        <w:jc w:val="both"/>
        <w:rPr>
          <w:rFonts w:ascii="Calibri" w:hAnsi="Calibri" w:cs="Calibri"/>
          <w:sz w:val="22"/>
        </w:rPr>
      </w:pPr>
    </w:p>
    <w:p w14:paraId="52831BD9" w14:textId="572F81DC" w:rsidR="00E25A73" w:rsidRPr="00F2205B" w:rsidRDefault="00E25A73" w:rsidP="00F2205B">
      <w:pPr>
        <w:spacing w:after="0" w:line="240" w:lineRule="auto"/>
        <w:jc w:val="both"/>
        <w:rPr>
          <w:rFonts w:ascii="Calibri" w:hAnsi="Calibri" w:cs="Calibri"/>
          <w:sz w:val="22"/>
        </w:rPr>
      </w:pPr>
      <w:r w:rsidRPr="00F2205B">
        <w:rPr>
          <w:rFonts w:ascii="Calibri" w:hAnsi="Calibri" w:cs="Calibri"/>
          <w:sz w:val="22"/>
        </w:rPr>
        <w:t xml:space="preserve">Burrows, Rachel, Antonette Mendoza, Sonja Pedell, Leon Sterling, Tim Miller, and Alexi Lopez-Lorca. 2022. “Technology for Societal Change: Evaluating a Mobile App Addressing the Emotional Needs of People Experiencing Homelessness.” </w:t>
      </w:r>
      <w:r w:rsidRPr="00F2205B">
        <w:rPr>
          <w:rFonts w:ascii="Calibri" w:hAnsi="Calibri" w:cs="Calibri"/>
          <w:i/>
          <w:iCs/>
          <w:sz w:val="22"/>
        </w:rPr>
        <w:t>Health Informatics Journal</w:t>
      </w:r>
      <w:r w:rsidRPr="00F2205B">
        <w:rPr>
          <w:rFonts w:ascii="Calibri" w:hAnsi="Calibri" w:cs="Calibri"/>
          <w:sz w:val="22"/>
        </w:rPr>
        <w:t xml:space="preserve"> (London, England) 28 (4): 14604582221146720. https://doi.org/10.1177/14604582221146720.</w:t>
      </w:r>
    </w:p>
    <w:p w14:paraId="772F0EAD" w14:textId="77777777" w:rsidR="00FA2B67" w:rsidRDefault="00FA2B67" w:rsidP="00F2205B">
      <w:pPr>
        <w:spacing w:after="0" w:line="240" w:lineRule="auto"/>
        <w:jc w:val="both"/>
        <w:rPr>
          <w:rFonts w:ascii="Calibri" w:hAnsi="Calibri" w:cs="Calibri"/>
          <w:sz w:val="22"/>
        </w:rPr>
      </w:pPr>
    </w:p>
    <w:p w14:paraId="5A860802" w14:textId="11189594" w:rsidR="00E25A73" w:rsidRPr="00F2205B" w:rsidRDefault="00E25A73" w:rsidP="00F2205B">
      <w:pPr>
        <w:spacing w:after="0" w:line="240" w:lineRule="auto"/>
        <w:jc w:val="both"/>
        <w:rPr>
          <w:rFonts w:ascii="Calibri" w:hAnsi="Calibri" w:cs="Calibri"/>
          <w:sz w:val="22"/>
        </w:rPr>
      </w:pPr>
      <w:r w:rsidRPr="00F2205B">
        <w:rPr>
          <w:rFonts w:ascii="Calibri" w:hAnsi="Calibri" w:cs="Calibri"/>
          <w:sz w:val="22"/>
        </w:rPr>
        <w:t xml:space="preserve">Curran, Emily, and Amy Armenia. 2021. “Food Assistance Deserts in Central Florida: Identifying Service Gaps Using Spatial Analysis.” </w:t>
      </w:r>
      <w:r w:rsidRPr="00F2205B">
        <w:rPr>
          <w:rFonts w:ascii="Calibri" w:hAnsi="Calibri" w:cs="Calibri"/>
          <w:i/>
          <w:iCs/>
          <w:sz w:val="22"/>
        </w:rPr>
        <w:t>Journal of Applied Social Science</w:t>
      </w:r>
      <w:r w:rsidRPr="00F2205B">
        <w:rPr>
          <w:rFonts w:ascii="Calibri" w:hAnsi="Calibri" w:cs="Calibri"/>
          <w:sz w:val="22"/>
        </w:rPr>
        <w:t xml:space="preserve"> (Los Angeles, CA) 15 (1): 95–106. https://doi.org/10.1177/1936724420984401.</w:t>
      </w:r>
    </w:p>
    <w:p w14:paraId="024FBF68" w14:textId="77777777" w:rsidR="00FA2B67" w:rsidRDefault="00FA2B67" w:rsidP="00F2205B">
      <w:pPr>
        <w:spacing w:after="0" w:line="240" w:lineRule="auto"/>
        <w:jc w:val="both"/>
        <w:rPr>
          <w:rFonts w:ascii="Calibri" w:hAnsi="Calibri" w:cs="Calibri"/>
          <w:sz w:val="22"/>
        </w:rPr>
      </w:pPr>
    </w:p>
    <w:p w14:paraId="0FB09561" w14:textId="635300BA" w:rsidR="00E25A73" w:rsidRPr="00F2205B" w:rsidRDefault="00E25A73" w:rsidP="00F2205B">
      <w:pPr>
        <w:spacing w:after="0" w:line="240" w:lineRule="auto"/>
        <w:jc w:val="both"/>
        <w:rPr>
          <w:rFonts w:ascii="Calibri" w:hAnsi="Calibri" w:cs="Calibri"/>
          <w:sz w:val="22"/>
          <w:lang w:val="en-US"/>
        </w:rPr>
      </w:pPr>
      <w:r w:rsidRPr="00F2205B">
        <w:rPr>
          <w:rFonts w:ascii="Calibri" w:hAnsi="Calibri" w:cs="Calibri"/>
          <w:sz w:val="22"/>
        </w:rPr>
        <w:t xml:space="preserve">Duquette, Nicolas, Alexandra Graddy-Reed and Mark Phillips. 2018. </w:t>
      </w:r>
      <w:r w:rsidR="00A62F1F" w:rsidRPr="00F2205B">
        <w:rPr>
          <w:rFonts w:ascii="Calibri" w:hAnsi="Calibri" w:cs="Calibri"/>
          <w:sz w:val="22"/>
        </w:rPr>
        <w:t>“</w:t>
      </w:r>
      <w:r w:rsidRPr="00F2205B">
        <w:rPr>
          <w:rFonts w:ascii="Calibri" w:hAnsi="Calibri" w:cs="Calibri"/>
          <w:sz w:val="22"/>
        </w:rPr>
        <w:t>The Effectiveness of Tax Credits for Charitable Giving</w:t>
      </w:r>
      <w:r w:rsidR="00A62F1F" w:rsidRPr="00F2205B">
        <w:rPr>
          <w:rFonts w:ascii="Calibri" w:hAnsi="Calibri" w:cs="Calibri"/>
          <w:sz w:val="22"/>
        </w:rPr>
        <w:t>”</w:t>
      </w:r>
      <w:r w:rsidRPr="00F2205B">
        <w:rPr>
          <w:rFonts w:ascii="Calibri" w:hAnsi="Calibri" w:cs="Calibri"/>
          <w:sz w:val="22"/>
        </w:rPr>
        <w:t>. Available at SSRN: </w:t>
      </w:r>
      <w:hyperlink r:id="rId19" w:tgtFrame="_blank" w:history="1">
        <w:r w:rsidRPr="00F2205B">
          <w:rPr>
            <w:rStyle w:val="Hyperlink"/>
            <w:rFonts w:ascii="Calibri" w:hAnsi="Calibri" w:cs="Calibri"/>
            <w:sz w:val="22"/>
          </w:rPr>
          <w:t>https://ssrn.com/abstract=3201841</w:t>
        </w:r>
      </w:hyperlink>
      <w:r w:rsidRPr="00F2205B">
        <w:rPr>
          <w:rFonts w:ascii="Calibri" w:hAnsi="Calibri" w:cs="Calibri"/>
          <w:sz w:val="22"/>
        </w:rPr>
        <w:t> or </w:t>
      </w:r>
      <w:hyperlink r:id="rId20" w:tgtFrame="_blank" w:history="1">
        <w:r w:rsidRPr="00F2205B">
          <w:rPr>
            <w:rStyle w:val="Hyperlink"/>
            <w:rFonts w:ascii="Calibri" w:hAnsi="Calibri" w:cs="Calibri"/>
            <w:sz w:val="22"/>
          </w:rPr>
          <w:t>http://dx.doi.org/10.2139/ssrn.3201841</w:t>
        </w:r>
      </w:hyperlink>
      <w:r w:rsidRPr="00F2205B">
        <w:rPr>
          <w:rFonts w:ascii="Calibri" w:hAnsi="Calibri" w:cs="Calibri"/>
          <w:sz w:val="22"/>
          <w:lang w:val="en-US"/>
        </w:rPr>
        <w:t>.</w:t>
      </w:r>
    </w:p>
    <w:p w14:paraId="5AA7BC92" w14:textId="77777777" w:rsidR="00FA2B67" w:rsidRDefault="00FA2B67" w:rsidP="00F2205B">
      <w:pPr>
        <w:spacing w:after="0" w:line="240" w:lineRule="auto"/>
        <w:jc w:val="both"/>
        <w:rPr>
          <w:rFonts w:ascii="Calibri" w:hAnsi="Calibri" w:cs="Calibri"/>
          <w:sz w:val="22"/>
          <w:lang w:val="en-US"/>
        </w:rPr>
      </w:pPr>
    </w:p>
    <w:p w14:paraId="3840B66B" w14:textId="486EB878" w:rsidR="00FD4A1F" w:rsidRDefault="009C39C2" w:rsidP="00F2205B">
      <w:pPr>
        <w:spacing w:after="0" w:line="240" w:lineRule="auto"/>
        <w:jc w:val="both"/>
        <w:rPr>
          <w:rFonts w:ascii="Calibri" w:hAnsi="Calibri" w:cs="Calibri"/>
          <w:sz w:val="22"/>
        </w:rPr>
      </w:pPr>
      <w:r w:rsidRPr="00F2205B">
        <w:rPr>
          <w:rFonts w:ascii="Calibri" w:hAnsi="Calibri" w:cs="Calibri"/>
          <w:sz w:val="22"/>
          <w:lang w:val="en-US"/>
        </w:rPr>
        <w:t>End Food Waste Australia</w:t>
      </w:r>
      <w:r w:rsidR="00E25A73" w:rsidRPr="00F2205B">
        <w:rPr>
          <w:rFonts w:ascii="Calibri" w:hAnsi="Calibri" w:cs="Calibri"/>
          <w:sz w:val="22"/>
          <w:lang w:val="en-US"/>
        </w:rPr>
        <w:t>.</w:t>
      </w:r>
      <w:r w:rsidRPr="00F2205B">
        <w:rPr>
          <w:rFonts w:ascii="Calibri" w:hAnsi="Calibri" w:cs="Calibri"/>
          <w:sz w:val="22"/>
          <w:lang w:val="en-US"/>
        </w:rPr>
        <w:t xml:space="preserve"> 2020. Food Rescue: Sector Action Plan, </w:t>
      </w:r>
      <w:r w:rsidRPr="00F2205B">
        <w:rPr>
          <w:rFonts w:ascii="Calibri" w:hAnsi="Calibri" w:cs="Calibri"/>
          <w:sz w:val="22"/>
        </w:rPr>
        <w:t>Food Innovation Australia Ltd</w:t>
      </w:r>
      <w:r w:rsidR="00E25A73" w:rsidRPr="00F2205B">
        <w:rPr>
          <w:rFonts w:ascii="Calibri" w:hAnsi="Calibri" w:cs="Calibri"/>
          <w:sz w:val="22"/>
        </w:rPr>
        <w:t>.</w:t>
      </w:r>
      <w:r w:rsidRPr="00F2205B">
        <w:rPr>
          <w:rFonts w:ascii="Calibri" w:hAnsi="Calibri" w:cs="Calibri"/>
          <w:sz w:val="22"/>
        </w:rPr>
        <w:t xml:space="preserve"> </w:t>
      </w:r>
      <w:hyperlink r:id="rId21" w:history="1">
        <w:r w:rsidR="00FD4A1F" w:rsidRPr="00F2205B">
          <w:rPr>
            <w:rStyle w:val="Hyperlink"/>
            <w:rFonts w:ascii="Calibri" w:hAnsi="Calibri" w:cs="Calibri"/>
            <w:sz w:val="22"/>
          </w:rPr>
          <w:t>https://wpstaq-ap-southeast-2-media.s3.amazonaws.com/endfwa/wp-content/uploads/media/2023/11/Food-Rescue-Sector-Action-Plan-Full-Report_Final-2.pdf</w:t>
        </w:r>
      </w:hyperlink>
      <w:r w:rsidR="006A3480" w:rsidRPr="00F2205B">
        <w:rPr>
          <w:rFonts w:ascii="Calibri" w:hAnsi="Calibri" w:cs="Calibri"/>
          <w:sz w:val="22"/>
        </w:rPr>
        <w:t>.</w:t>
      </w:r>
    </w:p>
    <w:p w14:paraId="7743532F" w14:textId="77777777" w:rsidR="00C6446A" w:rsidRDefault="00C6446A" w:rsidP="00F2205B">
      <w:pPr>
        <w:spacing w:after="0" w:line="240" w:lineRule="auto"/>
        <w:jc w:val="both"/>
        <w:rPr>
          <w:rFonts w:ascii="Calibri" w:hAnsi="Calibri" w:cs="Calibri"/>
          <w:sz w:val="22"/>
        </w:rPr>
      </w:pPr>
    </w:p>
    <w:p w14:paraId="2E6433B7" w14:textId="5C61518F" w:rsidR="00C6446A" w:rsidRPr="00F2205B" w:rsidRDefault="00C6446A" w:rsidP="00F2205B">
      <w:pPr>
        <w:spacing w:after="0" w:line="240" w:lineRule="auto"/>
        <w:jc w:val="both"/>
        <w:rPr>
          <w:rFonts w:ascii="Calibri" w:hAnsi="Calibri" w:cs="Calibri"/>
          <w:sz w:val="22"/>
          <w:lang w:val="en-US"/>
        </w:rPr>
      </w:pPr>
      <w:r>
        <w:rPr>
          <w:rFonts w:ascii="Calibri" w:hAnsi="Calibri" w:cs="Calibri"/>
          <w:sz w:val="22"/>
        </w:rPr>
        <w:lastRenderedPageBreak/>
        <w:t>European Commission</w:t>
      </w:r>
      <w:r w:rsidR="00682B4C">
        <w:rPr>
          <w:rFonts w:ascii="Calibri" w:hAnsi="Calibri" w:cs="Calibri"/>
          <w:sz w:val="22"/>
        </w:rPr>
        <w:t xml:space="preserve"> (2025), Financial Rules on Food Donation, </w:t>
      </w:r>
      <w:r w:rsidR="0071014E">
        <w:rPr>
          <w:rFonts w:ascii="Calibri" w:hAnsi="Calibri" w:cs="Calibri"/>
          <w:sz w:val="22"/>
        </w:rPr>
        <w:t xml:space="preserve">Factsheet, Available at: </w:t>
      </w:r>
      <w:r w:rsidR="00682B4C" w:rsidRPr="00682B4C">
        <w:rPr>
          <w:rFonts w:ascii="Calibri" w:hAnsi="Calibri" w:cs="Calibri"/>
          <w:sz w:val="22"/>
        </w:rPr>
        <w:t>https://food.ec.europa.eu/document/download/b915c933-3cbe-4d8b-8b5a-df86417bfc84_en?filename=fw_factsheet_fd_financial-rules_en.pdf</w:t>
      </w:r>
    </w:p>
    <w:p w14:paraId="6659B23C" w14:textId="77777777" w:rsidR="00FA2B67" w:rsidRDefault="00FA2B67" w:rsidP="00F2205B">
      <w:pPr>
        <w:spacing w:after="0" w:line="240" w:lineRule="auto"/>
        <w:jc w:val="both"/>
        <w:rPr>
          <w:rFonts w:ascii="Calibri" w:hAnsi="Calibri" w:cs="Calibri"/>
          <w:sz w:val="22"/>
          <w:lang w:val="en-US"/>
        </w:rPr>
      </w:pPr>
    </w:p>
    <w:p w14:paraId="3A57C8F7" w14:textId="6FFA09DF"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Foodbank</w:t>
      </w:r>
      <w:r w:rsidR="00FD4A1F" w:rsidRPr="00F2205B">
        <w:rPr>
          <w:rFonts w:ascii="Calibri" w:hAnsi="Calibri" w:cs="Calibri"/>
          <w:sz w:val="22"/>
          <w:lang w:val="en-US"/>
        </w:rPr>
        <w:t>.</w:t>
      </w:r>
      <w:r w:rsidRPr="00F2205B">
        <w:rPr>
          <w:rFonts w:ascii="Calibri" w:hAnsi="Calibri" w:cs="Calibri"/>
          <w:sz w:val="22"/>
          <w:lang w:val="en-US"/>
        </w:rPr>
        <w:t xml:space="preserve"> 2018. Rumbling </w:t>
      </w:r>
      <w:r w:rsidR="00FD4A1F" w:rsidRPr="00F2205B">
        <w:rPr>
          <w:rFonts w:ascii="Calibri" w:hAnsi="Calibri" w:cs="Calibri"/>
          <w:sz w:val="22"/>
          <w:lang w:val="en-US"/>
        </w:rPr>
        <w:t xml:space="preserve">Tummies: Child Hunger in </w:t>
      </w:r>
      <w:r w:rsidRPr="00F2205B">
        <w:rPr>
          <w:rFonts w:ascii="Calibri" w:hAnsi="Calibri" w:cs="Calibri"/>
          <w:sz w:val="22"/>
          <w:lang w:val="en-US"/>
        </w:rPr>
        <w:t>Australia. North Ryde, NSW, Foodbank.</w:t>
      </w:r>
      <w:r w:rsidR="00FD4A1F" w:rsidRPr="00F2205B">
        <w:rPr>
          <w:rFonts w:ascii="Calibri" w:hAnsi="Calibri" w:cs="Calibri"/>
          <w:sz w:val="22"/>
          <w:lang w:val="en-US"/>
        </w:rPr>
        <w:t xml:space="preserve"> </w:t>
      </w:r>
      <w:hyperlink r:id="rId22" w:history="1">
        <w:r w:rsidR="00FD4A1F" w:rsidRPr="00F2205B">
          <w:rPr>
            <w:rStyle w:val="Hyperlink"/>
            <w:rFonts w:ascii="Calibri" w:hAnsi="Calibri" w:cs="Calibri"/>
            <w:sz w:val="22"/>
            <w:lang w:val="en-US"/>
          </w:rPr>
          <w:t>https://www.foodbank.org.au/wp-content/uploads/Rumbling-Tummies-Full-Report-2018.pdf</w:t>
        </w:r>
      </w:hyperlink>
      <w:r w:rsidR="00E57F3D" w:rsidRPr="00F2205B">
        <w:rPr>
          <w:rFonts w:ascii="Calibri" w:hAnsi="Calibri" w:cs="Calibri"/>
          <w:sz w:val="22"/>
          <w:lang w:val="en-US"/>
        </w:rPr>
        <w:t xml:space="preserve">. </w:t>
      </w:r>
    </w:p>
    <w:p w14:paraId="512DFA04" w14:textId="77777777" w:rsidR="004F4A4F" w:rsidRDefault="004F4A4F" w:rsidP="00F2205B">
      <w:pPr>
        <w:spacing w:after="0" w:line="240" w:lineRule="auto"/>
        <w:jc w:val="both"/>
        <w:rPr>
          <w:rFonts w:ascii="Calibri" w:hAnsi="Calibri" w:cs="Calibri"/>
          <w:sz w:val="22"/>
          <w:lang w:val="en-US"/>
        </w:rPr>
      </w:pPr>
    </w:p>
    <w:p w14:paraId="02F503B7" w14:textId="0F83DFD0"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Foodbank</w:t>
      </w:r>
      <w:r w:rsidR="00FD4A1F" w:rsidRPr="00F2205B">
        <w:rPr>
          <w:rFonts w:ascii="Calibri" w:hAnsi="Calibri" w:cs="Calibri"/>
          <w:sz w:val="22"/>
          <w:lang w:val="en-US"/>
        </w:rPr>
        <w:t xml:space="preserve">. </w:t>
      </w:r>
      <w:r w:rsidRPr="00F2205B">
        <w:rPr>
          <w:rFonts w:ascii="Calibri" w:hAnsi="Calibri" w:cs="Calibri"/>
          <w:sz w:val="22"/>
          <w:lang w:val="en-US"/>
        </w:rPr>
        <w:t xml:space="preserve">2024. </w:t>
      </w:r>
      <w:r w:rsidR="00FD4A1F" w:rsidRPr="00F2205B">
        <w:rPr>
          <w:rFonts w:ascii="Calibri" w:hAnsi="Calibri" w:cs="Calibri"/>
          <w:sz w:val="22"/>
          <w:lang w:val="en-US"/>
        </w:rPr>
        <w:t xml:space="preserve">National </w:t>
      </w:r>
      <w:r w:rsidRPr="00F2205B">
        <w:rPr>
          <w:rFonts w:ascii="Calibri" w:hAnsi="Calibri" w:cs="Calibri"/>
          <w:sz w:val="22"/>
          <w:lang w:val="en-US"/>
        </w:rPr>
        <w:t>Food Donation Tax Incentive.</w:t>
      </w:r>
      <w:r w:rsidR="00FD4A1F" w:rsidRPr="00F2205B">
        <w:rPr>
          <w:rFonts w:ascii="Calibri" w:hAnsi="Calibri" w:cs="Calibri"/>
          <w:sz w:val="22"/>
          <w:lang w:val="en-US"/>
        </w:rPr>
        <w:t xml:space="preserve"> </w:t>
      </w:r>
      <w:hyperlink r:id="rId23" w:history="1">
        <w:r w:rsidR="00FD4A1F" w:rsidRPr="00F2205B">
          <w:rPr>
            <w:rStyle w:val="Hyperlink"/>
            <w:rFonts w:ascii="Calibri" w:hAnsi="Calibri" w:cs="Calibri"/>
            <w:sz w:val="22"/>
            <w:lang w:val="en-US"/>
          </w:rPr>
          <w:t>https://www.foodbank.org.au/national-food-donation-tax-incentive-resources/</w:t>
        </w:r>
      </w:hyperlink>
      <w:r w:rsidR="00FD4A1F" w:rsidRPr="00F2205B">
        <w:rPr>
          <w:rFonts w:ascii="Calibri" w:hAnsi="Calibri" w:cs="Calibri"/>
          <w:sz w:val="22"/>
          <w:lang w:val="en-US"/>
        </w:rPr>
        <w:t xml:space="preserve">. </w:t>
      </w:r>
    </w:p>
    <w:p w14:paraId="7E4EBF41" w14:textId="77777777" w:rsidR="006D2404" w:rsidRDefault="006D2404" w:rsidP="006D2404">
      <w:pPr>
        <w:spacing w:after="0" w:line="240" w:lineRule="auto"/>
        <w:jc w:val="both"/>
        <w:rPr>
          <w:rFonts w:ascii="Calibri" w:hAnsi="Calibri" w:cs="Calibri"/>
          <w:sz w:val="22"/>
          <w:lang w:val="en-US"/>
        </w:rPr>
      </w:pPr>
    </w:p>
    <w:p w14:paraId="34676A2D" w14:textId="6A7E100F" w:rsidR="006D2404" w:rsidRPr="00F2205B" w:rsidRDefault="006D2404" w:rsidP="006D2404">
      <w:pPr>
        <w:spacing w:after="0" w:line="240" w:lineRule="auto"/>
        <w:jc w:val="both"/>
        <w:rPr>
          <w:rFonts w:ascii="Calibri" w:hAnsi="Calibri" w:cs="Calibri"/>
          <w:sz w:val="22"/>
          <w:lang w:val="en-US"/>
        </w:rPr>
      </w:pPr>
      <w:r w:rsidRPr="00F2205B">
        <w:rPr>
          <w:rFonts w:ascii="Calibri" w:hAnsi="Calibri" w:cs="Calibri"/>
          <w:sz w:val="22"/>
          <w:lang w:val="en-US"/>
        </w:rPr>
        <w:t>Foodbank. 202</w:t>
      </w:r>
      <w:r>
        <w:rPr>
          <w:rFonts w:ascii="Calibri" w:hAnsi="Calibri" w:cs="Calibri"/>
          <w:sz w:val="22"/>
          <w:lang w:val="en-US"/>
        </w:rPr>
        <w:t>4</w:t>
      </w:r>
      <w:r w:rsidRPr="00F2205B">
        <w:rPr>
          <w:rFonts w:ascii="Calibri" w:hAnsi="Calibri" w:cs="Calibri"/>
          <w:sz w:val="22"/>
          <w:lang w:val="en-US"/>
        </w:rPr>
        <w:t>. Foodbank Hunger Report 202</w:t>
      </w:r>
      <w:r>
        <w:rPr>
          <w:rFonts w:ascii="Calibri" w:hAnsi="Calibri" w:cs="Calibri"/>
          <w:sz w:val="22"/>
          <w:lang w:val="en-US"/>
        </w:rPr>
        <w:t>4</w:t>
      </w:r>
      <w:r w:rsidRPr="00F2205B">
        <w:rPr>
          <w:rFonts w:ascii="Calibri" w:hAnsi="Calibri" w:cs="Calibri"/>
          <w:sz w:val="22"/>
          <w:lang w:val="en-US"/>
        </w:rPr>
        <w:t xml:space="preserve"> Media Release. </w:t>
      </w:r>
      <w:hyperlink r:id="rId24" w:history="1">
        <w:r w:rsidR="005652DD" w:rsidRPr="00722DD0">
          <w:rPr>
            <w:rStyle w:val="Hyperlink"/>
            <w:rFonts w:ascii="Calibri" w:hAnsi="Calibri" w:cs="Calibri"/>
            <w:sz w:val="22"/>
            <w:lang w:val="en-US"/>
          </w:rPr>
          <w:t>https://www.foodbank.org.au/foodbank-hunger-report-2024-media-release/</w:t>
        </w:r>
      </w:hyperlink>
      <w:r w:rsidRPr="00F2205B">
        <w:rPr>
          <w:rFonts w:ascii="Calibri" w:hAnsi="Calibri" w:cs="Calibri"/>
          <w:sz w:val="22"/>
          <w:lang w:val="en-US"/>
        </w:rPr>
        <w:t>.</w:t>
      </w:r>
    </w:p>
    <w:p w14:paraId="16D46DD9" w14:textId="77777777" w:rsidR="00FA2B67" w:rsidRDefault="00FA2B67" w:rsidP="00F2205B">
      <w:pPr>
        <w:spacing w:after="0" w:line="240" w:lineRule="auto"/>
        <w:jc w:val="both"/>
        <w:rPr>
          <w:rFonts w:ascii="Calibri" w:hAnsi="Calibri" w:cs="Calibri"/>
          <w:sz w:val="22"/>
          <w:lang w:val="en-US"/>
        </w:rPr>
      </w:pPr>
    </w:p>
    <w:p w14:paraId="220691BD" w14:textId="1A179C50"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Foodbank</w:t>
      </w:r>
      <w:r w:rsidR="00FD4A1F" w:rsidRPr="00F2205B">
        <w:rPr>
          <w:rFonts w:ascii="Calibri" w:hAnsi="Calibri" w:cs="Calibri"/>
          <w:sz w:val="22"/>
          <w:lang w:val="en-US"/>
        </w:rPr>
        <w:t xml:space="preserve">. </w:t>
      </w:r>
      <w:r w:rsidRPr="00F2205B">
        <w:rPr>
          <w:rFonts w:ascii="Calibri" w:hAnsi="Calibri" w:cs="Calibri"/>
          <w:sz w:val="22"/>
          <w:lang w:val="en-US"/>
        </w:rPr>
        <w:t>2025. Foodbank Hunger Report 2025 Media Release.</w:t>
      </w:r>
      <w:r w:rsidR="00FD4A1F" w:rsidRPr="00F2205B">
        <w:rPr>
          <w:rFonts w:ascii="Calibri" w:hAnsi="Calibri" w:cs="Calibri"/>
          <w:sz w:val="22"/>
          <w:lang w:val="en-US"/>
        </w:rPr>
        <w:t xml:space="preserve"> </w:t>
      </w:r>
      <w:hyperlink r:id="rId25" w:history="1">
        <w:r w:rsidR="00A62F1F" w:rsidRPr="00F2205B">
          <w:rPr>
            <w:rStyle w:val="Hyperlink"/>
            <w:rFonts w:ascii="Calibri" w:hAnsi="Calibri" w:cs="Calibri"/>
            <w:sz w:val="22"/>
            <w:lang w:val="en-US"/>
          </w:rPr>
          <w:t>https://www.foodbank.org.au/foodbank-hunger-report-2025-media-release/</w:t>
        </w:r>
      </w:hyperlink>
      <w:r w:rsidR="00A62F1F" w:rsidRPr="00F2205B">
        <w:rPr>
          <w:rFonts w:ascii="Calibri" w:hAnsi="Calibri" w:cs="Calibri"/>
          <w:sz w:val="22"/>
          <w:lang w:val="en-US"/>
        </w:rPr>
        <w:t>.</w:t>
      </w:r>
    </w:p>
    <w:p w14:paraId="41DBEC8F" w14:textId="77777777" w:rsidR="006D2404" w:rsidRDefault="006D2404" w:rsidP="00F2205B">
      <w:pPr>
        <w:spacing w:after="0" w:line="240" w:lineRule="auto"/>
        <w:jc w:val="both"/>
        <w:rPr>
          <w:rFonts w:ascii="Calibri" w:hAnsi="Calibri" w:cs="Calibri"/>
          <w:sz w:val="22"/>
          <w:lang w:val="en-US"/>
        </w:rPr>
      </w:pPr>
    </w:p>
    <w:p w14:paraId="64458C2B" w14:textId="77A9A2EA"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Foodbank, </w:t>
      </w:r>
      <w:r w:rsidR="00A62F1F" w:rsidRPr="00F2205B">
        <w:rPr>
          <w:rFonts w:ascii="Calibri" w:hAnsi="Calibri" w:cs="Calibri"/>
          <w:sz w:val="22"/>
          <w:lang w:val="en-US"/>
        </w:rPr>
        <w:t>Oz Harvest and Second</w:t>
      </w:r>
      <w:r w:rsidR="00EE0FF1" w:rsidRPr="00F2205B">
        <w:rPr>
          <w:rFonts w:ascii="Calibri" w:hAnsi="Calibri" w:cs="Calibri"/>
          <w:sz w:val="22"/>
          <w:lang w:val="en-US"/>
        </w:rPr>
        <w:t>B</w:t>
      </w:r>
      <w:r w:rsidR="00A62F1F" w:rsidRPr="00F2205B">
        <w:rPr>
          <w:rFonts w:ascii="Calibri" w:hAnsi="Calibri" w:cs="Calibri"/>
          <w:sz w:val="22"/>
          <w:lang w:val="en-US"/>
        </w:rPr>
        <w:t>ite</w:t>
      </w:r>
      <w:r w:rsidRPr="00F2205B">
        <w:rPr>
          <w:rFonts w:ascii="Calibri" w:hAnsi="Calibri" w:cs="Calibri"/>
          <w:sz w:val="22"/>
          <w:lang w:val="en-US"/>
        </w:rPr>
        <w:t>. 2024. National Food Relief Sector submission: Tax Laws Amendment (Incentivising Food Donations to Charitable Organisations) Bill 2024.</w:t>
      </w:r>
    </w:p>
    <w:p w14:paraId="5F16ACC8" w14:textId="77777777" w:rsidR="00175600" w:rsidRDefault="00175600" w:rsidP="00175600">
      <w:pPr>
        <w:spacing w:after="0" w:line="240" w:lineRule="auto"/>
        <w:jc w:val="both"/>
        <w:rPr>
          <w:rFonts w:ascii="Calibri" w:hAnsi="Calibri" w:cs="Calibri"/>
          <w:sz w:val="22"/>
          <w:lang w:val="en-US"/>
        </w:rPr>
      </w:pPr>
    </w:p>
    <w:p w14:paraId="4962A3F8" w14:textId="50464C0A" w:rsidR="00FA2B67" w:rsidRDefault="00175600" w:rsidP="00F2205B">
      <w:pPr>
        <w:spacing w:after="0" w:line="240" w:lineRule="auto"/>
        <w:jc w:val="both"/>
        <w:rPr>
          <w:rFonts w:ascii="Calibri" w:hAnsi="Calibri" w:cs="Calibri"/>
          <w:sz w:val="22"/>
          <w:lang w:val="en-US"/>
        </w:rPr>
      </w:pPr>
      <w:r w:rsidRPr="00F2205B">
        <w:rPr>
          <w:rFonts w:ascii="Calibri" w:hAnsi="Calibri" w:cs="Calibri"/>
          <w:sz w:val="22"/>
          <w:lang w:val="en-US"/>
        </w:rPr>
        <w:t>Food and Agriculture Organization. 20</w:t>
      </w:r>
      <w:r>
        <w:rPr>
          <w:rFonts w:ascii="Calibri" w:hAnsi="Calibri" w:cs="Calibri"/>
          <w:sz w:val="22"/>
          <w:lang w:val="en-US"/>
        </w:rPr>
        <w:t>08</w:t>
      </w:r>
      <w:r w:rsidRPr="00F2205B">
        <w:rPr>
          <w:rFonts w:ascii="Calibri" w:hAnsi="Calibri" w:cs="Calibri"/>
          <w:sz w:val="22"/>
          <w:lang w:val="en-US"/>
        </w:rPr>
        <w:t xml:space="preserve">. </w:t>
      </w:r>
      <w:r w:rsidR="003F4802" w:rsidRPr="00065379">
        <w:rPr>
          <w:rFonts w:ascii="Calibri" w:hAnsi="Calibri" w:cs="Calibri"/>
          <w:i/>
          <w:iCs/>
          <w:sz w:val="22"/>
          <w:lang w:val="en-US"/>
        </w:rPr>
        <w:t>An introduction to the Basic Concepts of Food Security</w:t>
      </w:r>
      <w:r w:rsidR="003F4802">
        <w:rPr>
          <w:rFonts w:ascii="Calibri" w:hAnsi="Calibri" w:cs="Calibri"/>
          <w:sz w:val="22"/>
          <w:lang w:val="en-US"/>
        </w:rPr>
        <w:t>.</w:t>
      </w:r>
      <w:r w:rsidR="00C77ED5">
        <w:rPr>
          <w:rFonts w:ascii="Calibri" w:hAnsi="Calibri" w:cs="Calibri"/>
          <w:sz w:val="22"/>
          <w:lang w:val="en-US"/>
        </w:rPr>
        <w:t xml:space="preserve"> Food Security Information for Action </w:t>
      </w:r>
      <w:r w:rsidR="00AC1775">
        <w:rPr>
          <w:rFonts w:ascii="Calibri" w:hAnsi="Calibri" w:cs="Calibri"/>
          <w:sz w:val="22"/>
          <w:lang w:val="en-US"/>
        </w:rPr>
        <w:t>–</w:t>
      </w:r>
      <w:r w:rsidR="00C77ED5">
        <w:rPr>
          <w:rFonts w:ascii="Calibri" w:hAnsi="Calibri" w:cs="Calibri"/>
          <w:sz w:val="22"/>
          <w:lang w:val="en-US"/>
        </w:rPr>
        <w:t xml:space="preserve"> </w:t>
      </w:r>
      <w:r w:rsidR="00AC1775">
        <w:rPr>
          <w:rFonts w:ascii="Calibri" w:hAnsi="Calibri" w:cs="Calibri"/>
          <w:sz w:val="22"/>
          <w:lang w:val="en-US"/>
        </w:rPr>
        <w:t xml:space="preserve">Practical Guides, FAO, Rome. </w:t>
      </w:r>
      <w:r w:rsidR="00646B22" w:rsidRPr="00646B22">
        <w:rPr>
          <w:rFonts w:ascii="Calibri" w:hAnsi="Calibri" w:cs="Calibri"/>
          <w:sz w:val="22"/>
          <w:lang w:val="en-US"/>
        </w:rPr>
        <w:t>https://www.fao.org/4/al936e/al936e00.pdf</w:t>
      </w:r>
    </w:p>
    <w:p w14:paraId="0152C848" w14:textId="77777777" w:rsidR="00C77ED5" w:rsidRDefault="00C77ED5" w:rsidP="00F2205B">
      <w:pPr>
        <w:spacing w:after="0" w:line="240" w:lineRule="auto"/>
        <w:jc w:val="both"/>
        <w:rPr>
          <w:rFonts w:ascii="Calibri" w:hAnsi="Calibri" w:cs="Calibri"/>
          <w:sz w:val="22"/>
          <w:lang w:val="en-US"/>
        </w:rPr>
      </w:pPr>
    </w:p>
    <w:p w14:paraId="50A3BB81" w14:textId="4EA05972" w:rsidR="00531EE1" w:rsidRPr="00F2205B" w:rsidRDefault="00531EE1"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Food and Agriculture Organization. 2011. Global food losses and food waste: 3. Extent of food losses and waste. </w:t>
      </w:r>
      <w:r w:rsidR="00646B22">
        <w:rPr>
          <w:rFonts w:ascii="Calibri" w:hAnsi="Calibri" w:cs="Calibri"/>
          <w:sz w:val="22"/>
          <w:lang w:val="en-US"/>
        </w:rPr>
        <w:t xml:space="preserve">FAO, </w:t>
      </w:r>
      <w:r w:rsidRPr="00F2205B">
        <w:rPr>
          <w:rFonts w:ascii="Calibri" w:hAnsi="Calibri" w:cs="Calibri"/>
          <w:sz w:val="22"/>
        </w:rPr>
        <w:t>Rome</w:t>
      </w:r>
      <w:r w:rsidRPr="00F2205B">
        <w:rPr>
          <w:rFonts w:ascii="Calibri" w:hAnsi="Calibri" w:cs="Calibri"/>
          <w:sz w:val="22"/>
          <w:lang w:val="en-US"/>
        </w:rPr>
        <w:t xml:space="preserve">. </w:t>
      </w:r>
      <w:hyperlink r:id="rId26" w:history="1">
        <w:r w:rsidRPr="00F2205B">
          <w:rPr>
            <w:rStyle w:val="Hyperlink"/>
            <w:rFonts w:ascii="Calibri" w:hAnsi="Calibri" w:cs="Calibri"/>
            <w:sz w:val="22"/>
            <w:lang w:val="en-US"/>
          </w:rPr>
          <w:t>https://www.fao.org/4/mb060e/mb060e02.pdf</w:t>
        </w:r>
      </w:hyperlink>
      <w:r w:rsidRPr="00F2205B">
        <w:rPr>
          <w:rFonts w:ascii="Calibri" w:hAnsi="Calibri" w:cs="Calibri"/>
          <w:sz w:val="22"/>
          <w:lang w:val="en-US"/>
        </w:rPr>
        <w:t xml:space="preserve">. </w:t>
      </w:r>
    </w:p>
    <w:p w14:paraId="7651B799" w14:textId="77777777" w:rsidR="00FA2B67" w:rsidRDefault="00FA2B67" w:rsidP="00F2205B">
      <w:pPr>
        <w:spacing w:after="0" w:line="240" w:lineRule="auto"/>
        <w:jc w:val="both"/>
        <w:rPr>
          <w:rFonts w:ascii="Calibri" w:hAnsi="Calibri" w:cs="Calibri"/>
          <w:sz w:val="22"/>
          <w:lang w:val="en-US"/>
        </w:rPr>
      </w:pPr>
    </w:p>
    <w:p w14:paraId="6A1CF36E" w14:textId="37FD5827" w:rsidR="00A62F1F" w:rsidRPr="00F2205B" w:rsidRDefault="00A62F1F" w:rsidP="00F2205B">
      <w:pPr>
        <w:spacing w:after="0" w:line="240" w:lineRule="auto"/>
        <w:jc w:val="both"/>
        <w:rPr>
          <w:rFonts w:ascii="Calibri" w:hAnsi="Calibri" w:cs="Calibri"/>
          <w:sz w:val="22"/>
        </w:rPr>
      </w:pPr>
      <w:r w:rsidRPr="00F2205B">
        <w:rPr>
          <w:rFonts w:ascii="Calibri" w:hAnsi="Calibri" w:cs="Calibri"/>
          <w:sz w:val="22"/>
        </w:rPr>
        <w:t xml:space="preserve">Fry, Jane M, Jeromey B Temple, and Ruth Williams. 2025. “Food Insecurity and Health Conditions in the Australian Adult Population: A Nationally Representative Analysis.” </w:t>
      </w:r>
      <w:r w:rsidRPr="00F2205B">
        <w:rPr>
          <w:rFonts w:ascii="Calibri" w:hAnsi="Calibri" w:cs="Calibri"/>
          <w:i/>
          <w:iCs/>
          <w:sz w:val="22"/>
        </w:rPr>
        <w:t>Nutrition &amp; Dietetics</w:t>
      </w:r>
      <w:r w:rsidRPr="00F2205B">
        <w:rPr>
          <w:rFonts w:ascii="Calibri" w:hAnsi="Calibri" w:cs="Calibri"/>
          <w:sz w:val="22"/>
        </w:rPr>
        <w:t xml:space="preserve"> (Melbourne) 82 (1): 64–75. </w:t>
      </w:r>
      <w:hyperlink r:id="rId27" w:history="1">
        <w:r w:rsidR="00531EE1" w:rsidRPr="00F2205B">
          <w:rPr>
            <w:rStyle w:val="Hyperlink"/>
            <w:rFonts w:ascii="Calibri" w:hAnsi="Calibri" w:cs="Calibri"/>
            <w:sz w:val="22"/>
          </w:rPr>
          <w:t>https://doi.org/10.1111/1747-0080.12907</w:t>
        </w:r>
      </w:hyperlink>
      <w:r w:rsidRPr="00F2205B">
        <w:rPr>
          <w:rFonts w:ascii="Calibri" w:hAnsi="Calibri" w:cs="Calibri"/>
          <w:sz w:val="22"/>
        </w:rPr>
        <w:t>.</w:t>
      </w:r>
      <w:r w:rsidR="00531EE1" w:rsidRPr="00F2205B">
        <w:rPr>
          <w:rFonts w:ascii="Calibri" w:hAnsi="Calibri" w:cs="Calibri"/>
          <w:sz w:val="22"/>
        </w:rPr>
        <w:t xml:space="preserve"> </w:t>
      </w:r>
    </w:p>
    <w:p w14:paraId="43C12C67" w14:textId="77777777" w:rsidR="00FA2B67" w:rsidRDefault="00FA2B67" w:rsidP="00F2205B">
      <w:pPr>
        <w:spacing w:after="0" w:line="240" w:lineRule="auto"/>
        <w:jc w:val="both"/>
        <w:rPr>
          <w:rFonts w:ascii="Calibri" w:hAnsi="Calibri" w:cs="Calibri"/>
          <w:sz w:val="22"/>
        </w:rPr>
      </w:pPr>
    </w:p>
    <w:p w14:paraId="79EF1A09" w14:textId="5C1243D5" w:rsidR="00A62F1F" w:rsidRDefault="00A62F1F" w:rsidP="00F2205B">
      <w:pPr>
        <w:spacing w:after="0" w:line="240" w:lineRule="auto"/>
        <w:jc w:val="both"/>
        <w:rPr>
          <w:rFonts w:ascii="Calibri" w:hAnsi="Calibri" w:cs="Calibri"/>
          <w:sz w:val="22"/>
        </w:rPr>
      </w:pPr>
      <w:r w:rsidRPr="00F2205B">
        <w:rPr>
          <w:rFonts w:ascii="Calibri" w:hAnsi="Calibri" w:cs="Calibri"/>
          <w:sz w:val="22"/>
        </w:rPr>
        <w:t xml:space="preserve">Gill, Timothy P, Louise A Baur, Adrian E Bauman, Kate S Steinbeck, Leonard H Storlien, Maria A Fiatarone Singh, Jennie C Brand‐Miller, Stephen Colagiuri, and Ian D Caterson. 2009. “Childhood Obesity in Australia Remains a Widespread Health Concern That Warrants Population-Wide Prevention Programs.” </w:t>
      </w:r>
      <w:r w:rsidRPr="00F2205B">
        <w:rPr>
          <w:rFonts w:ascii="Calibri" w:hAnsi="Calibri" w:cs="Calibri"/>
          <w:i/>
          <w:iCs/>
          <w:sz w:val="22"/>
        </w:rPr>
        <w:t>Medical Journal of Australia</w:t>
      </w:r>
      <w:r w:rsidRPr="00F2205B">
        <w:rPr>
          <w:rFonts w:ascii="Calibri" w:hAnsi="Calibri" w:cs="Calibri"/>
          <w:sz w:val="22"/>
        </w:rPr>
        <w:t xml:space="preserve"> (Sydney) 190 (3): 146–48. </w:t>
      </w:r>
      <w:hyperlink r:id="rId28" w:history="1">
        <w:r w:rsidRPr="00F2205B">
          <w:rPr>
            <w:rStyle w:val="Hyperlink"/>
            <w:rFonts w:ascii="Calibri" w:hAnsi="Calibri" w:cs="Calibri"/>
            <w:sz w:val="22"/>
          </w:rPr>
          <w:t>https://doi.org/10.5694/j.1326-5377.2009.tb02318.x</w:t>
        </w:r>
      </w:hyperlink>
      <w:r w:rsidRPr="00F2205B">
        <w:rPr>
          <w:rFonts w:ascii="Calibri" w:hAnsi="Calibri" w:cs="Calibri"/>
          <w:sz w:val="22"/>
        </w:rPr>
        <w:t xml:space="preserve">. </w:t>
      </w:r>
    </w:p>
    <w:p w14:paraId="166C92CE" w14:textId="77777777" w:rsidR="00292B6A" w:rsidRDefault="00292B6A" w:rsidP="00F2205B">
      <w:pPr>
        <w:spacing w:after="0" w:line="240" w:lineRule="auto"/>
        <w:jc w:val="both"/>
        <w:rPr>
          <w:rFonts w:ascii="Calibri" w:hAnsi="Calibri" w:cs="Calibri"/>
          <w:sz w:val="22"/>
        </w:rPr>
      </w:pPr>
    </w:p>
    <w:p w14:paraId="62EE717D" w14:textId="77777777" w:rsidR="009C6D87" w:rsidRPr="00F2205B" w:rsidRDefault="00292B6A" w:rsidP="009C6D87">
      <w:pPr>
        <w:spacing w:after="0" w:line="240" w:lineRule="auto"/>
        <w:jc w:val="both"/>
        <w:rPr>
          <w:rFonts w:ascii="Calibri" w:hAnsi="Calibri" w:cs="Calibri"/>
          <w:sz w:val="22"/>
        </w:rPr>
      </w:pPr>
      <w:r>
        <w:rPr>
          <w:rFonts w:ascii="Calibri" w:hAnsi="Calibri" w:cs="Calibri"/>
          <w:sz w:val="22"/>
        </w:rPr>
        <w:t>Government of British Columbia</w:t>
      </w:r>
      <w:r w:rsidR="00E12BFB">
        <w:rPr>
          <w:rFonts w:ascii="Calibri" w:hAnsi="Calibri" w:cs="Calibri"/>
          <w:sz w:val="22"/>
        </w:rPr>
        <w:t xml:space="preserve"> </w:t>
      </w:r>
      <w:r>
        <w:rPr>
          <w:rFonts w:ascii="Calibri" w:hAnsi="Calibri" w:cs="Calibri"/>
          <w:sz w:val="22"/>
        </w:rPr>
        <w:t xml:space="preserve">(2026), </w:t>
      </w:r>
      <w:r w:rsidR="00E12BFB" w:rsidRPr="00E12BFB">
        <w:rPr>
          <w:rFonts w:ascii="Calibri" w:hAnsi="Calibri" w:cs="Calibri"/>
          <w:sz w:val="22"/>
        </w:rPr>
        <w:t>B.C. farmers' food donation personal income tax credit</w:t>
      </w:r>
      <w:r w:rsidR="00E12BFB">
        <w:rPr>
          <w:rFonts w:ascii="Calibri" w:hAnsi="Calibri" w:cs="Calibri"/>
          <w:sz w:val="22"/>
        </w:rPr>
        <w:t xml:space="preserve">, </w:t>
      </w:r>
      <w:r w:rsidR="009C6D87">
        <w:rPr>
          <w:rFonts w:ascii="Calibri" w:hAnsi="Calibri" w:cs="Calibri"/>
          <w:sz w:val="22"/>
        </w:rPr>
        <w:t xml:space="preserve">Available at: </w:t>
      </w:r>
      <w:r w:rsidR="009C6D87" w:rsidRPr="00495D51">
        <w:rPr>
          <w:rFonts w:ascii="Calibri" w:hAnsi="Calibri" w:cs="Calibri"/>
          <w:sz w:val="22"/>
        </w:rPr>
        <w:t>https://www2.gov.bc.ca/gov/content/taxes/income-taxes/personal/credits/farmers-food-donation</w:t>
      </w:r>
      <w:r w:rsidR="009C6D87" w:rsidRPr="00F2205B">
        <w:rPr>
          <w:rFonts w:ascii="Calibri" w:hAnsi="Calibri" w:cs="Calibri"/>
          <w:sz w:val="22"/>
        </w:rPr>
        <w:t xml:space="preserve">. </w:t>
      </w:r>
    </w:p>
    <w:p w14:paraId="67E15B1E" w14:textId="77777777" w:rsidR="00973FBF" w:rsidRDefault="00973FBF" w:rsidP="00F2205B">
      <w:pPr>
        <w:spacing w:after="0" w:line="240" w:lineRule="auto"/>
        <w:jc w:val="both"/>
        <w:rPr>
          <w:rFonts w:ascii="Calibri" w:hAnsi="Calibri" w:cs="Calibri"/>
          <w:sz w:val="22"/>
        </w:rPr>
      </w:pPr>
    </w:p>
    <w:p w14:paraId="6FEE61C7" w14:textId="77777777" w:rsidR="00973FBF" w:rsidRPr="00973FBF" w:rsidRDefault="00973FBF" w:rsidP="00973FBF">
      <w:pPr>
        <w:spacing w:after="0" w:line="240" w:lineRule="auto"/>
        <w:jc w:val="both"/>
        <w:rPr>
          <w:rFonts w:ascii="Calibri" w:hAnsi="Calibri" w:cs="Calibri"/>
          <w:sz w:val="22"/>
        </w:rPr>
      </w:pPr>
      <w:r w:rsidRPr="00973FBF">
        <w:rPr>
          <w:rFonts w:ascii="Calibri" w:hAnsi="Calibri" w:cs="Calibri"/>
          <w:sz w:val="22"/>
        </w:rPr>
        <w:t xml:space="preserve">Hudak, K,M, Emily Friedman, Joelle Johnson, Sara E Benjamin-Neelon. 2022. “US state variations in food bank donation policy and implications for nutrition”. </w:t>
      </w:r>
      <w:r w:rsidRPr="00973FBF">
        <w:rPr>
          <w:rFonts w:ascii="Calibri" w:hAnsi="Calibri" w:cs="Calibri"/>
          <w:i/>
          <w:iCs/>
          <w:sz w:val="22"/>
        </w:rPr>
        <w:t>Prev Med Rep</w:t>
      </w:r>
      <w:r w:rsidRPr="00973FBF">
        <w:rPr>
          <w:rFonts w:ascii="Calibri" w:hAnsi="Calibri" w:cs="Calibri"/>
          <w:sz w:val="22"/>
        </w:rPr>
        <w:t>. 27:101737.  </w:t>
      </w:r>
      <w:hyperlink r:id="rId29" w:tgtFrame="_blank" w:history="1">
        <w:r w:rsidRPr="00973FBF">
          <w:rPr>
            <w:rStyle w:val="Hyperlink"/>
            <w:rFonts w:ascii="Calibri" w:hAnsi="Calibri" w:cs="Calibri"/>
            <w:sz w:val="22"/>
          </w:rPr>
          <w:t>https://doi.org/10.1016/j.pmedr.2022.101737</w:t>
        </w:r>
      </w:hyperlink>
      <w:r w:rsidRPr="00973FBF">
        <w:rPr>
          <w:rFonts w:ascii="Calibri" w:hAnsi="Calibri" w:cs="Calibri"/>
          <w:sz w:val="22"/>
        </w:rPr>
        <w:t>.</w:t>
      </w:r>
    </w:p>
    <w:p w14:paraId="4B7A653A" w14:textId="77777777" w:rsidR="00FA2B67" w:rsidRDefault="00FA2B67" w:rsidP="00F2205B">
      <w:pPr>
        <w:spacing w:after="0" w:line="240" w:lineRule="auto"/>
        <w:jc w:val="both"/>
        <w:rPr>
          <w:rFonts w:ascii="Calibri" w:hAnsi="Calibri" w:cs="Calibri"/>
          <w:sz w:val="22"/>
          <w:lang w:val="en-US"/>
        </w:rPr>
      </w:pPr>
    </w:p>
    <w:p w14:paraId="7B2DDEC8" w14:textId="64D14614" w:rsidR="004E6C47"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Immel, T. (2019). </w:t>
      </w:r>
      <w:r w:rsidR="00A62F1F" w:rsidRPr="00F2205B">
        <w:rPr>
          <w:rFonts w:ascii="Calibri" w:hAnsi="Calibri" w:cs="Calibri"/>
          <w:sz w:val="22"/>
          <w:lang w:val="en-US"/>
        </w:rPr>
        <w:t>“The B.C. Farmers’ Food Donation Tax Credit:  Investigating Usage Among Farmers’ Market Vendors</w:t>
      </w:r>
      <w:r w:rsidR="00E57F3D" w:rsidRPr="00F2205B">
        <w:rPr>
          <w:rFonts w:ascii="Calibri" w:hAnsi="Calibri" w:cs="Calibri"/>
          <w:sz w:val="22"/>
          <w:lang w:val="en-US"/>
        </w:rPr>
        <w:t>.”</w:t>
      </w:r>
      <w:r w:rsidR="00A62F1F" w:rsidRPr="00F2205B">
        <w:rPr>
          <w:rFonts w:ascii="Calibri" w:hAnsi="Calibri" w:cs="Calibri"/>
          <w:sz w:val="22"/>
          <w:lang w:val="en-US"/>
        </w:rPr>
        <w:t xml:space="preserve"> Colorado State University. </w:t>
      </w:r>
      <w:hyperlink r:id="rId30" w:tgtFrame="_blank" w:history="1">
        <w:r w:rsidR="00A62F1F" w:rsidRPr="00F2205B">
          <w:rPr>
            <w:rStyle w:val="Hyperlink"/>
            <w:rFonts w:ascii="Calibri" w:hAnsi="Calibri" w:cs="Calibri"/>
            <w:sz w:val="22"/>
          </w:rPr>
          <w:t>https://doi.org/10.25675/3.021357</w:t>
        </w:r>
      </w:hyperlink>
      <w:r w:rsidR="00A62F1F" w:rsidRPr="00F2205B">
        <w:rPr>
          <w:rFonts w:ascii="Calibri" w:hAnsi="Calibri" w:cs="Calibri"/>
          <w:sz w:val="22"/>
          <w:lang w:val="en-US"/>
        </w:rPr>
        <w:t xml:space="preserve">. </w:t>
      </w:r>
    </w:p>
    <w:p w14:paraId="56842123" w14:textId="77777777" w:rsidR="00363CBE" w:rsidRDefault="00363CBE" w:rsidP="00F2205B">
      <w:pPr>
        <w:spacing w:after="0" w:line="240" w:lineRule="auto"/>
        <w:jc w:val="both"/>
        <w:rPr>
          <w:rFonts w:ascii="Calibri" w:hAnsi="Calibri" w:cs="Calibri"/>
          <w:sz w:val="22"/>
          <w:lang w:val="en-US"/>
        </w:rPr>
      </w:pPr>
    </w:p>
    <w:p w14:paraId="39FAF346" w14:textId="58DB129A" w:rsidR="00363CBE" w:rsidRPr="00F2205B" w:rsidRDefault="00D62AF0" w:rsidP="00F2205B">
      <w:pPr>
        <w:spacing w:after="0" w:line="240" w:lineRule="auto"/>
        <w:jc w:val="both"/>
        <w:rPr>
          <w:rFonts w:ascii="Calibri" w:hAnsi="Calibri" w:cs="Calibri"/>
          <w:sz w:val="22"/>
          <w:lang w:val="en-US"/>
        </w:rPr>
      </w:pPr>
      <w:r>
        <w:rPr>
          <w:rFonts w:ascii="Calibri" w:hAnsi="Calibri" w:cs="Calibri"/>
          <w:sz w:val="22"/>
          <w:lang w:val="en-US"/>
        </w:rPr>
        <w:t>Katz, M.L. and Rosen, H.S. (</w:t>
      </w:r>
      <w:r w:rsidR="008852AC">
        <w:rPr>
          <w:rFonts w:ascii="Calibri" w:hAnsi="Calibri" w:cs="Calibri"/>
          <w:sz w:val="22"/>
          <w:lang w:val="en-US"/>
        </w:rPr>
        <w:t>1998</w:t>
      </w:r>
      <w:r w:rsidR="00514D43">
        <w:rPr>
          <w:rFonts w:ascii="Calibri" w:hAnsi="Calibri" w:cs="Calibri"/>
          <w:sz w:val="22"/>
          <w:lang w:val="en-US"/>
        </w:rPr>
        <w:t xml:space="preserve">), </w:t>
      </w:r>
      <w:r w:rsidR="00514D43" w:rsidRPr="00191FCD">
        <w:rPr>
          <w:rFonts w:ascii="Calibri" w:hAnsi="Calibri" w:cs="Calibri"/>
          <w:i/>
          <w:iCs/>
          <w:sz w:val="22"/>
          <w:lang w:val="en-US"/>
        </w:rPr>
        <w:t>Microeconomics</w:t>
      </w:r>
      <w:r w:rsidR="00514D43">
        <w:rPr>
          <w:rFonts w:ascii="Calibri" w:hAnsi="Calibri" w:cs="Calibri"/>
          <w:sz w:val="22"/>
          <w:lang w:val="en-US"/>
        </w:rPr>
        <w:t>, 3</w:t>
      </w:r>
      <w:r w:rsidR="00514D43" w:rsidRPr="00514D43">
        <w:rPr>
          <w:rFonts w:ascii="Calibri" w:hAnsi="Calibri" w:cs="Calibri"/>
          <w:sz w:val="22"/>
          <w:vertAlign w:val="superscript"/>
          <w:lang w:val="en-US"/>
        </w:rPr>
        <w:t>rd</w:t>
      </w:r>
      <w:r w:rsidR="00514D43">
        <w:rPr>
          <w:rFonts w:ascii="Calibri" w:hAnsi="Calibri" w:cs="Calibri"/>
          <w:sz w:val="22"/>
          <w:lang w:val="en-US"/>
        </w:rPr>
        <w:t xml:space="preserve"> edition, </w:t>
      </w:r>
      <w:r w:rsidR="00191FCD">
        <w:rPr>
          <w:rFonts w:ascii="Calibri" w:hAnsi="Calibri" w:cs="Calibri"/>
          <w:sz w:val="22"/>
          <w:lang w:val="en-US"/>
        </w:rPr>
        <w:t xml:space="preserve">McGraw-Hill, </w:t>
      </w:r>
      <w:r w:rsidR="00F02A98">
        <w:rPr>
          <w:rFonts w:ascii="Calibri" w:hAnsi="Calibri" w:cs="Calibri"/>
          <w:sz w:val="22"/>
          <w:lang w:val="en-US"/>
        </w:rPr>
        <w:t>New York</w:t>
      </w:r>
      <w:r w:rsidR="00191FCD">
        <w:rPr>
          <w:rFonts w:ascii="Calibri" w:hAnsi="Calibri" w:cs="Calibri"/>
          <w:sz w:val="22"/>
          <w:lang w:val="en-US"/>
        </w:rPr>
        <w:t>.</w:t>
      </w:r>
    </w:p>
    <w:p w14:paraId="1E0C981F" w14:textId="77777777" w:rsidR="00FA2B67" w:rsidRDefault="00FA2B67" w:rsidP="00F2205B">
      <w:pPr>
        <w:spacing w:after="0" w:line="240" w:lineRule="auto"/>
        <w:jc w:val="both"/>
        <w:rPr>
          <w:rFonts w:ascii="Calibri" w:hAnsi="Calibri" w:cs="Calibri"/>
          <w:sz w:val="22"/>
          <w:lang w:val="en-US"/>
        </w:rPr>
      </w:pPr>
    </w:p>
    <w:p w14:paraId="37B1373F" w14:textId="69B6AD63" w:rsidR="00001B34" w:rsidRPr="00F2205B" w:rsidRDefault="00001B34" w:rsidP="00F2205B">
      <w:pPr>
        <w:spacing w:after="0" w:line="240" w:lineRule="auto"/>
        <w:jc w:val="both"/>
        <w:rPr>
          <w:rFonts w:ascii="Calibri" w:hAnsi="Calibri" w:cs="Calibri"/>
          <w:sz w:val="22"/>
        </w:rPr>
      </w:pPr>
      <w:r w:rsidRPr="00F2205B">
        <w:rPr>
          <w:rFonts w:ascii="Calibri" w:hAnsi="Calibri" w:cs="Calibri"/>
          <w:sz w:val="22"/>
        </w:rPr>
        <w:lastRenderedPageBreak/>
        <w:t xml:space="preserve">Kinach, Lesia, Kate Parizeau, and Evan D. G Fraser. 2020. “Do Food Donation Tax Credits for Farmers Address Food Loss/Waste and Food Insecurity? A Case Study from Ontario.” </w:t>
      </w:r>
      <w:r w:rsidRPr="00F2205B">
        <w:rPr>
          <w:rFonts w:ascii="Calibri" w:hAnsi="Calibri" w:cs="Calibri"/>
          <w:i/>
          <w:iCs/>
          <w:sz w:val="22"/>
        </w:rPr>
        <w:t>Agriculture and Human Values</w:t>
      </w:r>
      <w:r w:rsidRPr="00F2205B">
        <w:rPr>
          <w:rFonts w:ascii="Calibri" w:hAnsi="Calibri" w:cs="Calibri"/>
          <w:sz w:val="22"/>
        </w:rPr>
        <w:t xml:space="preserve"> (Dordrecht) 37 (2): 383–96. </w:t>
      </w:r>
      <w:hyperlink r:id="rId31" w:history="1">
        <w:r w:rsidRPr="00F2205B">
          <w:rPr>
            <w:rStyle w:val="Hyperlink"/>
            <w:rFonts w:ascii="Calibri" w:hAnsi="Calibri" w:cs="Calibri"/>
            <w:sz w:val="22"/>
          </w:rPr>
          <w:t>https://doi.org/10.1007/s10460-019-09995-2</w:t>
        </w:r>
      </w:hyperlink>
      <w:r w:rsidRPr="00F2205B">
        <w:rPr>
          <w:rFonts w:ascii="Calibri" w:hAnsi="Calibri" w:cs="Calibri"/>
          <w:sz w:val="22"/>
        </w:rPr>
        <w:t xml:space="preserve">. </w:t>
      </w:r>
    </w:p>
    <w:p w14:paraId="51341F22" w14:textId="77777777" w:rsidR="00FA2B67" w:rsidRDefault="00FA2B67" w:rsidP="00F2205B">
      <w:pPr>
        <w:spacing w:after="0" w:line="240" w:lineRule="auto"/>
        <w:jc w:val="both"/>
        <w:rPr>
          <w:rFonts w:ascii="Calibri" w:hAnsi="Calibri" w:cs="Calibri"/>
          <w:sz w:val="22"/>
        </w:rPr>
      </w:pPr>
    </w:p>
    <w:p w14:paraId="57E5507B" w14:textId="0606E2B6" w:rsidR="00001B34" w:rsidRPr="00F2205B" w:rsidRDefault="00001B34" w:rsidP="00F2205B">
      <w:pPr>
        <w:spacing w:after="0" w:line="240" w:lineRule="auto"/>
        <w:jc w:val="both"/>
        <w:rPr>
          <w:rFonts w:ascii="Calibri" w:hAnsi="Calibri" w:cs="Calibri"/>
          <w:sz w:val="22"/>
        </w:rPr>
      </w:pPr>
      <w:r w:rsidRPr="00F2205B">
        <w:rPr>
          <w:rFonts w:ascii="Calibri" w:hAnsi="Calibri" w:cs="Calibri"/>
          <w:sz w:val="22"/>
        </w:rPr>
        <w:t xml:space="preserve">Kosseva, Maria R, Colin Webb, and ProQuest. 2013. </w:t>
      </w:r>
      <w:r w:rsidRPr="00F2205B">
        <w:rPr>
          <w:rFonts w:ascii="Calibri" w:hAnsi="Calibri" w:cs="Calibri"/>
          <w:i/>
          <w:iCs/>
          <w:sz w:val="22"/>
        </w:rPr>
        <w:t xml:space="preserve">Food Industry </w:t>
      </w:r>
      <w:r w:rsidR="00502272" w:rsidRPr="00F2205B">
        <w:rPr>
          <w:rFonts w:ascii="Calibri" w:hAnsi="Calibri" w:cs="Calibri"/>
          <w:i/>
          <w:iCs/>
          <w:sz w:val="22"/>
        </w:rPr>
        <w:t>Wastes:</w:t>
      </w:r>
      <w:r w:rsidRPr="00F2205B">
        <w:rPr>
          <w:rFonts w:ascii="Calibri" w:hAnsi="Calibri" w:cs="Calibri"/>
          <w:i/>
          <w:iCs/>
          <w:sz w:val="22"/>
        </w:rPr>
        <w:t xml:space="preserve"> Assessment and Recuperation of Commodities</w:t>
      </w:r>
      <w:r w:rsidRPr="00F2205B">
        <w:rPr>
          <w:rFonts w:ascii="Calibri" w:hAnsi="Calibri" w:cs="Calibri"/>
          <w:sz w:val="22"/>
        </w:rPr>
        <w:t xml:space="preserve">. 1st ed. London: Academic Press. </w:t>
      </w:r>
      <w:hyperlink r:id="rId32" w:history="1">
        <w:r w:rsidRPr="00F2205B">
          <w:rPr>
            <w:rStyle w:val="Hyperlink"/>
            <w:rFonts w:ascii="Calibri" w:hAnsi="Calibri" w:cs="Calibri"/>
            <w:sz w:val="22"/>
          </w:rPr>
          <w:t>https://ebookcentral.proquest.com/lib/une/detail.action?docID=1135741</w:t>
        </w:r>
      </w:hyperlink>
      <w:r w:rsidRPr="00F2205B">
        <w:rPr>
          <w:rFonts w:ascii="Calibri" w:hAnsi="Calibri" w:cs="Calibri"/>
          <w:sz w:val="22"/>
        </w:rPr>
        <w:t xml:space="preserve">. </w:t>
      </w:r>
    </w:p>
    <w:p w14:paraId="44D2D4B3" w14:textId="77777777" w:rsidR="00FA2B67" w:rsidRDefault="00FA2B67" w:rsidP="00F2205B">
      <w:pPr>
        <w:spacing w:after="0" w:line="240" w:lineRule="auto"/>
        <w:jc w:val="both"/>
        <w:rPr>
          <w:rFonts w:ascii="Calibri" w:hAnsi="Calibri" w:cs="Calibri"/>
          <w:sz w:val="22"/>
          <w:lang w:val="en-US"/>
        </w:rPr>
      </w:pPr>
    </w:p>
    <w:p w14:paraId="6C441FD4" w14:textId="0EE01002"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KPMG</w:t>
      </w:r>
      <w:r w:rsidR="00001B34" w:rsidRPr="00F2205B">
        <w:rPr>
          <w:rFonts w:ascii="Calibri" w:hAnsi="Calibri" w:cs="Calibri"/>
          <w:sz w:val="22"/>
          <w:lang w:val="en-US"/>
        </w:rPr>
        <w:t xml:space="preserve">. </w:t>
      </w:r>
      <w:r w:rsidRPr="00F2205B">
        <w:rPr>
          <w:rFonts w:ascii="Calibri" w:hAnsi="Calibri" w:cs="Calibri"/>
          <w:sz w:val="22"/>
          <w:lang w:val="en-US"/>
        </w:rPr>
        <w:t>2020. National Food Waste Tax Incentive: Boosting food relief through Australia's tax system.</w:t>
      </w:r>
      <w:r w:rsidR="00001B34" w:rsidRPr="00F2205B">
        <w:rPr>
          <w:rFonts w:ascii="Calibri" w:hAnsi="Calibri" w:cs="Calibri"/>
          <w:sz w:val="22"/>
          <w:lang w:val="en-US"/>
        </w:rPr>
        <w:t xml:space="preserve"> Prepared for Foodbank Australia. </w:t>
      </w:r>
      <w:hyperlink r:id="rId33" w:history="1">
        <w:r w:rsidR="00001B34" w:rsidRPr="00F2205B">
          <w:rPr>
            <w:rStyle w:val="Hyperlink"/>
            <w:rFonts w:ascii="Calibri" w:hAnsi="Calibri" w:cs="Calibri"/>
            <w:sz w:val="22"/>
            <w:lang w:val="en-US"/>
          </w:rPr>
          <w:t>https://assets.kpmg.com/content/dam/kpmgsites/au/pdf/2020/national-food-waste-tax-incentive.pdf.coredownload.inline.pdf</w:t>
        </w:r>
      </w:hyperlink>
      <w:r w:rsidR="00001B34" w:rsidRPr="00F2205B">
        <w:rPr>
          <w:rFonts w:ascii="Calibri" w:hAnsi="Calibri" w:cs="Calibri"/>
          <w:sz w:val="22"/>
          <w:lang w:val="en-US"/>
        </w:rPr>
        <w:t xml:space="preserve">. </w:t>
      </w:r>
    </w:p>
    <w:p w14:paraId="365D3B25" w14:textId="77777777" w:rsidR="00FA2B67" w:rsidRDefault="00FA2B67" w:rsidP="00F2205B">
      <w:pPr>
        <w:spacing w:after="0" w:line="240" w:lineRule="auto"/>
        <w:jc w:val="both"/>
        <w:rPr>
          <w:rFonts w:ascii="Calibri" w:hAnsi="Calibri" w:cs="Calibri"/>
          <w:sz w:val="22"/>
          <w:lang w:val="en-US"/>
        </w:rPr>
      </w:pPr>
    </w:p>
    <w:p w14:paraId="6D80D324" w14:textId="6736A4CD"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KPMG</w:t>
      </w:r>
      <w:r w:rsidR="00001B34" w:rsidRPr="00F2205B">
        <w:rPr>
          <w:rFonts w:ascii="Calibri" w:hAnsi="Calibri" w:cs="Calibri"/>
          <w:sz w:val="22"/>
          <w:lang w:val="en-US"/>
        </w:rPr>
        <w:t xml:space="preserve">. </w:t>
      </w:r>
      <w:r w:rsidRPr="00F2205B">
        <w:rPr>
          <w:rFonts w:ascii="Calibri" w:hAnsi="Calibri" w:cs="Calibri"/>
          <w:sz w:val="22"/>
          <w:lang w:val="en-US"/>
        </w:rPr>
        <w:t xml:space="preserve">2023. </w:t>
      </w:r>
      <w:r w:rsidR="003C7FA9" w:rsidRPr="00F2205B">
        <w:rPr>
          <w:rFonts w:ascii="Calibri" w:hAnsi="Calibri" w:cs="Calibri"/>
          <w:sz w:val="22"/>
          <w:lang w:val="en-US"/>
        </w:rPr>
        <w:t>N</w:t>
      </w:r>
      <w:r w:rsidRPr="00F2205B">
        <w:rPr>
          <w:rFonts w:ascii="Calibri" w:hAnsi="Calibri" w:cs="Calibri"/>
          <w:sz w:val="22"/>
          <w:lang w:val="en-US"/>
        </w:rPr>
        <w:t xml:space="preserve">ational Food Donation Tax Incentive Implementation Analysis: </w:t>
      </w:r>
      <w:r w:rsidR="00001B34" w:rsidRPr="00F2205B">
        <w:rPr>
          <w:rFonts w:ascii="Calibri" w:hAnsi="Calibri" w:cs="Calibri"/>
          <w:sz w:val="22"/>
        </w:rPr>
        <w:t xml:space="preserve">Testing the feasibility of a National Food Donation Tax Incentive scheme for Australia. Prepared for Foodbank Australia. </w:t>
      </w:r>
      <w:hyperlink r:id="rId34" w:history="1">
        <w:r w:rsidR="00001B34" w:rsidRPr="00F2205B">
          <w:rPr>
            <w:rStyle w:val="Hyperlink"/>
            <w:rFonts w:ascii="Calibri" w:hAnsi="Calibri" w:cs="Calibri"/>
            <w:sz w:val="22"/>
          </w:rPr>
          <w:t>https://assets.kpmg.com/content/dam/kpmgsites/au/pdf/2022/kpmg-food-waste-tax-incentive-2022.pdf</w:t>
        </w:r>
      </w:hyperlink>
      <w:r w:rsidR="00001B34" w:rsidRPr="00F2205B">
        <w:rPr>
          <w:rFonts w:ascii="Calibri" w:hAnsi="Calibri" w:cs="Calibri"/>
          <w:sz w:val="22"/>
        </w:rPr>
        <w:t xml:space="preserve">. </w:t>
      </w:r>
    </w:p>
    <w:p w14:paraId="4E20E481" w14:textId="77777777" w:rsidR="00E55CB7" w:rsidRDefault="00E55CB7" w:rsidP="00F2205B">
      <w:pPr>
        <w:spacing w:after="0" w:line="240" w:lineRule="auto"/>
        <w:jc w:val="both"/>
        <w:rPr>
          <w:rFonts w:ascii="Calibri" w:hAnsi="Calibri" w:cs="Calibri"/>
          <w:sz w:val="22"/>
          <w:lang w:val="en-US"/>
        </w:rPr>
      </w:pPr>
    </w:p>
    <w:p w14:paraId="3170156E" w14:textId="77777777" w:rsidR="00D658FC" w:rsidRDefault="007A3B11" w:rsidP="007A3B11">
      <w:pPr>
        <w:spacing w:after="0" w:line="240" w:lineRule="auto"/>
        <w:jc w:val="both"/>
        <w:rPr>
          <w:rFonts w:ascii="Calibri" w:hAnsi="Calibri" w:cs="Calibri"/>
          <w:sz w:val="22"/>
          <w:lang w:val="en-US"/>
        </w:rPr>
      </w:pPr>
      <w:r w:rsidRPr="00F2205B">
        <w:rPr>
          <w:rFonts w:ascii="Calibri" w:hAnsi="Calibri" w:cs="Calibri"/>
          <w:sz w:val="22"/>
        </w:rPr>
        <w:t>Legislative Council Legal and Social Issues Committee,</w:t>
      </w:r>
      <w:r w:rsidRPr="00F2205B">
        <w:rPr>
          <w:rFonts w:ascii="Calibri" w:hAnsi="Calibri" w:cs="Calibri"/>
          <w:sz w:val="22"/>
          <w:lang w:val="en-US"/>
        </w:rPr>
        <w:t xml:space="preserve"> 2023. Terms of Reference: Inquiry into food security in Victoria. Parliament of Victoria. </w:t>
      </w:r>
    </w:p>
    <w:p w14:paraId="35D06806" w14:textId="7A72B5EE" w:rsidR="007A3B11" w:rsidRPr="00F2205B" w:rsidRDefault="00D658FC" w:rsidP="007A3B11">
      <w:pPr>
        <w:spacing w:after="0" w:line="240" w:lineRule="auto"/>
        <w:jc w:val="both"/>
        <w:rPr>
          <w:rFonts w:ascii="Calibri" w:hAnsi="Calibri" w:cs="Calibri"/>
          <w:sz w:val="22"/>
          <w:lang w:val="en-US"/>
        </w:rPr>
      </w:pPr>
      <w:hyperlink r:id="rId35" w:history="1">
        <w:r w:rsidRPr="009A162A">
          <w:rPr>
            <w:rStyle w:val="Hyperlink"/>
            <w:rFonts w:ascii="Calibri" w:hAnsi="Calibri" w:cs="Calibri"/>
            <w:sz w:val="22"/>
            <w:lang w:val="en-US"/>
          </w:rPr>
          <w:t>https://www.parliament.vic.gov.au/4a2021/contentassets/08d54feb0f834086b602ae7d66fe3de4/terms-of-reference-attachments/terms-of-reference---inquiry-into-food-security-in-victoria.pdf</w:t>
        </w:r>
      </w:hyperlink>
      <w:r w:rsidR="007A3B11" w:rsidRPr="00F2205B">
        <w:rPr>
          <w:rFonts w:ascii="Calibri" w:hAnsi="Calibri" w:cs="Calibri"/>
          <w:sz w:val="22"/>
          <w:lang w:val="en-US"/>
        </w:rPr>
        <w:t xml:space="preserve">. </w:t>
      </w:r>
    </w:p>
    <w:p w14:paraId="3067AF4B" w14:textId="77777777" w:rsidR="00FA2B67" w:rsidRDefault="00FA2B67" w:rsidP="00F2205B">
      <w:pPr>
        <w:spacing w:after="0" w:line="240" w:lineRule="auto"/>
        <w:jc w:val="both"/>
        <w:rPr>
          <w:rFonts w:ascii="Calibri" w:hAnsi="Calibri" w:cs="Calibri"/>
          <w:sz w:val="22"/>
          <w:lang w:val="en-US"/>
        </w:rPr>
      </w:pPr>
    </w:p>
    <w:p w14:paraId="6A25F2CF" w14:textId="77777777" w:rsidR="00D658FC" w:rsidRDefault="00C262C5" w:rsidP="00F2205B">
      <w:pPr>
        <w:spacing w:after="0" w:line="240" w:lineRule="auto"/>
        <w:jc w:val="both"/>
        <w:rPr>
          <w:rFonts w:ascii="Calibri" w:hAnsi="Calibri" w:cs="Calibri"/>
          <w:sz w:val="22"/>
        </w:rPr>
      </w:pPr>
      <w:r w:rsidRPr="00F2205B">
        <w:rPr>
          <w:rFonts w:ascii="Calibri" w:hAnsi="Calibri" w:cs="Calibri"/>
          <w:sz w:val="22"/>
          <w:lang w:val="en-US"/>
        </w:rPr>
        <w:t>Lewis, F</w:t>
      </w:r>
      <w:r w:rsidR="00001B34" w:rsidRPr="00F2205B">
        <w:rPr>
          <w:rFonts w:ascii="Calibri" w:hAnsi="Calibri" w:cs="Calibri"/>
          <w:sz w:val="22"/>
          <w:lang w:val="en-US"/>
        </w:rPr>
        <w:t>elicia Wider, Anita Mandal, Adre Stevens, Christine Jones. 2018</w:t>
      </w:r>
      <w:r w:rsidRPr="00F2205B">
        <w:rPr>
          <w:rFonts w:ascii="Calibri" w:hAnsi="Calibri" w:cs="Calibri"/>
          <w:sz w:val="22"/>
          <w:lang w:val="en-US"/>
        </w:rPr>
        <w:t xml:space="preserve">. 2018. </w:t>
      </w:r>
      <w:r w:rsidR="00001B34" w:rsidRPr="00F2205B">
        <w:rPr>
          <w:rFonts w:ascii="Calibri" w:hAnsi="Calibri" w:cs="Calibri"/>
          <w:sz w:val="22"/>
          <w:lang w:val="en-US"/>
        </w:rPr>
        <w:t>“</w:t>
      </w:r>
      <w:r w:rsidRPr="00F2205B">
        <w:rPr>
          <w:rFonts w:ascii="Calibri" w:hAnsi="Calibri" w:cs="Calibri"/>
          <w:sz w:val="22"/>
          <w:lang w:val="en-US"/>
        </w:rPr>
        <w:t>Food Deserts and Food Insecurity: A Case Study in Jacksonville, Florida</w:t>
      </w:r>
      <w:r w:rsidR="00E57F3D" w:rsidRPr="00F2205B">
        <w:rPr>
          <w:rFonts w:ascii="Calibri" w:hAnsi="Calibri" w:cs="Calibri"/>
          <w:sz w:val="22"/>
          <w:lang w:val="en-US"/>
        </w:rPr>
        <w:t>.”</w:t>
      </w:r>
      <w:r w:rsidRPr="00F2205B">
        <w:rPr>
          <w:rFonts w:ascii="Calibri" w:hAnsi="Calibri" w:cs="Calibri"/>
          <w:sz w:val="22"/>
          <w:lang w:val="en-US"/>
        </w:rPr>
        <w:t xml:space="preserve"> Journal of Behavioral &amp; Social Sciences</w:t>
      </w:r>
      <w:r w:rsidR="00BF4D7A" w:rsidRPr="00F2205B">
        <w:rPr>
          <w:rFonts w:ascii="Calibri" w:hAnsi="Calibri" w:cs="Calibri"/>
          <w:sz w:val="22"/>
          <w:lang w:val="en-US"/>
        </w:rPr>
        <w:t>.</w:t>
      </w:r>
      <w:r w:rsidR="00BF4D7A" w:rsidRPr="00F2205B">
        <w:rPr>
          <w:rFonts w:ascii="Calibri" w:hAnsi="Calibri" w:cs="Calibri"/>
          <w:color w:val="55585D"/>
          <w:sz w:val="22"/>
          <w:shd w:val="clear" w:color="auto" w:fill="FFFFFF"/>
        </w:rPr>
        <w:t xml:space="preserve"> </w:t>
      </w:r>
      <w:r w:rsidR="00BF4D7A" w:rsidRPr="00F2205B">
        <w:rPr>
          <w:rFonts w:ascii="Calibri" w:hAnsi="Calibri" w:cs="Calibri"/>
          <w:sz w:val="22"/>
        </w:rPr>
        <w:t xml:space="preserve">Spring2018, Vol. 5 Issue 1, p41-49. </w:t>
      </w:r>
    </w:p>
    <w:p w14:paraId="2F329B24" w14:textId="2200E86C" w:rsidR="00001B34" w:rsidRPr="00F2205B" w:rsidRDefault="00D658FC" w:rsidP="00F2205B">
      <w:pPr>
        <w:spacing w:after="0" w:line="240" w:lineRule="auto"/>
        <w:jc w:val="both"/>
        <w:rPr>
          <w:rFonts w:ascii="Calibri" w:hAnsi="Calibri" w:cs="Calibri"/>
          <w:sz w:val="22"/>
          <w:lang w:val="en-US"/>
        </w:rPr>
      </w:pPr>
      <w:hyperlink r:id="rId36" w:history="1">
        <w:r w:rsidRPr="009A162A">
          <w:rPr>
            <w:rStyle w:val="Hyperlink"/>
            <w:rFonts w:ascii="Calibri" w:hAnsi="Calibri" w:cs="Calibri"/>
            <w:sz w:val="22"/>
          </w:rPr>
          <w:t>https://research.ebsco.com/c/6to2aa/search/details/5uavo6fy2b/details?db=a9h</w:t>
        </w:r>
      </w:hyperlink>
      <w:r w:rsidR="00BF4D7A" w:rsidRPr="00F2205B">
        <w:rPr>
          <w:rFonts w:ascii="Calibri" w:hAnsi="Calibri" w:cs="Calibri"/>
          <w:sz w:val="22"/>
        </w:rPr>
        <w:t xml:space="preserve">. </w:t>
      </w:r>
    </w:p>
    <w:p w14:paraId="3BAAF2B9" w14:textId="77777777" w:rsidR="00692B14" w:rsidRDefault="00692B14" w:rsidP="00692B14">
      <w:pPr>
        <w:spacing w:after="0" w:line="240" w:lineRule="auto"/>
        <w:jc w:val="both"/>
        <w:rPr>
          <w:rFonts w:ascii="Calibri" w:hAnsi="Calibri" w:cs="Calibri"/>
          <w:sz w:val="22"/>
        </w:rPr>
      </w:pPr>
    </w:p>
    <w:p w14:paraId="0B95D313" w14:textId="493970D8" w:rsidR="00692B14" w:rsidRPr="00692B14" w:rsidRDefault="00692B14" w:rsidP="00692B14">
      <w:pPr>
        <w:spacing w:after="0" w:line="240" w:lineRule="auto"/>
        <w:jc w:val="both"/>
        <w:rPr>
          <w:rFonts w:ascii="Calibri" w:hAnsi="Calibri" w:cs="Calibri"/>
          <w:sz w:val="22"/>
        </w:rPr>
      </w:pPr>
      <w:r w:rsidRPr="00692B14">
        <w:rPr>
          <w:rFonts w:ascii="Calibri" w:hAnsi="Calibri" w:cs="Calibri"/>
          <w:sz w:val="22"/>
        </w:rPr>
        <w:t xml:space="preserve">Lideikyte Huber, Giedre. 2020. “Tax Incentives for Charitable Giving as a Policy Instrument: Theoretical Discussion and Latest Economic Research” </w:t>
      </w:r>
      <w:r w:rsidRPr="00692B14">
        <w:rPr>
          <w:rFonts w:ascii="Calibri" w:hAnsi="Calibri" w:cs="Calibri"/>
          <w:i/>
          <w:iCs/>
          <w:sz w:val="22"/>
        </w:rPr>
        <w:t>World tax journal</w:t>
      </w:r>
      <w:r w:rsidRPr="00692B14">
        <w:rPr>
          <w:rFonts w:ascii="Calibri" w:hAnsi="Calibri" w:cs="Calibri"/>
          <w:sz w:val="22"/>
        </w:rPr>
        <w:t xml:space="preserve">. Vol. 12 (2020), no. 3; p. 631-662. </w:t>
      </w:r>
      <w:hyperlink r:id="rId37" w:tgtFrame="_blank" w:history="1">
        <w:r w:rsidRPr="00692B14">
          <w:rPr>
            <w:rStyle w:val="Hyperlink"/>
            <w:rFonts w:ascii="Calibri" w:hAnsi="Calibri" w:cs="Calibri"/>
            <w:sz w:val="22"/>
          </w:rPr>
          <w:t>https://ssrn.com/abstract=4223098</w:t>
        </w:r>
      </w:hyperlink>
    </w:p>
    <w:p w14:paraId="2174A698" w14:textId="77777777" w:rsidR="00FA2B67" w:rsidRDefault="00FA2B67" w:rsidP="00F2205B">
      <w:pPr>
        <w:spacing w:after="0" w:line="240" w:lineRule="auto"/>
        <w:jc w:val="both"/>
        <w:rPr>
          <w:rFonts w:ascii="Calibri" w:hAnsi="Calibri" w:cs="Calibri"/>
          <w:sz w:val="22"/>
        </w:rPr>
      </w:pPr>
    </w:p>
    <w:p w14:paraId="248C5AA5" w14:textId="14BC9389" w:rsidR="00BF4D7A" w:rsidRPr="00F2205B" w:rsidRDefault="00BF4D7A" w:rsidP="00F2205B">
      <w:pPr>
        <w:spacing w:after="0" w:line="240" w:lineRule="auto"/>
        <w:jc w:val="both"/>
        <w:rPr>
          <w:rFonts w:ascii="Calibri" w:hAnsi="Calibri" w:cs="Calibri"/>
          <w:sz w:val="22"/>
        </w:rPr>
      </w:pPr>
      <w:r w:rsidRPr="00F2205B">
        <w:rPr>
          <w:rFonts w:ascii="Calibri" w:hAnsi="Calibri" w:cs="Calibri"/>
          <w:sz w:val="22"/>
        </w:rPr>
        <w:t xml:space="preserve">McKay, Fiona H, Bronte C Haines, and Matthew Dunn. 2019. “Measuring and Understanding Food Insecurity in Australia: A Systematic Review.” </w:t>
      </w:r>
      <w:r w:rsidRPr="00F2205B">
        <w:rPr>
          <w:rFonts w:ascii="Calibri" w:hAnsi="Calibri" w:cs="Calibri"/>
          <w:i/>
          <w:iCs/>
          <w:sz w:val="22"/>
        </w:rPr>
        <w:t>International Journal of Environmental Research and Public Health</w:t>
      </w:r>
      <w:r w:rsidRPr="00F2205B">
        <w:rPr>
          <w:rFonts w:ascii="Calibri" w:hAnsi="Calibri" w:cs="Calibri"/>
          <w:sz w:val="22"/>
        </w:rPr>
        <w:t xml:space="preserve"> (Switzerland) 16 (3): 476. </w:t>
      </w:r>
      <w:hyperlink r:id="rId38" w:history="1">
        <w:r w:rsidRPr="00F2205B">
          <w:rPr>
            <w:rStyle w:val="Hyperlink"/>
            <w:rFonts w:ascii="Calibri" w:hAnsi="Calibri" w:cs="Calibri"/>
            <w:sz w:val="22"/>
          </w:rPr>
          <w:t>https://doi.org/10.3390/ijerph16030476</w:t>
        </w:r>
      </w:hyperlink>
      <w:r w:rsidRPr="00F2205B">
        <w:rPr>
          <w:rFonts w:ascii="Calibri" w:hAnsi="Calibri" w:cs="Calibri"/>
          <w:sz w:val="22"/>
        </w:rPr>
        <w:t xml:space="preserve">. </w:t>
      </w:r>
    </w:p>
    <w:p w14:paraId="7A2570FE" w14:textId="77777777" w:rsidR="00FA2B67" w:rsidRDefault="00FA2B67" w:rsidP="00F2205B">
      <w:pPr>
        <w:spacing w:after="0" w:line="240" w:lineRule="auto"/>
        <w:jc w:val="both"/>
        <w:rPr>
          <w:rFonts w:ascii="Calibri" w:hAnsi="Calibri" w:cs="Calibri"/>
          <w:sz w:val="22"/>
        </w:rPr>
      </w:pPr>
    </w:p>
    <w:p w14:paraId="33D33F67" w14:textId="77777777" w:rsidR="00D658FC" w:rsidRDefault="00BF4D7A" w:rsidP="00F2205B">
      <w:pPr>
        <w:spacing w:after="0" w:line="240" w:lineRule="auto"/>
        <w:jc w:val="both"/>
        <w:rPr>
          <w:rFonts w:ascii="Calibri" w:hAnsi="Calibri" w:cs="Calibri"/>
          <w:sz w:val="22"/>
        </w:rPr>
      </w:pPr>
      <w:r w:rsidRPr="00F2205B">
        <w:rPr>
          <w:rFonts w:ascii="Calibri" w:hAnsi="Calibri" w:cs="Calibri"/>
          <w:sz w:val="22"/>
        </w:rPr>
        <w:t xml:space="preserve">Men, Fei, Craig Gundersen, Marcelo L Urquia, and Valerie Tarasuk. 2020. “Association between Household Food Insecurity and Mortality in Canada: A Population-Based Retrospective Cohort Study.” </w:t>
      </w:r>
      <w:r w:rsidRPr="00F2205B">
        <w:rPr>
          <w:rFonts w:ascii="Calibri" w:hAnsi="Calibri" w:cs="Calibri"/>
          <w:i/>
          <w:iCs/>
          <w:sz w:val="22"/>
        </w:rPr>
        <w:t>Canadian Medical Association Journal (CMAJ)</w:t>
      </w:r>
      <w:r w:rsidRPr="00F2205B">
        <w:rPr>
          <w:rFonts w:ascii="Calibri" w:hAnsi="Calibri" w:cs="Calibri"/>
          <w:sz w:val="22"/>
        </w:rPr>
        <w:t xml:space="preserve"> (Canada) 192 (3): E53–60. </w:t>
      </w:r>
    </w:p>
    <w:p w14:paraId="736DEC1E" w14:textId="56FAF30C" w:rsidR="00BF4D7A" w:rsidRDefault="00D658FC" w:rsidP="00F2205B">
      <w:pPr>
        <w:spacing w:after="0" w:line="240" w:lineRule="auto"/>
        <w:jc w:val="both"/>
        <w:rPr>
          <w:rFonts w:ascii="Calibri" w:hAnsi="Calibri" w:cs="Calibri"/>
          <w:sz w:val="22"/>
        </w:rPr>
      </w:pPr>
      <w:hyperlink r:id="rId39" w:history="1">
        <w:r w:rsidRPr="009A162A">
          <w:rPr>
            <w:rStyle w:val="Hyperlink"/>
            <w:rFonts w:ascii="Calibri" w:hAnsi="Calibri" w:cs="Calibri"/>
            <w:sz w:val="22"/>
          </w:rPr>
          <w:t>https://doi.org/10.1503/cmaj.190385</w:t>
        </w:r>
      </w:hyperlink>
      <w:r w:rsidR="00BF4D7A" w:rsidRPr="00F2205B">
        <w:rPr>
          <w:rFonts w:ascii="Calibri" w:hAnsi="Calibri" w:cs="Calibri"/>
          <w:sz w:val="22"/>
        </w:rPr>
        <w:t xml:space="preserve">. </w:t>
      </w:r>
    </w:p>
    <w:p w14:paraId="02ADC8EB" w14:textId="77777777" w:rsidR="00B60367" w:rsidRDefault="00B60367" w:rsidP="00B60367">
      <w:pPr>
        <w:widowControl w:val="0"/>
        <w:autoSpaceDE w:val="0"/>
        <w:autoSpaceDN w:val="0"/>
        <w:adjustRightInd w:val="0"/>
        <w:spacing w:after="0" w:line="240" w:lineRule="auto"/>
        <w:jc w:val="both"/>
        <w:rPr>
          <w:rFonts w:ascii="Calibri" w:hAnsi="Calibri" w:cs="Calibri"/>
          <w:kern w:val="0"/>
          <w:sz w:val="20"/>
          <w:szCs w:val="20"/>
        </w:rPr>
      </w:pPr>
    </w:p>
    <w:p w14:paraId="4E81786B" w14:textId="3CE0446C" w:rsidR="00B60367" w:rsidRPr="00B60367" w:rsidRDefault="00B60367" w:rsidP="00B60367">
      <w:pPr>
        <w:widowControl w:val="0"/>
        <w:autoSpaceDE w:val="0"/>
        <w:autoSpaceDN w:val="0"/>
        <w:adjustRightInd w:val="0"/>
        <w:spacing w:after="0" w:line="240" w:lineRule="auto"/>
        <w:jc w:val="both"/>
        <w:rPr>
          <w:rFonts w:ascii="Calibri" w:hAnsi="Calibri" w:cs="Calibri"/>
          <w:kern w:val="0"/>
          <w:sz w:val="22"/>
        </w:rPr>
      </w:pPr>
      <w:r w:rsidRPr="00B60367">
        <w:rPr>
          <w:rFonts w:ascii="Calibri" w:hAnsi="Calibri" w:cs="Calibri"/>
          <w:kern w:val="0"/>
          <w:sz w:val="22"/>
        </w:rPr>
        <w:t xml:space="preserve">Mounter, S., Fleming, E. and Griffith, G. (2019), “Financing agricultural value chain R&amp;D: a framework with examples from the red meat industry”, </w:t>
      </w:r>
      <w:r w:rsidRPr="00B60367">
        <w:rPr>
          <w:rFonts w:ascii="Calibri" w:hAnsi="Calibri" w:cs="Calibri"/>
          <w:i/>
          <w:iCs/>
          <w:kern w:val="0"/>
          <w:sz w:val="22"/>
        </w:rPr>
        <w:t>Australasian Agribusiness Review</w:t>
      </w:r>
      <w:r w:rsidRPr="00B60367">
        <w:rPr>
          <w:rFonts w:ascii="Calibri" w:hAnsi="Calibri" w:cs="Calibri"/>
          <w:kern w:val="0"/>
          <w:sz w:val="22"/>
        </w:rPr>
        <w:t>, Volume 27, Paper 3, 45-64.</w:t>
      </w:r>
    </w:p>
    <w:p w14:paraId="09A9B495" w14:textId="77777777" w:rsidR="00B60367" w:rsidRPr="00F2205B" w:rsidRDefault="00B60367" w:rsidP="00F2205B">
      <w:pPr>
        <w:spacing w:after="0" w:line="240" w:lineRule="auto"/>
        <w:jc w:val="both"/>
        <w:rPr>
          <w:rFonts w:ascii="Calibri" w:hAnsi="Calibri" w:cs="Calibri"/>
          <w:sz w:val="22"/>
        </w:rPr>
      </w:pPr>
    </w:p>
    <w:p w14:paraId="4B78FBA4" w14:textId="1192C8F7" w:rsidR="00FD4A1F" w:rsidRPr="00F2205B" w:rsidRDefault="00FD4A1F" w:rsidP="00F2205B">
      <w:pPr>
        <w:spacing w:after="0" w:line="240" w:lineRule="auto"/>
        <w:jc w:val="both"/>
        <w:rPr>
          <w:rFonts w:ascii="Calibri" w:hAnsi="Calibri" w:cs="Calibri"/>
          <w:sz w:val="22"/>
          <w:lang w:val="en-US"/>
        </w:rPr>
      </w:pPr>
      <w:r w:rsidRPr="00F2205B">
        <w:rPr>
          <w:rFonts w:ascii="Calibri" w:hAnsi="Calibri" w:cs="Calibri"/>
          <w:sz w:val="22"/>
          <w:lang w:val="en-US"/>
        </w:rPr>
        <w:t>National F</w:t>
      </w:r>
      <w:r w:rsidR="00DE28D4">
        <w:rPr>
          <w:rFonts w:ascii="Calibri" w:hAnsi="Calibri" w:cs="Calibri"/>
          <w:sz w:val="22"/>
          <w:lang w:val="en-US"/>
        </w:rPr>
        <w:t>armers</w:t>
      </w:r>
      <w:r w:rsidRPr="00F2205B">
        <w:rPr>
          <w:rFonts w:ascii="Calibri" w:hAnsi="Calibri" w:cs="Calibri"/>
          <w:sz w:val="22"/>
          <w:lang w:val="en-US"/>
        </w:rPr>
        <w:t xml:space="preserve"> Federation. 2024. Tax Laws Amendment (Incentivising Food Donations to Charitable Organisations) Bill 2024: NFF submission.</w:t>
      </w:r>
      <w:r w:rsidR="00BF4D7A" w:rsidRPr="00F2205B">
        <w:rPr>
          <w:rFonts w:ascii="Calibri" w:hAnsi="Calibri" w:cs="Calibri"/>
          <w:sz w:val="22"/>
          <w:lang w:val="en-US"/>
        </w:rPr>
        <w:t xml:space="preserve"> </w:t>
      </w:r>
      <w:hyperlink r:id="rId40" w:history="1">
        <w:r w:rsidR="00BF4D7A" w:rsidRPr="00F2205B">
          <w:rPr>
            <w:rStyle w:val="Hyperlink"/>
            <w:rFonts w:ascii="Calibri" w:hAnsi="Calibri" w:cs="Calibri"/>
            <w:sz w:val="22"/>
            <w:lang w:val="en-US"/>
          </w:rPr>
          <w:t>https://nff.org.au/wp-content/uploads/2024/08/NFF-Submission-to-Tax-Laws-Amendment-Bill-2024.pdf</w:t>
        </w:r>
      </w:hyperlink>
      <w:r w:rsidR="00BF4D7A" w:rsidRPr="00F2205B">
        <w:rPr>
          <w:rFonts w:ascii="Calibri" w:hAnsi="Calibri" w:cs="Calibri"/>
          <w:sz w:val="22"/>
          <w:lang w:val="en-US"/>
        </w:rPr>
        <w:t xml:space="preserve">. </w:t>
      </w:r>
    </w:p>
    <w:p w14:paraId="7C7EB50E" w14:textId="77777777" w:rsidR="00FA2B67" w:rsidRDefault="00FA2B67" w:rsidP="00F2205B">
      <w:pPr>
        <w:spacing w:after="0" w:line="240" w:lineRule="auto"/>
        <w:jc w:val="both"/>
        <w:rPr>
          <w:rFonts w:ascii="Calibri" w:hAnsi="Calibri" w:cs="Calibri"/>
          <w:sz w:val="22"/>
        </w:rPr>
      </w:pPr>
    </w:p>
    <w:p w14:paraId="4CF12942" w14:textId="6207F9CF" w:rsidR="00A06EE0" w:rsidRPr="00F2205B" w:rsidRDefault="00A06EE0" w:rsidP="00A06EE0">
      <w:pPr>
        <w:spacing w:after="0" w:line="240" w:lineRule="auto"/>
        <w:jc w:val="both"/>
        <w:rPr>
          <w:rFonts w:ascii="Calibri" w:hAnsi="Calibri" w:cs="Calibri"/>
          <w:sz w:val="22"/>
        </w:rPr>
      </w:pPr>
      <w:r w:rsidRPr="00F2205B">
        <w:rPr>
          <w:rFonts w:ascii="Calibri" w:hAnsi="Calibri" w:cs="Calibri"/>
          <w:sz w:val="22"/>
        </w:rPr>
        <w:lastRenderedPageBreak/>
        <w:t xml:space="preserve">Özbilge, Armağan, Saif Benjaafar, Elkafi Hassini, and Mahmut Parlar. 2025. “Who Benefits from Government Tax-Subsidies for Corporate Charitable Food Donations?” </w:t>
      </w:r>
      <w:r w:rsidRPr="00F2205B">
        <w:rPr>
          <w:rFonts w:ascii="Calibri" w:hAnsi="Calibri" w:cs="Calibri"/>
          <w:i/>
          <w:iCs/>
          <w:sz w:val="22"/>
        </w:rPr>
        <w:t>Production and Operations Management</w:t>
      </w:r>
      <w:r w:rsidRPr="00F2205B">
        <w:rPr>
          <w:rFonts w:ascii="Calibri" w:hAnsi="Calibri" w:cs="Calibri"/>
          <w:sz w:val="22"/>
        </w:rPr>
        <w:t xml:space="preserve">, advance online publication, 2025. </w:t>
      </w:r>
      <w:hyperlink r:id="rId41" w:history="1">
        <w:r w:rsidRPr="00F2205B">
          <w:rPr>
            <w:rStyle w:val="Hyperlink"/>
            <w:rFonts w:ascii="Calibri" w:hAnsi="Calibri" w:cs="Calibri"/>
            <w:sz w:val="22"/>
          </w:rPr>
          <w:t>https://doi.org/10.1177/10591478251350098</w:t>
        </w:r>
      </w:hyperlink>
      <w:r w:rsidRPr="00F2205B">
        <w:rPr>
          <w:rFonts w:ascii="Calibri" w:hAnsi="Calibri" w:cs="Calibri"/>
          <w:sz w:val="22"/>
        </w:rPr>
        <w:t xml:space="preserve">. </w:t>
      </w:r>
    </w:p>
    <w:p w14:paraId="1B6E33CF" w14:textId="77777777" w:rsidR="00FA2B67" w:rsidRDefault="00FA2B67" w:rsidP="00F2205B">
      <w:pPr>
        <w:spacing w:after="0" w:line="240" w:lineRule="auto"/>
        <w:jc w:val="both"/>
        <w:rPr>
          <w:rFonts w:ascii="Calibri" w:hAnsi="Calibri" w:cs="Calibri"/>
          <w:sz w:val="22"/>
        </w:rPr>
      </w:pPr>
    </w:p>
    <w:p w14:paraId="12E21797" w14:textId="3D630972" w:rsidR="00531EE1" w:rsidRPr="00F2205B" w:rsidRDefault="00531EE1" w:rsidP="00F2205B">
      <w:pPr>
        <w:spacing w:after="0" w:line="240" w:lineRule="auto"/>
        <w:jc w:val="both"/>
        <w:rPr>
          <w:rFonts w:ascii="Calibri" w:hAnsi="Calibri" w:cs="Calibri"/>
          <w:sz w:val="22"/>
        </w:rPr>
      </w:pPr>
      <w:r w:rsidRPr="00F2205B">
        <w:rPr>
          <w:rFonts w:ascii="Calibri" w:hAnsi="Calibri" w:cs="Calibri"/>
          <w:sz w:val="22"/>
        </w:rPr>
        <w:t xml:space="preserve">Ramsey, Rebecca, Katrina Giskes, Gavin Turrell, and Danielle Gallegos. 2012. “Food Insecurity among Adults Residing in Disadvantaged Urban Areas: Potential Health and Dietary Consequences.” </w:t>
      </w:r>
      <w:r w:rsidRPr="00F2205B">
        <w:rPr>
          <w:rFonts w:ascii="Calibri" w:hAnsi="Calibri" w:cs="Calibri"/>
          <w:i/>
          <w:iCs/>
          <w:sz w:val="22"/>
        </w:rPr>
        <w:t>Public Health Nutrition</w:t>
      </w:r>
      <w:r w:rsidRPr="00F2205B">
        <w:rPr>
          <w:rFonts w:ascii="Calibri" w:hAnsi="Calibri" w:cs="Calibri"/>
          <w:sz w:val="22"/>
        </w:rPr>
        <w:t xml:space="preserve"> (Cambridge, UK) 15 (2): 227–37. </w:t>
      </w:r>
      <w:hyperlink r:id="rId42" w:history="1">
        <w:r w:rsidRPr="00F2205B">
          <w:rPr>
            <w:rStyle w:val="Hyperlink"/>
            <w:rFonts w:ascii="Calibri" w:hAnsi="Calibri" w:cs="Calibri"/>
            <w:sz w:val="22"/>
          </w:rPr>
          <w:t>https://doi.org/10.1017/S1368980011001996</w:t>
        </w:r>
      </w:hyperlink>
      <w:r w:rsidRPr="00F2205B">
        <w:rPr>
          <w:rFonts w:ascii="Calibri" w:hAnsi="Calibri" w:cs="Calibri"/>
          <w:sz w:val="22"/>
        </w:rPr>
        <w:t xml:space="preserve">. </w:t>
      </w:r>
    </w:p>
    <w:p w14:paraId="6B3A8DDC" w14:textId="77777777" w:rsidR="00FA2B67" w:rsidRDefault="00FA2B67" w:rsidP="00F2205B">
      <w:pPr>
        <w:spacing w:after="0" w:line="240" w:lineRule="auto"/>
        <w:jc w:val="both"/>
        <w:rPr>
          <w:rFonts w:ascii="Calibri" w:hAnsi="Calibri" w:cs="Calibri"/>
          <w:sz w:val="22"/>
          <w:lang w:val="en-US"/>
        </w:rPr>
      </w:pPr>
    </w:p>
    <w:p w14:paraId="41EBE8C5" w14:textId="77777777" w:rsidR="00D658FC"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Rezaei, M. and B</w:t>
      </w:r>
      <w:r w:rsidR="00531EE1" w:rsidRPr="00F2205B">
        <w:rPr>
          <w:rFonts w:ascii="Calibri" w:hAnsi="Calibri" w:cs="Calibri"/>
          <w:sz w:val="22"/>
          <w:lang w:val="en-US"/>
        </w:rPr>
        <w:t>in</w:t>
      </w:r>
      <w:r w:rsidRPr="00F2205B">
        <w:rPr>
          <w:rFonts w:ascii="Calibri" w:hAnsi="Calibri" w:cs="Calibri"/>
          <w:sz w:val="22"/>
          <w:lang w:val="en-US"/>
        </w:rPr>
        <w:t xml:space="preserve"> Liu</w:t>
      </w:r>
      <w:r w:rsidR="00531EE1" w:rsidRPr="00F2205B">
        <w:rPr>
          <w:rFonts w:ascii="Calibri" w:hAnsi="Calibri" w:cs="Calibri"/>
          <w:sz w:val="22"/>
          <w:lang w:val="en-US"/>
        </w:rPr>
        <w:t>.</w:t>
      </w:r>
      <w:r w:rsidRPr="00F2205B">
        <w:rPr>
          <w:rFonts w:ascii="Calibri" w:hAnsi="Calibri" w:cs="Calibri"/>
          <w:sz w:val="22"/>
          <w:lang w:val="en-US"/>
        </w:rPr>
        <w:t xml:space="preserve"> 2017. Food loss and waste in the food supply chain</w:t>
      </w:r>
      <w:r w:rsidR="00531EE1" w:rsidRPr="00F2205B">
        <w:rPr>
          <w:rFonts w:ascii="Calibri" w:hAnsi="Calibri" w:cs="Calibri"/>
          <w:sz w:val="22"/>
          <w:lang w:val="en-US"/>
        </w:rPr>
        <w:t>.</w:t>
      </w:r>
      <w:r w:rsidRPr="00F2205B">
        <w:rPr>
          <w:rFonts w:ascii="Calibri" w:hAnsi="Calibri" w:cs="Calibri"/>
          <w:sz w:val="22"/>
          <w:lang w:val="en-US"/>
        </w:rPr>
        <w:t xml:space="preserve"> Food and Agriculture Organisation of the United Nations.</w:t>
      </w:r>
      <w:r w:rsidR="00531EE1" w:rsidRPr="00F2205B">
        <w:rPr>
          <w:rFonts w:ascii="Calibri" w:hAnsi="Calibri" w:cs="Calibri"/>
          <w:sz w:val="22"/>
          <w:lang w:val="en-US"/>
        </w:rPr>
        <w:t xml:space="preserve"> </w:t>
      </w:r>
    </w:p>
    <w:p w14:paraId="5F49E1C1" w14:textId="587CD02A" w:rsidR="004E6C47" w:rsidRPr="00F2205B" w:rsidRDefault="00D658FC" w:rsidP="00F2205B">
      <w:pPr>
        <w:spacing w:after="0" w:line="240" w:lineRule="auto"/>
        <w:jc w:val="both"/>
        <w:rPr>
          <w:rFonts w:ascii="Calibri" w:hAnsi="Calibri" w:cs="Calibri"/>
          <w:sz w:val="22"/>
          <w:lang w:val="en-US"/>
        </w:rPr>
      </w:pPr>
      <w:hyperlink r:id="rId43" w:history="1">
        <w:r w:rsidRPr="009A162A">
          <w:rPr>
            <w:rStyle w:val="Hyperlink"/>
            <w:rFonts w:ascii="Calibri" w:hAnsi="Calibri" w:cs="Calibri"/>
            <w:sz w:val="22"/>
            <w:lang w:val="en-US"/>
          </w:rPr>
          <w:t>https://openknowledge.fao.org/server/api/core/bitstreams/36cb45bc-392c-41fb-97f1-90ca1f16ee7f/content</w:t>
        </w:r>
      </w:hyperlink>
      <w:r w:rsidR="00531EE1" w:rsidRPr="00F2205B">
        <w:rPr>
          <w:rFonts w:ascii="Calibri" w:hAnsi="Calibri" w:cs="Calibri"/>
          <w:sz w:val="22"/>
          <w:lang w:val="en-US"/>
        </w:rPr>
        <w:t xml:space="preserve">. </w:t>
      </w:r>
    </w:p>
    <w:p w14:paraId="69B8009D" w14:textId="77777777" w:rsidR="00FA2B67" w:rsidRDefault="00FA2B67" w:rsidP="00F2205B">
      <w:pPr>
        <w:spacing w:after="0" w:line="240" w:lineRule="auto"/>
        <w:jc w:val="both"/>
        <w:rPr>
          <w:rFonts w:ascii="Calibri" w:hAnsi="Calibri" w:cs="Calibri"/>
          <w:sz w:val="22"/>
        </w:rPr>
      </w:pPr>
    </w:p>
    <w:p w14:paraId="102B119A" w14:textId="52FC79AD" w:rsidR="00531EE1" w:rsidRPr="00F2205B" w:rsidRDefault="00531EE1" w:rsidP="00F2205B">
      <w:pPr>
        <w:spacing w:after="0" w:line="240" w:lineRule="auto"/>
        <w:jc w:val="both"/>
        <w:rPr>
          <w:rFonts w:ascii="Calibri" w:hAnsi="Calibri" w:cs="Calibri"/>
          <w:sz w:val="22"/>
        </w:rPr>
      </w:pPr>
      <w:r w:rsidRPr="00F2205B">
        <w:rPr>
          <w:rFonts w:ascii="Calibri" w:hAnsi="Calibri" w:cs="Calibri"/>
          <w:sz w:val="22"/>
        </w:rPr>
        <w:t xml:space="preserve">Rocha, Cecilia. 2007. “Food Insecurity as Market Failure: A Contribution from Economics.” </w:t>
      </w:r>
      <w:r w:rsidRPr="00F2205B">
        <w:rPr>
          <w:rFonts w:ascii="Calibri" w:hAnsi="Calibri" w:cs="Calibri"/>
          <w:i/>
          <w:iCs/>
          <w:sz w:val="22"/>
        </w:rPr>
        <w:t>Journal of Hunger &amp; Environmental Nutrition</w:t>
      </w:r>
      <w:r w:rsidRPr="00F2205B">
        <w:rPr>
          <w:rFonts w:ascii="Calibri" w:hAnsi="Calibri" w:cs="Calibri"/>
          <w:sz w:val="22"/>
        </w:rPr>
        <w:t xml:space="preserve"> 1 (4): 5–22. </w:t>
      </w:r>
      <w:hyperlink r:id="rId44" w:history="1">
        <w:r w:rsidRPr="00F2205B">
          <w:rPr>
            <w:rStyle w:val="Hyperlink"/>
            <w:rFonts w:ascii="Calibri" w:hAnsi="Calibri" w:cs="Calibri"/>
            <w:sz w:val="22"/>
          </w:rPr>
          <w:t>https://doi.org/10.1300/J477v01n04_02</w:t>
        </w:r>
      </w:hyperlink>
      <w:r w:rsidRPr="00F2205B">
        <w:rPr>
          <w:rFonts w:ascii="Calibri" w:hAnsi="Calibri" w:cs="Calibri"/>
          <w:sz w:val="22"/>
        </w:rPr>
        <w:t xml:space="preserve">. </w:t>
      </w:r>
    </w:p>
    <w:p w14:paraId="08904B71" w14:textId="77777777" w:rsidR="00CF70EC" w:rsidRDefault="00CF70EC" w:rsidP="00F2205B">
      <w:pPr>
        <w:spacing w:after="0" w:line="240" w:lineRule="auto"/>
        <w:jc w:val="both"/>
        <w:rPr>
          <w:rFonts w:ascii="Calibri" w:hAnsi="Calibri" w:cs="Calibri"/>
          <w:sz w:val="22"/>
        </w:rPr>
      </w:pPr>
    </w:p>
    <w:p w14:paraId="4AD1BCF5" w14:textId="77777777" w:rsidR="00D658FC" w:rsidRDefault="00531EE1" w:rsidP="00F2205B">
      <w:pPr>
        <w:spacing w:after="0" w:line="240" w:lineRule="auto"/>
        <w:jc w:val="both"/>
        <w:rPr>
          <w:rFonts w:ascii="Calibri" w:hAnsi="Calibri" w:cs="Calibri"/>
          <w:sz w:val="22"/>
        </w:rPr>
      </w:pPr>
      <w:r w:rsidRPr="00F2205B">
        <w:rPr>
          <w:rFonts w:ascii="Calibri" w:hAnsi="Calibri" w:cs="Calibri"/>
          <w:sz w:val="22"/>
        </w:rPr>
        <w:t xml:space="preserve">Rowell, D. S, and T. J Jackson. 2011. “Additional Costs of Inpatient Malnutrition, Victoria, Australia, 2003-2004.” </w:t>
      </w:r>
      <w:r w:rsidRPr="00F2205B">
        <w:rPr>
          <w:rFonts w:ascii="Calibri" w:hAnsi="Calibri" w:cs="Calibri"/>
          <w:i/>
          <w:iCs/>
          <w:sz w:val="22"/>
        </w:rPr>
        <w:t>The European Journal of Health Economics</w:t>
      </w:r>
      <w:r w:rsidRPr="00F2205B">
        <w:rPr>
          <w:rFonts w:ascii="Calibri" w:hAnsi="Calibri" w:cs="Calibri"/>
          <w:sz w:val="22"/>
        </w:rPr>
        <w:t xml:space="preserve"> (Berlin/Heidelberg) 12 (4): 353–61. </w:t>
      </w:r>
    </w:p>
    <w:p w14:paraId="4864B8CE" w14:textId="4D9669FF" w:rsidR="00531EE1" w:rsidRPr="00F2205B" w:rsidRDefault="00D658FC" w:rsidP="00F2205B">
      <w:pPr>
        <w:spacing w:after="0" w:line="240" w:lineRule="auto"/>
        <w:jc w:val="both"/>
        <w:rPr>
          <w:rFonts w:ascii="Calibri" w:hAnsi="Calibri" w:cs="Calibri"/>
          <w:sz w:val="22"/>
        </w:rPr>
      </w:pPr>
      <w:hyperlink r:id="rId45" w:history="1">
        <w:r w:rsidRPr="009A162A">
          <w:rPr>
            <w:rStyle w:val="Hyperlink"/>
            <w:rFonts w:ascii="Calibri" w:hAnsi="Calibri" w:cs="Calibri"/>
            <w:sz w:val="22"/>
          </w:rPr>
          <w:t>https://doi.org/10.1007/s10198-010-0245-3</w:t>
        </w:r>
      </w:hyperlink>
      <w:r w:rsidR="00531EE1" w:rsidRPr="00F2205B">
        <w:rPr>
          <w:rFonts w:ascii="Calibri" w:hAnsi="Calibri" w:cs="Calibri"/>
          <w:sz w:val="22"/>
        </w:rPr>
        <w:t xml:space="preserve">. </w:t>
      </w:r>
    </w:p>
    <w:p w14:paraId="3D15D317" w14:textId="77777777" w:rsidR="00FA2B67" w:rsidRDefault="00FA2B67" w:rsidP="00F2205B">
      <w:pPr>
        <w:spacing w:after="0" w:line="240" w:lineRule="auto"/>
        <w:jc w:val="both"/>
        <w:rPr>
          <w:rFonts w:ascii="Calibri" w:hAnsi="Calibri" w:cs="Calibri"/>
          <w:sz w:val="22"/>
          <w:lang w:val="en-US"/>
        </w:rPr>
      </w:pPr>
    </w:p>
    <w:p w14:paraId="4C513D3B" w14:textId="0DACE690" w:rsidR="004E6C47" w:rsidRPr="00F2205B" w:rsidRDefault="00C262C5" w:rsidP="00F2205B">
      <w:pPr>
        <w:spacing w:after="0" w:line="240" w:lineRule="auto"/>
        <w:jc w:val="both"/>
        <w:rPr>
          <w:rFonts w:ascii="Calibri" w:hAnsi="Calibri" w:cs="Calibri"/>
          <w:sz w:val="22"/>
          <w:lang w:val="en-US"/>
        </w:rPr>
      </w:pPr>
      <w:r w:rsidRPr="00F2205B">
        <w:rPr>
          <w:rFonts w:ascii="Calibri" w:hAnsi="Calibri" w:cs="Calibri"/>
          <w:sz w:val="22"/>
          <w:lang w:val="en-US"/>
        </w:rPr>
        <w:t>SecondBite</w:t>
      </w:r>
      <w:r w:rsidR="00531EE1" w:rsidRPr="00F2205B">
        <w:rPr>
          <w:rFonts w:ascii="Calibri" w:hAnsi="Calibri" w:cs="Calibri"/>
          <w:sz w:val="22"/>
          <w:lang w:val="en-US"/>
        </w:rPr>
        <w:t xml:space="preserve">. 2024. </w:t>
      </w:r>
      <w:r w:rsidRPr="00F2205B">
        <w:rPr>
          <w:rFonts w:ascii="Calibri" w:hAnsi="Calibri" w:cs="Calibri"/>
          <w:sz w:val="22"/>
          <w:lang w:val="en-US"/>
        </w:rPr>
        <w:t>Historic reform a step towards feeding hungry Australians.</w:t>
      </w:r>
      <w:r w:rsidR="00531EE1" w:rsidRPr="00F2205B">
        <w:rPr>
          <w:rFonts w:ascii="Calibri" w:hAnsi="Calibri" w:cs="Calibri"/>
          <w:sz w:val="22"/>
          <w:lang w:val="en-US"/>
        </w:rPr>
        <w:t xml:space="preserve"> </w:t>
      </w:r>
      <w:hyperlink r:id="rId46" w:history="1">
        <w:r w:rsidR="00531EE1" w:rsidRPr="00F2205B">
          <w:rPr>
            <w:rStyle w:val="Hyperlink"/>
            <w:rFonts w:ascii="Calibri" w:hAnsi="Calibri" w:cs="Calibri"/>
            <w:sz w:val="22"/>
            <w:lang w:val="en-US"/>
          </w:rPr>
          <w:t>https://secondbite.org/historic-reform-a-step-towards-feeding-hungry-australians/</w:t>
        </w:r>
      </w:hyperlink>
      <w:r w:rsidR="00531EE1" w:rsidRPr="00F2205B">
        <w:rPr>
          <w:rFonts w:ascii="Calibri" w:hAnsi="Calibri" w:cs="Calibri"/>
          <w:sz w:val="22"/>
          <w:lang w:val="en-US"/>
        </w:rPr>
        <w:t xml:space="preserve">. </w:t>
      </w:r>
    </w:p>
    <w:p w14:paraId="5C9EA669" w14:textId="77777777" w:rsidR="00FA2B67" w:rsidRDefault="00FA2B67" w:rsidP="00F2205B">
      <w:pPr>
        <w:spacing w:after="0" w:line="240" w:lineRule="auto"/>
        <w:jc w:val="both"/>
        <w:rPr>
          <w:rFonts w:ascii="Calibri" w:hAnsi="Calibri" w:cs="Calibri"/>
          <w:sz w:val="22"/>
          <w:lang w:val="en-US"/>
        </w:rPr>
      </w:pPr>
    </w:p>
    <w:p w14:paraId="42F04DFE" w14:textId="094FFCB7" w:rsidR="00531EE1" w:rsidRPr="00F2205B" w:rsidRDefault="00EE0FF1" w:rsidP="00F2205B">
      <w:pPr>
        <w:spacing w:after="0" w:line="240" w:lineRule="auto"/>
        <w:jc w:val="both"/>
        <w:rPr>
          <w:rFonts w:ascii="Calibri" w:hAnsi="Calibri" w:cs="Calibri"/>
          <w:sz w:val="22"/>
          <w:lang w:val="en-US"/>
        </w:rPr>
      </w:pPr>
      <w:r w:rsidRPr="00F2205B">
        <w:rPr>
          <w:rFonts w:ascii="Calibri" w:hAnsi="Calibri" w:cs="Calibri"/>
          <w:sz w:val="22"/>
          <w:lang w:val="en-US"/>
        </w:rPr>
        <w:t>SecondBite</w:t>
      </w:r>
      <w:r w:rsidR="00531EE1" w:rsidRPr="00F2205B">
        <w:rPr>
          <w:rFonts w:ascii="Calibri" w:hAnsi="Calibri" w:cs="Calibri"/>
          <w:sz w:val="22"/>
          <w:lang w:val="en-US"/>
        </w:rPr>
        <w:t xml:space="preserve">, </w:t>
      </w:r>
      <w:r w:rsidR="00502272" w:rsidRPr="00F2205B">
        <w:rPr>
          <w:rFonts w:ascii="Calibri" w:hAnsi="Calibri" w:cs="Calibri"/>
          <w:sz w:val="22"/>
          <w:lang w:val="en-US"/>
        </w:rPr>
        <w:t>OzHarvest</w:t>
      </w:r>
      <w:r w:rsidR="00531EE1" w:rsidRPr="00F2205B">
        <w:rPr>
          <w:rFonts w:ascii="Calibri" w:hAnsi="Calibri" w:cs="Calibri"/>
          <w:sz w:val="22"/>
          <w:lang w:val="en-US"/>
        </w:rPr>
        <w:t xml:space="preserve"> and Foodbank. 2023. Food Relief sector calls for urgent action on funding. OzHarvest. </w:t>
      </w:r>
      <w:hyperlink r:id="rId47" w:history="1">
        <w:r w:rsidR="00531EE1" w:rsidRPr="00F2205B">
          <w:rPr>
            <w:rStyle w:val="Hyperlink"/>
            <w:rFonts w:ascii="Calibri" w:hAnsi="Calibri" w:cs="Calibri"/>
            <w:sz w:val="22"/>
            <w:lang w:val="en-US"/>
          </w:rPr>
          <w:t>https://secondbite.org/food-relief-sector-calls-for-urgent-action-on-funding/</w:t>
        </w:r>
      </w:hyperlink>
      <w:r w:rsidR="00531EE1" w:rsidRPr="00F2205B">
        <w:rPr>
          <w:rFonts w:ascii="Calibri" w:hAnsi="Calibri" w:cs="Calibri"/>
          <w:sz w:val="22"/>
          <w:lang w:val="en-US"/>
        </w:rPr>
        <w:t xml:space="preserve">. </w:t>
      </w:r>
    </w:p>
    <w:p w14:paraId="67CDD553" w14:textId="77777777" w:rsidR="00FA2B67" w:rsidRDefault="00FA2B67" w:rsidP="00F2205B">
      <w:pPr>
        <w:spacing w:after="0" w:line="240" w:lineRule="auto"/>
        <w:jc w:val="both"/>
        <w:rPr>
          <w:rFonts w:ascii="Calibri" w:hAnsi="Calibri" w:cs="Calibri"/>
          <w:sz w:val="22"/>
        </w:rPr>
      </w:pPr>
    </w:p>
    <w:p w14:paraId="3557BE84" w14:textId="77777777" w:rsidR="00D658FC" w:rsidRDefault="00531EE1" w:rsidP="00F2205B">
      <w:pPr>
        <w:spacing w:after="0" w:line="240" w:lineRule="auto"/>
        <w:jc w:val="both"/>
        <w:rPr>
          <w:rFonts w:ascii="Calibri" w:hAnsi="Calibri" w:cs="Calibri"/>
          <w:sz w:val="22"/>
        </w:rPr>
      </w:pPr>
      <w:r w:rsidRPr="00F2205B">
        <w:rPr>
          <w:rFonts w:ascii="Calibri" w:hAnsi="Calibri" w:cs="Calibri"/>
          <w:sz w:val="22"/>
        </w:rPr>
        <w:t xml:space="preserve">Shen, Guohui, Ziqi Li, Tiannuo Hong, Xin Ru, Kunzhen Wang, Yanting Gu, Juan Han, and Yanzhi Guo. 2024. “The Status of the Global Food Waste Mitigation Policies: Experience and Inspiration for China.” </w:t>
      </w:r>
      <w:r w:rsidRPr="00F2205B">
        <w:rPr>
          <w:rFonts w:ascii="Calibri" w:hAnsi="Calibri" w:cs="Calibri"/>
          <w:i/>
          <w:iCs/>
          <w:sz w:val="22"/>
        </w:rPr>
        <w:t>Environment, Development and Sustainability</w:t>
      </w:r>
      <w:r w:rsidRPr="00F2205B">
        <w:rPr>
          <w:rFonts w:ascii="Calibri" w:hAnsi="Calibri" w:cs="Calibri"/>
          <w:sz w:val="22"/>
        </w:rPr>
        <w:t xml:space="preserve"> (Dordrecht) 26 (4): 8329–57. </w:t>
      </w:r>
    </w:p>
    <w:p w14:paraId="2E3C3082" w14:textId="2D47CC70" w:rsidR="00531EE1" w:rsidRDefault="00D658FC" w:rsidP="00F2205B">
      <w:pPr>
        <w:spacing w:after="0" w:line="240" w:lineRule="auto"/>
        <w:jc w:val="both"/>
        <w:rPr>
          <w:rFonts w:ascii="Calibri" w:hAnsi="Calibri" w:cs="Calibri"/>
          <w:sz w:val="22"/>
        </w:rPr>
      </w:pPr>
      <w:hyperlink r:id="rId48" w:history="1">
        <w:r w:rsidRPr="009A162A">
          <w:rPr>
            <w:rStyle w:val="Hyperlink"/>
            <w:rFonts w:ascii="Calibri" w:hAnsi="Calibri" w:cs="Calibri"/>
            <w:sz w:val="22"/>
          </w:rPr>
          <w:t>https://doi.org/10.1007/s10668-023-03132-0</w:t>
        </w:r>
      </w:hyperlink>
      <w:r w:rsidR="00531EE1" w:rsidRPr="00F2205B">
        <w:rPr>
          <w:rFonts w:ascii="Calibri" w:hAnsi="Calibri" w:cs="Calibri"/>
          <w:sz w:val="22"/>
        </w:rPr>
        <w:t xml:space="preserve">. </w:t>
      </w:r>
    </w:p>
    <w:p w14:paraId="6BE9725B" w14:textId="77777777" w:rsidR="00AA34EA" w:rsidRDefault="00AA34EA" w:rsidP="00F2205B">
      <w:pPr>
        <w:spacing w:after="0" w:line="240" w:lineRule="auto"/>
        <w:jc w:val="both"/>
        <w:rPr>
          <w:rFonts w:ascii="Calibri" w:hAnsi="Calibri" w:cs="Calibri"/>
          <w:sz w:val="22"/>
        </w:rPr>
      </w:pPr>
    </w:p>
    <w:p w14:paraId="7784CDA2" w14:textId="77777777" w:rsidR="00D658FC" w:rsidRDefault="00AA34EA" w:rsidP="00F2205B">
      <w:pPr>
        <w:spacing w:after="0" w:line="240" w:lineRule="auto"/>
        <w:jc w:val="both"/>
        <w:rPr>
          <w:rFonts w:ascii="Calibri" w:hAnsi="Calibri" w:cs="Calibri"/>
          <w:sz w:val="22"/>
        </w:rPr>
      </w:pPr>
      <w:r w:rsidRPr="00AA34EA">
        <w:rPr>
          <w:rFonts w:ascii="Calibri" w:hAnsi="Calibri" w:cs="Calibri"/>
          <w:sz w:val="22"/>
        </w:rPr>
        <w:t xml:space="preserve">Stamoulis, K. and Zezza, A. 2003. A Conceptual Framework for National Agricultural, Rural Development, and Food Security Strategies and Policies. ESA Working Paper No. 03-17, November 2003. Agricultural and Development Economics Division, FAO, Rome. </w:t>
      </w:r>
    </w:p>
    <w:p w14:paraId="072E8EC0" w14:textId="19A2041F" w:rsidR="00AA34EA" w:rsidRPr="00F2205B" w:rsidRDefault="00AA34EA" w:rsidP="00F2205B">
      <w:pPr>
        <w:spacing w:after="0" w:line="240" w:lineRule="auto"/>
        <w:jc w:val="both"/>
        <w:rPr>
          <w:rFonts w:ascii="Calibri" w:hAnsi="Calibri" w:cs="Calibri"/>
          <w:sz w:val="22"/>
        </w:rPr>
      </w:pPr>
      <w:r w:rsidRPr="00AA34EA">
        <w:rPr>
          <w:rFonts w:ascii="Calibri" w:hAnsi="Calibri" w:cs="Calibri"/>
          <w:sz w:val="22"/>
        </w:rPr>
        <w:t xml:space="preserve">www.fao.org/documents/show_cdr. asp?url_file=/docrep/007/ae050e/ae050e00.htm </w:t>
      </w:r>
    </w:p>
    <w:p w14:paraId="1BB0036A" w14:textId="77777777" w:rsidR="00FA2B67" w:rsidRDefault="00FA2B67" w:rsidP="00F2205B">
      <w:pPr>
        <w:spacing w:after="0" w:line="240" w:lineRule="auto"/>
        <w:jc w:val="both"/>
        <w:rPr>
          <w:rFonts w:ascii="Calibri" w:hAnsi="Calibri" w:cs="Calibri"/>
          <w:sz w:val="22"/>
          <w:lang w:val="en-US"/>
        </w:rPr>
      </w:pPr>
    </w:p>
    <w:p w14:paraId="32F3DC1D" w14:textId="5E7DD061" w:rsidR="004E6C47" w:rsidRPr="00F2205B" w:rsidRDefault="00344A8D"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Sustainability </w:t>
      </w:r>
      <w:r w:rsidR="00C262C5" w:rsidRPr="00F2205B">
        <w:rPr>
          <w:rFonts w:ascii="Calibri" w:hAnsi="Calibri" w:cs="Calibri"/>
          <w:sz w:val="22"/>
          <w:lang w:val="en-US"/>
        </w:rPr>
        <w:t>Victoria. 2020. The Path to Half: Solutions to halve Victoria’s</w:t>
      </w:r>
      <w:r w:rsidR="004E6C47" w:rsidRPr="00F2205B">
        <w:rPr>
          <w:rFonts w:ascii="Calibri" w:hAnsi="Calibri" w:cs="Calibri"/>
          <w:sz w:val="22"/>
          <w:lang w:val="en-US"/>
        </w:rPr>
        <w:t xml:space="preserve"> </w:t>
      </w:r>
      <w:r w:rsidR="00C262C5" w:rsidRPr="00F2205B">
        <w:rPr>
          <w:rFonts w:ascii="Calibri" w:hAnsi="Calibri" w:cs="Calibri"/>
          <w:sz w:val="22"/>
          <w:lang w:val="en-US"/>
        </w:rPr>
        <w:t xml:space="preserve">food waste by 2030. </w:t>
      </w:r>
      <w:r w:rsidR="00531EE1" w:rsidRPr="00F2205B">
        <w:rPr>
          <w:rFonts w:ascii="Calibri" w:hAnsi="Calibri" w:cs="Calibri"/>
          <w:sz w:val="22"/>
          <w:lang w:val="en-US"/>
        </w:rPr>
        <w:t>State of Victoria, Melbourne</w:t>
      </w:r>
      <w:r w:rsidR="00C262C5" w:rsidRPr="00F2205B">
        <w:rPr>
          <w:rFonts w:ascii="Calibri" w:hAnsi="Calibri" w:cs="Calibri"/>
          <w:sz w:val="22"/>
          <w:lang w:val="en-US"/>
        </w:rPr>
        <w:t>.</w:t>
      </w:r>
      <w:r w:rsidR="00531EE1" w:rsidRPr="00F2205B">
        <w:rPr>
          <w:rFonts w:ascii="Calibri" w:hAnsi="Calibri" w:cs="Calibri"/>
          <w:sz w:val="22"/>
          <w:lang w:val="en-US"/>
        </w:rPr>
        <w:t xml:space="preserve"> </w:t>
      </w:r>
      <w:hyperlink r:id="rId49" w:history="1">
        <w:r w:rsidR="00531EE1" w:rsidRPr="00F2205B">
          <w:rPr>
            <w:rStyle w:val="Hyperlink"/>
            <w:rFonts w:ascii="Calibri" w:hAnsi="Calibri" w:cs="Calibri"/>
            <w:sz w:val="22"/>
            <w:lang w:val="en-US"/>
          </w:rPr>
          <w:t>https://assets.sustainability.vic.gov.au/asset-download/Report-The-Path-to-Half.pdf</w:t>
        </w:r>
      </w:hyperlink>
      <w:r w:rsidR="00531EE1" w:rsidRPr="00F2205B">
        <w:rPr>
          <w:rFonts w:ascii="Calibri" w:hAnsi="Calibri" w:cs="Calibri"/>
          <w:sz w:val="22"/>
          <w:lang w:val="en-US"/>
        </w:rPr>
        <w:t xml:space="preserve"> </w:t>
      </w:r>
    </w:p>
    <w:p w14:paraId="215257BE" w14:textId="77777777" w:rsidR="00FA2B67" w:rsidRDefault="00FA2B67" w:rsidP="00F2205B">
      <w:pPr>
        <w:spacing w:after="0" w:line="240" w:lineRule="auto"/>
        <w:jc w:val="both"/>
        <w:rPr>
          <w:rFonts w:ascii="Calibri" w:hAnsi="Calibri" w:cs="Calibri"/>
          <w:sz w:val="22"/>
          <w:lang w:val="en-US"/>
        </w:rPr>
      </w:pPr>
    </w:p>
    <w:p w14:paraId="5CB5DAE6" w14:textId="1A4A9D4D" w:rsidR="0029545C" w:rsidRPr="00F2205B" w:rsidRDefault="0029545C" w:rsidP="00F2205B">
      <w:pPr>
        <w:spacing w:after="0" w:line="240" w:lineRule="auto"/>
        <w:jc w:val="both"/>
        <w:rPr>
          <w:rFonts w:ascii="Calibri" w:hAnsi="Calibri" w:cs="Calibri"/>
          <w:sz w:val="22"/>
          <w:lang w:val="en-US"/>
        </w:rPr>
      </w:pPr>
      <w:r w:rsidRPr="00F2205B">
        <w:rPr>
          <w:rFonts w:ascii="Calibri" w:hAnsi="Calibri" w:cs="Calibri"/>
          <w:sz w:val="22"/>
          <w:lang w:val="en-US"/>
        </w:rPr>
        <w:t>Victorian Agency for Health Information</w:t>
      </w:r>
      <w:r w:rsidR="00531EE1" w:rsidRPr="00F2205B">
        <w:rPr>
          <w:rFonts w:ascii="Calibri" w:hAnsi="Calibri" w:cs="Calibri"/>
          <w:sz w:val="22"/>
          <w:lang w:val="en-US"/>
        </w:rPr>
        <w:t xml:space="preserve">. </w:t>
      </w:r>
      <w:r w:rsidRPr="00F2205B">
        <w:rPr>
          <w:rFonts w:ascii="Calibri" w:hAnsi="Calibri" w:cs="Calibri"/>
          <w:sz w:val="22"/>
          <w:lang w:val="en-US"/>
        </w:rPr>
        <w:t>2017. Challenges to Healthy Eating - Food Insecurity in Victoria. Findings from the Victorian Population Health Survey 2014</w:t>
      </w:r>
      <w:r w:rsidR="00531EE1" w:rsidRPr="00F2205B">
        <w:rPr>
          <w:rFonts w:ascii="Calibri" w:hAnsi="Calibri" w:cs="Calibri"/>
          <w:sz w:val="22"/>
          <w:lang w:val="en-US"/>
        </w:rPr>
        <w:t>.</w:t>
      </w:r>
      <w:r w:rsidRPr="00F2205B">
        <w:rPr>
          <w:rFonts w:ascii="Calibri" w:hAnsi="Calibri" w:cs="Calibri"/>
          <w:sz w:val="22"/>
          <w:lang w:val="en-US"/>
        </w:rPr>
        <w:t xml:space="preserve"> State of Victoria, Melbourne.</w:t>
      </w:r>
      <w:r w:rsidR="00531EE1" w:rsidRPr="00F2205B">
        <w:rPr>
          <w:rFonts w:ascii="Calibri" w:hAnsi="Calibri" w:cs="Calibri"/>
          <w:sz w:val="22"/>
          <w:lang w:val="en-US"/>
        </w:rPr>
        <w:t xml:space="preserve"> </w:t>
      </w:r>
      <w:hyperlink r:id="rId50" w:history="1">
        <w:r w:rsidR="00531EE1" w:rsidRPr="00F2205B">
          <w:rPr>
            <w:rStyle w:val="Hyperlink"/>
            <w:rFonts w:ascii="Calibri" w:hAnsi="Calibri" w:cs="Calibri"/>
            <w:sz w:val="22"/>
            <w:lang w:val="en-US"/>
          </w:rPr>
          <w:t>https://vahi.vic.gov.au/sites/default/files/2021-12/190226-1_VAHI-food-insecurity-full</w:t>
        </w:r>
        <w:r w:rsidR="009E3601">
          <w:rPr>
            <w:rStyle w:val="Hyperlink"/>
            <w:rFonts w:ascii="Calibri" w:hAnsi="Calibri" w:cs="Calibri"/>
            <w:sz w:val="22"/>
            <w:lang w:val="en-US"/>
          </w:rPr>
          <w:t xml:space="preserve"> per </w:t>
        </w:r>
        <w:r w:rsidR="009E3601">
          <w:rPr>
            <w:rStyle w:val="Hyperlink"/>
            <w:rFonts w:ascii="Calibri" w:hAnsi="Calibri" w:cs="Calibri"/>
            <w:sz w:val="22"/>
            <w:lang w:val="en-US"/>
          </w:rPr>
          <w:t>cent</w:t>
        </w:r>
        <w:r w:rsidR="00531EE1" w:rsidRPr="00F2205B">
          <w:rPr>
            <w:rStyle w:val="Hyperlink"/>
            <w:rFonts w:ascii="Calibri" w:hAnsi="Calibri" w:cs="Calibri"/>
            <w:sz w:val="22"/>
            <w:lang w:val="en-US"/>
          </w:rPr>
          <w:t>20report.pdf</w:t>
        </w:r>
      </w:hyperlink>
      <w:r w:rsidR="00531EE1" w:rsidRPr="00F2205B">
        <w:rPr>
          <w:rFonts w:ascii="Calibri" w:hAnsi="Calibri" w:cs="Calibri"/>
          <w:sz w:val="22"/>
          <w:lang w:val="en-US"/>
        </w:rPr>
        <w:t xml:space="preserve">. </w:t>
      </w:r>
    </w:p>
    <w:p w14:paraId="773E3477" w14:textId="77777777" w:rsidR="00FA2B67" w:rsidRDefault="00FA2B67" w:rsidP="00F2205B">
      <w:pPr>
        <w:spacing w:after="0" w:line="240" w:lineRule="auto"/>
        <w:jc w:val="both"/>
        <w:rPr>
          <w:rFonts w:ascii="Calibri" w:hAnsi="Calibri" w:cs="Calibri"/>
          <w:sz w:val="22"/>
          <w:lang w:val="en-US"/>
        </w:rPr>
      </w:pPr>
    </w:p>
    <w:p w14:paraId="55A3DFB6" w14:textId="77777777" w:rsidR="000322B3" w:rsidRDefault="000213E4" w:rsidP="00F2205B">
      <w:pPr>
        <w:spacing w:after="0" w:line="240" w:lineRule="auto"/>
        <w:jc w:val="both"/>
        <w:rPr>
          <w:rFonts w:ascii="Calibri" w:hAnsi="Calibri" w:cs="Calibri"/>
          <w:sz w:val="22"/>
          <w:lang w:val="en-US"/>
        </w:rPr>
      </w:pPr>
      <w:r w:rsidRPr="00F2205B">
        <w:rPr>
          <w:rFonts w:ascii="Calibri" w:hAnsi="Calibri" w:cs="Calibri"/>
          <w:sz w:val="22"/>
          <w:lang w:val="en-US"/>
        </w:rPr>
        <w:t xml:space="preserve">Victoria State Government. 2025. </w:t>
      </w:r>
      <w:r w:rsidRPr="00F2205B">
        <w:rPr>
          <w:rFonts w:ascii="Calibri" w:hAnsi="Calibri" w:cs="Calibri"/>
          <w:sz w:val="22"/>
        </w:rPr>
        <w:t xml:space="preserve">Victorian Government response to the Parliamentary Inquiry into Food Security in Victoria. </w:t>
      </w:r>
      <w:r w:rsidRPr="00F2205B">
        <w:rPr>
          <w:rFonts w:ascii="Calibri" w:hAnsi="Calibri" w:cs="Calibri"/>
          <w:sz w:val="22"/>
          <w:lang w:val="en-US"/>
        </w:rPr>
        <w:t xml:space="preserve">State of Victoria, Melbourne. </w:t>
      </w:r>
    </w:p>
    <w:p w14:paraId="1D23FE64" w14:textId="62652793" w:rsidR="000213E4" w:rsidRPr="00F2205B" w:rsidRDefault="000322B3" w:rsidP="00F2205B">
      <w:pPr>
        <w:spacing w:after="0" w:line="240" w:lineRule="auto"/>
        <w:jc w:val="both"/>
        <w:rPr>
          <w:rFonts w:ascii="Calibri" w:hAnsi="Calibri" w:cs="Calibri"/>
          <w:sz w:val="22"/>
          <w:lang w:val="en-US"/>
        </w:rPr>
      </w:pPr>
      <w:hyperlink r:id="rId51" w:history="1">
        <w:r w:rsidRPr="009A162A">
          <w:rPr>
            <w:rStyle w:val="Hyperlink"/>
            <w:rFonts w:ascii="Calibri" w:hAnsi="Calibri" w:cs="Calibri"/>
            <w:sz w:val="22"/>
            <w:lang w:val="en-US"/>
          </w:rPr>
          <w:t>https://www.parliament.vic.gov.au/4a2025/contentassets/4463f75bd2424444b179907e91c57924/victorian-government-response-to-the-parliamentary-inquiry-into-food-security-in-victoria.pdf</w:t>
        </w:r>
      </w:hyperlink>
      <w:r w:rsidR="000213E4" w:rsidRPr="00F2205B">
        <w:rPr>
          <w:rFonts w:ascii="Calibri" w:hAnsi="Calibri" w:cs="Calibri"/>
          <w:sz w:val="22"/>
          <w:lang w:val="en-US"/>
        </w:rPr>
        <w:t xml:space="preserve">. </w:t>
      </w:r>
    </w:p>
    <w:p w14:paraId="5E9486D0" w14:textId="77777777" w:rsidR="00FA2B67" w:rsidRDefault="00FA2B67" w:rsidP="00F2205B">
      <w:pPr>
        <w:spacing w:after="0" w:line="240" w:lineRule="auto"/>
        <w:jc w:val="both"/>
        <w:rPr>
          <w:rFonts w:ascii="Calibri" w:hAnsi="Calibri" w:cs="Calibri"/>
          <w:sz w:val="22"/>
        </w:rPr>
      </w:pPr>
    </w:p>
    <w:p w14:paraId="2BD2E043" w14:textId="286FA833" w:rsidR="001E3575" w:rsidRPr="00F2205B" w:rsidRDefault="001E3575" w:rsidP="00F2205B">
      <w:pPr>
        <w:spacing w:after="0" w:line="240" w:lineRule="auto"/>
        <w:jc w:val="both"/>
        <w:rPr>
          <w:rFonts w:ascii="Calibri" w:hAnsi="Calibri" w:cs="Calibri"/>
          <w:sz w:val="22"/>
        </w:rPr>
      </w:pPr>
      <w:r w:rsidRPr="00F2205B">
        <w:rPr>
          <w:rFonts w:ascii="Calibri" w:hAnsi="Calibri" w:cs="Calibri"/>
          <w:sz w:val="22"/>
        </w:rPr>
        <w:lastRenderedPageBreak/>
        <w:t xml:space="preserve">Waity, Julia F. 2016. “Spatial Inequality in Access to Food Assistance in Indiana.” </w:t>
      </w:r>
      <w:r w:rsidRPr="00F2205B">
        <w:rPr>
          <w:rFonts w:ascii="Calibri" w:hAnsi="Calibri" w:cs="Calibri"/>
          <w:i/>
          <w:iCs/>
          <w:sz w:val="22"/>
        </w:rPr>
        <w:t>Sociological Inquiry</w:t>
      </w:r>
      <w:r w:rsidRPr="00F2205B">
        <w:rPr>
          <w:rFonts w:ascii="Calibri" w:hAnsi="Calibri" w:cs="Calibri"/>
          <w:sz w:val="22"/>
        </w:rPr>
        <w:t xml:space="preserve"> (Hoboken) 86 (1): 103–26. </w:t>
      </w:r>
      <w:hyperlink r:id="rId52" w:history="1">
        <w:r w:rsidRPr="00F2205B">
          <w:rPr>
            <w:rStyle w:val="Hyperlink"/>
            <w:rFonts w:ascii="Calibri" w:hAnsi="Calibri" w:cs="Calibri"/>
            <w:sz w:val="22"/>
          </w:rPr>
          <w:t>https://doi.org/10.1111/soin.12098</w:t>
        </w:r>
      </w:hyperlink>
      <w:r w:rsidRPr="00F2205B">
        <w:rPr>
          <w:rFonts w:ascii="Calibri" w:hAnsi="Calibri" w:cs="Calibri"/>
          <w:sz w:val="22"/>
        </w:rPr>
        <w:t xml:space="preserve">. </w:t>
      </w:r>
    </w:p>
    <w:p w14:paraId="6B6DEE05" w14:textId="77777777" w:rsidR="00FA2B67" w:rsidRDefault="00FA2B67" w:rsidP="00F2205B">
      <w:pPr>
        <w:spacing w:after="0" w:line="240" w:lineRule="auto"/>
        <w:jc w:val="both"/>
        <w:rPr>
          <w:rFonts w:ascii="Calibri" w:hAnsi="Calibri" w:cs="Calibri"/>
          <w:sz w:val="22"/>
          <w:lang w:val="en-US"/>
        </w:rPr>
      </w:pPr>
    </w:p>
    <w:p w14:paraId="126356D3" w14:textId="0304D50C" w:rsidR="009C39C2" w:rsidRPr="00F2205B" w:rsidRDefault="009C39C2" w:rsidP="00F2205B">
      <w:pPr>
        <w:spacing w:after="0" w:line="240" w:lineRule="auto"/>
        <w:jc w:val="both"/>
        <w:rPr>
          <w:rFonts w:ascii="Calibri" w:hAnsi="Calibri" w:cs="Calibri"/>
          <w:sz w:val="22"/>
          <w:lang w:val="en-US"/>
        </w:rPr>
      </w:pPr>
      <w:r w:rsidRPr="00F2205B">
        <w:rPr>
          <w:rFonts w:ascii="Calibri" w:hAnsi="Calibri" w:cs="Calibri"/>
          <w:sz w:val="22"/>
          <w:lang w:val="en-US"/>
        </w:rPr>
        <w:t>Walsh, L</w:t>
      </w:r>
      <w:r w:rsidR="001E3575" w:rsidRPr="00F2205B">
        <w:rPr>
          <w:rFonts w:ascii="Calibri" w:hAnsi="Calibri" w:cs="Calibri"/>
          <w:sz w:val="22"/>
          <w:lang w:val="en-US"/>
        </w:rPr>
        <w:t>ucas, Zihong Deng, Thuc Bao Huynh and Blake Cutler. 2024.</w:t>
      </w:r>
      <w:r w:rsidRPr="00F2205B">
        <w:rPr>
          <w:rFonts w:ascii="Calibri" w:hAnsi="Calibri" w:cs="Calibri"/>
          <w:sz w:val="22"/>
          <w:lang w:val="en-US"/>
        </w:rPr>
        <w:t xml:space="preserve"> </w:t>
      </w:r>
      <w:r w:rsidR="001E3575" w:rsidRPr="00F2205B">
        <w:rPr>
          <w:rFonts w:ascii="Calibri" w:hAnsi="Calibri" w:cs="Calibri"/>
          <w:sz w:val="22"/>
          <w:lang w:val="en-US"/>
        </w:rPr>
        <w:t>“</w:t>
      </w:r>
      <w:r w:rsidRPr="00F2205B">
        <w:rPr>
          <w:rFonts w:ascii="Calibri" w:hAnsi="Calibri" w:cs="Calibri"/>
          <w:sz w:val="22"/>
          <w:lang w:val="en-US"/>
        </w:rPr>
        <w:t>Young Australians’ Experiences of Food Insecurity: A spotlight on Victoria</w:t>
      </w:r>
      <w:r w:rsidR="001E3575" w:rsidRPr="00F2205B">
        <w:rPr>
          <w:rFonts w:ascii="Calibri" w:hAnsi="Calibri" w:cs="Calibri"/>
          <w:sz w:val="22"/>
          <w:lang w:val="en-US"/>
        </w:rPr>
        <w:t>”</w:t>
      </w:r>
      <w:r w:rsidRPr="00F2205B">
        <w:rPr>
          <w:rFonts w:ascii="Calibri" w:hAnsi="Calibri" w:cs="Calibri"/>
          <w:sz w:val="22"/>
          <w:lang w:val="en-US"/>
        </w:rPr>
        <w:t xml:space="preserve">. The Monash Center for Youth Policy and Education Practice. Monash University. Report. </w:t>
      </w:r>
      <w:hyperlink r:id="rId53" w:history="1">
        <w:r w:rsidR="001E3575" w:rsidRPr="00F2205B">
          <w:rPr>
            <w:rStyle w:val="Hyperlink"/>
            <w:rFonts w:ascii="Calibri" w:hAnsi="Calibri" w:cs="Calibri"/>
            <w:sz w:val="22"/>
          </w:rPr>
          <w:t>https://doi.org/10.26180/26502097.v1</w:t>
        </w:r>
      </w:hyperlink>
      <w:r w:rsidR="001E3575" w:rsidRPr="00F2205B">
        <w:rPr>
          <w:rFonts w:ascii="Calibri" w:hAnsi="Calibri" w:cs="Calibri"/>
          <w:sz w:val="22"/>
        </w:rPr>
        <w:t xml:space="preserve"> </w:t>
      </w:r>
    </w:p>
    <w:p w14:paraId="0C2AF6BC" w14:textId="77777777" w:rsidR="00FA2B67" w:rsidRDefault="00FA2B67" w:rsidP="00F2205B">
      <w:pPr>
        <w:spacing w:after="0" w:line="240" w:lineRule="auto"/>
        <w:jc w:val="both"/>
        <w:rPr>
          <w:rFonts w:ascii="Calibri" w:hAnsi="Calibri" w:cs="Calibri"/>
          <w:sz w:val="22"/>
        </w:rPr>
      </w:pPr>
    </w:p>
    <w:p w14:paraId="4859C356" w14:textId="73512CA7" w:rsidR="001E3575" w:rsidRPr="00F2205B" w:rsidRDefault="001E3575" w:rsidP="00F2205B">
      <w:pPr>
        <w:spacing w:after="0" w:line="240" w:lineRule="auto"/>
        <w:jc w:val="both"/>
        <w:rPr>
          <w:rFonts w:ascii="Calibri" w:hAnsi="Calibri" w:cs="Calibri"/>
          <w:sz w:val="22"/>
        </w:rPr>
      </w:pPr>
      <w:r w:rsidRPr="00F2205B">
        <w:rPr>
          <w:rFonts w:ascii="Calibri" w:hAnsi="Calibri" w:cs="Calibri"/>
          <w:sz w:val="22"/>
        </w:rPr>
        <w:t xml:space="preserve">Wang, Mingzhuo, S. Mostafa Rasoolimanesh, Puvaneswaran Kunasekaran, and Yuzong Zhao. 2024. “Understanding Over-Ordering Behaviour in Social Dining: Integrating Mass Media Exposure and Sense of ‘Mianzi’ into the Norm Activation Model.” </w:t>
      </w:r>
      <w:r w:rsidRPr="00F2205B">
        <w:rPr>
          <w:rFonts w:ascii="Calibri" w:hAnsi="Calibri" w:cs="Calibri"/>
          <w:i/>
          <w:iCs/>
          <w:sz w:val="22"/>
        </w:rPr>
        <w:t>The Service Industries Journal</w:t>
      </w:r>
      <w:r w:rsidRPr="00F2205B">
        <w:rPr>
          <w:rFonts w:ascii="Calibri" w:hAnsi="Calibri" w:cs="Calibri"/>
          <w:sz w:val="22"/>
        </w:rPr>
        <w:t xml:space="preserve"> (London) 44 (13–14): 1018–37. https://doi.org/10.1080/02642069.2022.2138356.</w:t>
      </w:r>
    </w:p>
    <w:p w14:paraId="789E1243" w14:textId="77777777" w:rsidR="00A06EE0" w:rsidRDefault="00A06EE0" w:rsidP="00F2205B">
      <w:pPr>
        <w:spacing w:after="0" w:line="240" w:lineRule="auto"/>
        <w:jc w:val="both"/>
        <w:rPr>
          <w:rFonts w:ascii="Calibri" w:hAnsi="Calibri" w:cs="Calibri"/>
          <w:sz w:val="22"/>
        </w:rPr>
      </w:pPr>
    </w:p>
    <w:p w14:paraId="305FD2C8" w14:textId="421DC46E" w:rsidR="001E3575" w:rsidRPr="00F2205B" w:rsidRDefault="001E3575" w:rsidP="00F2205B">
      <w:pPr>
        <w:spacing w:after="0" w:line="240" w:lineRule="auto"/>
        <w:jc w:val="both"/>
        <w:rPr>
          <w:rFonts w:ascii="Calibri" w:hAnsi="Calibri" w:cs="Calibri"/>
          <w:sz w:val="22"/>
        </w:rPr>
      </w:pPr>
      <w:r w:rsidRPr="00F2205B">
        <w:rPr>
          <w:rFonts w:ascii="Calibri" w:hAnsi="Calibri" w:cs="Calibri"/>
          <w:sz w:val="22"/>
        </w:rPr>
        <w:t xml:space="preserve">Wheeler, Sarah Ann, Ying Xu, and Daniel Gregg. 2025. “Exploring South Australian Households’ Perceptions </w:t>
      </w:r>
      <w:r w:rsidR="00DE28D4">
        <w:rPr>
          <w:rFonts w:ascii="Calibri" w:hAnsi="Calibri" w:cs="Calibri"/>
          <w:sz w:val="22"/>
        </w:rPr>
        <w:t>T</w:t>
      </w:r>
      <w:r w:rsidRPr="00F2205B">
        <w:rPr>
          <w:rFonts w:ascii="Calibri" w:hAnsi="Calibri" w:cs="Calibri"/>
          <w:sz w:val="22"/>
        </w:rPr>
        <w:t xml:space="preserve">owards Various Food Waste Policies.” </w:t>
      </w:r>
      <w:r w:rsidRPr="00F2205B">
        <w:rPr>
          <w:rFonts w:ascii="Calibri" w:hAnsi="Calibri" w:cs="Calibri"/>
          <w:i/>
          <w:iCs/>
          <w:sz w:val="22"/>
        </w:rPr>
        <w:t>Ecological Economics</w:t>
      </w:r>
      <w:r w:rsidRPr="00F2205B">
        <w:rPr>
          <w:rFonts w:ascii="Calibri" w:hAnsi="Calibri" w:cs="Calibri"/>
          <w:sz w:val="22"/>
        </w:rPr>
        <w:t xml:space="preserve"> 227: 108431. </w:t>
      </w:r>
      <w:hyperlink r:id="rId54" w:history="1">
        <w:r w:rsidRPr="00F2205B">
          <w:rPr>
            <w:rStyle w:val="Hyperlink"/>
            <w:rFonts w:ascii="Calibri" w:hAnsi="Calibri" w:cs="Calibri"/>
            <w:sz w:val="22"/>
          </w:rPr>
          <w:t>https://doi.org/10.1016/j.ecolecon.2024.108431</w:t>
        </w:r>
      </w:hyperlink>
      <w:r w:rsidRPr="00F2205B">
        <w:rPr>
          <w:rFonts w:ascii="Calibri" w:hAnsi="Calibri" w:cs="Calibri"/>
          <w:sz w:val="22"/>
        </w:rPr>
        <w:t xml:space="preserve">. </w:t>
      </w:r>
    </w:p>
    <w:p w14:paraId="30C4A874" w14:textId="77777777" w:rsidR="00A06EE0" w:rsidRDefault="00A06EE0" w:rsidP="00F2205B">
      <w:pPr>
        <w:spacing w:after="0" w:line="240" w:lineRule="auto"/>
        <w:jc w:val="both"/>
        <w:rPr>
          <w:rFonts w:ascii="Calibri" w:hAnsi="Calibri" w:cs="Calibri"/>
          <w:sz w:val="22"/>
        </w:rPr>
      </w:pPr>
    </w:p>
    <w:p w14:paraId="4A646CA8" w14:textId="4595A7EE" w:rsidR="0092499B" w:rsidRPr="00F2205B" w:rsidRDefault="0092499B" w:rsidP="00F2205B">
      <w:pPr>
        <w:spacing w:after="0" w:line="240" w:lineRule="auto"/>
        <w:jc w:val="both"/>
        <w:rPr>
          <w:rFonts w:ascii="Calibri" w:hAnsi="Calibri" w:cs="Calibri"/>
          <w:sz w:val="22"/>
          <w:lang w:val="en-US"/>
        </w:rPr>
      </w:pPr>
    </w:p>
    <w:sectPr w:rsidR="0092499B" w:rsidRPr="00F2205B" w:rsidSect="002669F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0807" w14:textId="77777777" w:rsidR="00A92A64" w:rsidRDefault="00A92A64" w:rsidP="00E13612">
      <w:r>
        <w:separator/>
      </w:r>
    </w:p>
  </w:endnote>
  <w:endnote w:type="continuationSeparator" w:id="0">
    <w:p w14:paraId="5EDC4A07" w14:textId="77777777" w:rsidR="00A92A64" w:rsidRDefault="00A92A64" w:rsidP="00E1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FE2F" w14:textId="1D54975D" w:rsidR="003320E0" w:rsidRDefault="003320E0" w:rsidP="00E13612">
    <w:pPr>
      <w:pStyle w:val="Footer"/>
    </w:pPr>
    <w:r>
      <w:rPr>
        <w:noProof/>
      </w:rPr>
      <mc:AlternateContent>
        <mc:Choice Requires="wps">
          <w:drawing>
            <wp:anchor distT="0" distB="0" distL="0" distR="0" simplePos="0" relativeHeight="251669504" behindDoc="0" locked="0" layoutInCell="1" allowOverlap="1" wp14:anchorId="513F9A0F" wp14:editId="20B9AA99">
              <wp:simplePos x="635" y="635"/>
              <wp:positionH relativeFrom="page">
                <wp:align>left</wp:align>
              </wp:positionH>
              <wp:positionV relativeFrom="page">
                <wp:align>bottom</wp:align>
              </wp:positionV>
              <wp:extent cx="759460" cy="374650"/>
              <wp:effectExtent l="0" t="0" r="2540" b="0"/>
              <wp:wrapNone/>
              <wp:docPr id="19981109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03E04624" w14:textId="4DEF764B" w:rsidR="003320E0" w:rsidRPr="003320E0" w:rsidRDefault="003320E0" w:rsidP="00E13612">
                          <w:pPr>
                            <w:rPr>
                              <w:noProof/>
                            </w:rPr>
                          </w:pPr>
                          <w:r w:rsidRPr="003320E0">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F9A0F" id="_x0000_t202" coordsize="21600,21600" o:spt="202" path="m,l,21600r21600,l21600,xe">
              <v:stroke joinstyle="miter"/>
              <v:path gradientshapeok="t" o:connecttype="rect"/>
            </v:shapetype>
            <v:shape id="Text Box 2" o:spid="_x0000_s1064" type="#_x0000_t202" alt="OFFICIAL" style="position:absolute;margin-left:0;margin-top:0;width:59.8pt;height:2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textbox style="mso-fit-shape-to-text:t" inset="20pt,0,0,15pt">
                <w:txbxContent>
                  <w:p w14:paraId="03E04624" w14:textId="4DEF764B" w:rsidR="003320E0" w:rsidRPr="003320E0" w:rsidRDefault="003320E0" w:rsidP="00E13612">
                    <w:pPr>
                      <w:rPr>
                        <w:noProof/>
                      </w:rPr>
                    </w:pPr>
                    <w:r w:rsidRPr="003320E0">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3DB8DEDB" w14:textId="62E9279A" w:rsidR="00C862E2" w:rsidRPr="00AD29F2" w:rsidRDefault="00C862E2" w:rsidP="00C862E2">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w:t>
        </w:r>
        <w:r w:rsidR="00647399">
          <w:rPr>
            <w:rFonts w:ascii="Calibri" w:hAnsi="Calibri" w:cs="Calibri"/>
            <w:i/>
            <w:sz w:val="20"/>
            <w:szCs w:val="20"/>
          </w:rPr>
          <w:t>REA Working Paper Series</w:t>
        </w:r>
        <w:r w:rsidR="00777A14">
          <w:rPr>
            <w:rFonts w:ascii="Calibri" w:hAnsi="Calibri" w:cs="Calibri"/>
            <w:i/>
            <w:sz w:val="20"/>
            <w:szCs w:val="20"/>
          </w:rPr>
          <w:t xml:space="preserve">, 2026, </w:t>
        </w:r>
        <w:r w:rsidR="00531736">
          <w:rPr>
            <w:rFonts w:ascii="Calibri" w:hAnsi="Calibri" w:cs="Calibri"/>
            <w:i/>
            <w:sz w:val="20"/>
            <w:szCs w:val="20"/>
          </w:rPr>
          <w:t xml:space="preserve">Paper </w:t>
        </w:r>
        <w:r w:rsidR="00A20CBF">
          <w:rPr>
            <w:rFonts w:ascii="Calibri" w:hAnsi="Calibri" w:cs="Calibri"/>
            <w:i/>
            <w:sz w:val="20"/>
            <w:szCs w:val="20"/>
          </w:rPr>
          <w:t>10</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784A4375" w14:textId="77777777" w:rsidR="00C862E2" w:rsidRDefault="00A92A64" w:rsidP="00C862E2">
        <w:pPr>
          <w:pStyle w:val="Footer"/>
          <w:tabs>
            <w:tab w:val="center" w:pos="4320"/>
            <w:tab w:val="right" w:pos="8640"/>
          </w:tabs>
          <w:jc w:val="right"/>
          <w:rPr>
            <w:noProof/>
          </w:rPr>
        </w:pPr>
      </w:p>
    </w:sdtContent>
  </w:sdt>
  <w:p w14:paraId="0DB751B1" w14:textId="49F0A972" w:rsidR="00572A6E" w:rsidRDefault="00572A6E" w:rsidP="00E13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4F29" w14:textId="5D6EE670" w:rsidR="003320E0" w:rsidRDefault="003320E0" w:rsidP="00E13612">
    <w:pPr>
      <w:pStyle w:val="Footer"/>
    </w:pPr>
    <w:r>
      <w:rPr>
        <w:noProof/>
      </w:rPr>
      <mc:AlternateContent>
        <mc:Choice Requires="wps">
          <w:drawing>
            <wp:anchor distT="0" distB="0" distL="0" distR="0" simplePos="0" relativeHeight="251656192" behindDoc="0" locked="0" layoutInCell="1" allowOverlap="1" wp14:anchorId="028B4848" wp14:editId="6653ED8C">
              <wp:simplePos x="635" y="635"/>
              <wp:positionH relativeFrom="page">
                <wp:align>left</wp:align>
              </wp:positionH>
              <wp:positionV relativeFrom="page">
                <wp:align>bottom</wp:align>
              </wp:positionV>
              <wp:extent cx="759460" cy="374650"/>
              <wp:effectExtent l="0" t="0" r="2540" b="0"/>
              <wp:wrapNone/>
              <wp:docPr id="1170379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09930D85" w14:textId="697A662E" w:rsidR="003320E0" w:rsidRPr="003320E0" w:rsidRDefault="003320E0" w:rsidP="00E13612">
                          <w:pPr>
                            <w:rPr>
                              <w:noProof/>
                            </w:rPr>
                          </w:pPr>
                          <w:r w:rsidRPr="003320E0">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B4848" id="_x0000_t202" coordsize="21600,21600" o:spt="202" path="m,l,21600r21600,l21600,xe">
              <v:stroke joinstyle="miter"/>
              <v:path gradientshapeok="t" o:connecttype="rect"/>
            </v:shapetype>
            <v:shape id="Text Box 1" o:spid="_x0000_s1065" type="#_x0000_t202" alt="OFFICIAL" style="position:absolute;margin-left:0;margin-top:0;width:59.8pt;height:2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textbox style="mso-fit-shape-to-text:t" inset="20pt,0,0,15pt">
                <w:txbxContent>
                  <w:p w14:paraId="09930D85" w14:textId="697A662E" w:rsidR="003320E0" w:rsidRPr="003320E0" w:rsidRDefault="003320E0" w:rsidP="00E13612">
                    <w:pPr>
                      <w:rPr>
                        <w:noProof/>
                      </w:rPr>
                    </w:pPr>
                    <w:r w:rsidRPr="003320E0">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305A" w14:textId="77777777" w:rsidR="00A92A64" w:rsidRDefault="00A92A64" w:rsidP="00E13612">
      <w:r>
        <w:separator/>
      </w:r>
    </w:p>
  </w:footnote>
  <w:footnote w:type="continuationSeparator" w:id="0">
    <w:p w14:paraId="1598E1C6" w14:textId="77777777" w:rsidR="00A92A64" w:rsidRDefault="00A92A64" w:rsidP="00E13612">
      <w:r>
        <w:continuationSeparator/>
      </w:r>
    </w:p>
  </w:footnote>
  <w:footnote w:id="1">
    <w:p w14:paraId="23905CD3" w14:textId="77777777" w:rsidR="00373F15" w:rsidRPr="00373F15" w:rsidRDefault="00373F15" w:rsidP="00373F15">
      <w:pPr>
        <w:pStyle w:val="FootnoteText"/>
        <w:jc w:val="both"/>
        <w:rPr>
          <w:rFonts w:ascii="Calibri" w:hAnsi="Calibri" w:cs="Calibri"/>
        </w:rPr>
      </w:pPr>
      <w:r w:rsidRPr="00373F15">
        <w:rPr>
          <w:rStyle w:val="FootnoteReference"/>
          <w:rFonts w:ascii="Calibri" w:hAnsi="Calibri" w:cs="Calibri"/>
        </w:rPr>
        <w:footnoteRef/>
      </w:r>
      <w:r w:rsidRPr="00373F15">
        <w:rPr>
          <w:rFonts w:ascii="Calibri" w:hAnsi="Calibri" w:cs="Calibri"/>
        </w:rPr>
        <w:t xml:space="preserve"> The </w:t>
      </w:r>
      <w:r w:rsidRPr="00373F15">
        <w:rPr>
          <w:rFonts w:ascii="Calibri" w:hAnsi="Calibri" w:cs="Calibri"/>
          <w:i/>
          <w:iCs/>
        </w:rPr>
        <w:t>AREA Working Paper</w:t>
      </w:r>
      <w:r w:rsidRPr="00373F15">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 Not for quotation without the consent of the authors.</w:t>
      </w:r>
    </w:p>
    <w:p w14:paraId="1AFF57A9" w14:textId="7445C58B" w:rsidR="00373F15" w:rsidRDefault="00373F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B6C2" w14:textId="5774F537" w:rsidR="00FE5CE6" w:rsidRPr="000E6831" w:rsidRDefault="00FE5CE6" w:rsidP="00FE5CE6">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w:t>
    </w:r>
    <w:r w:rsidR="00D06B37">
      <w:rPr>
        <w:rFonts w:ascii="Calibri" w:hAnsi="Calibri" w:cs="Calibri"/>
        <w:i/>
        <w:sz w:val="20"/>
        <w:szCs w:val="20"/>
      </w:rPr>
      <w:t xml:space="preserve">Victorian </w:t>
    </w:r>
    <w:r w:rsidR="00527996">
      <w:rPr>
        <w:rFonts w:ascii="Calibri" w:hAnsi="Calibri" w:cs="Calibri"/>
        <w:i/>
        <w:sz w:val="20"/>
        <w:szCs w:val="20"/>
      </w:rPr>
      <w:t>Food Security Report</w:t>
    </w:r>
    <w:r w:rsidR="00E932FB">
      <w:rPr>
        <w:rFonts w:ascii="Calibri" w:hAnsi="Calibri" w:cs="Calibri"/>
        <w:i/>
        <w:sz w:val="20"/>
        <w:szCs w:val="20"/>
      </w:rPr>
      <w:t xml:space="preserve">  </w:t>
    </w:r>
    <w:r w:rsidRPr="000E6831">
      <w:rPr>
        <w:rFonts w:ascii="Calibri" w:hAnsi="Calibri" w:cs="Calibri"/>
        <w:i/>
        <w:sz w:val="20"/>
        <w:szCs w:val="20"/>
      </w:rPr>
      <w:t xml:space="preserve">                                </w:t>
    </w:r>
    <w:r w:rsidR="0083604A">
      <w:rPr>
        <w:rFonts w:ascii="Calibri" w:hAnsi="Calibri" w:cs="Calibri"/>
        <w:i/>
        <w:sz w:val="20"/>
        <w:szCs w:val="20"/>
      </w:rPr>
      <w:t xml:space="preserve">                                                                </w:t>
    </w:r>
    <w:r w:rsidR="00523F3A">
      <w:rPr>
        <w:rFonts w:ascii="Calibri" w:hAnsi="Calibri" w:cs="Calibri"/>
        <w:i/>
        <w:sz w:val="20"/>
        <w:szCs w:val="20"/>
      </w:rPr>
      <w:t xml:space="preserve">           </w:t>
    </w:r>
    <w:r w:rsidR="0083604A">
      <w:rPr>
        <w:rFonts w:ascii="Calibri" w:hAnsi="Calibri" w:cs="Calibri"/>
        <w:i/>
        <w:sz w:val="20"/>
        <w:szCs w:val="20"/>
      </w:rPr>
      <w:t xml:space="preserve">         </w:t>
    </w:r>
    <w:r w:rsidR="00527996">
      <w:rPr>
        <w:rFonts w:ascii="Calibri" w:hAnsi="Calibri" w:cs="Calibri"/>
        <w:i/>
        <w:sz w:val="20"/>
        <w:szCs w:val="20"/>
      </w:rPr>
      <w:t xml:space="preserve">Boyd </w:t>
    </w:r>
    <w:r w:rsidR="00523F3A">
      <w:rPr>
        <w:rFonts w:ascii="Calibri" w:hAnsi="Calibri" w:cs="Calibri"/>
        <w:i/>
        <w:sz w:val="20"/>
        <w:szCs w:val="20"/>
      </w:rPr>
      <w:t>et al.</w:t>
    </w:r>
  </w:p>
  <w:p w14:paraId="0C1D0518" w14:textId="77777777" w:rsidR="00A03797" w:rsidRDefault="00A0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A90"/>
    <w:multiLevelType w:val="hybridMultilevel"/>
    <w:tmpl w:val="56A6B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DA4B31"/>
    <w:multiLevelType w:val="hybridMultilevel"/>
    <w:tmpl w:val="4EC66AC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5866473"/>
    <w:multiLevelType w:val="hybridMultilevel"/>
    <w:tmpl w:val="9C26E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A82E92"/>
    <w:multiLevelType w:val="hybridMultilevel"/>
    <w:tmpl w:val="812875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3A0884"/>
    <w:multiLevelType w:val="hybridMultilevel"/>
    <w:tmpl w:val="ABFEB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FC01A5"/>
    <w:multiLevelType w:val="hybridMultilevel"/>
    <w:tmpl w:val="74AC8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80050"/>
    <w:multiLevelType w:val="hybridMultilevel"/>
    <w:tmpl w:val="1A9ACDA4"/>
    <w:lvl w:ilvl="0" w:tplc="C96A6E1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D93052"/>
    <w:multiLevelType w:val="hybridMultilevel"/>
    <w:tmpl w:val="5BF09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0644FF"/>
    <w:multiLevelType w:val="hybridMultilevel"/>
    <w:tmpl w:val="4EC66AC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AC16EA6"/>
    <w:multiLevelType w:val="hybridMultilevel"/>
    <w:tmpl w:val="3940A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027F9A"/>
    <w:multiLevelType w:val="hybridMultilevel"/>
    <w:tmpl w:val="66A661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267C79"/>
    <w:multiLevelType w:val="hybridMultilevel"/>
    <w:tmpl w:val="66A66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A405E"/>
    <w:multiLevelType w:val="hybridMultilevel"/>
    <w:tmpl w:val="2032971C"/>
    <w:lvl w:ilvl="0" w:tplc="FFFFFFFF">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AC4A48"/>
    <w:multiLevelType w:val="hybridMultilevel"/>
    <w:tmpl w:val="C444E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1F2C3E"/>
    <w:multiLevelType w:val="hybridMultilevel"/>
    <w:tmpl w:val="F8383240"/>
    <w:lvl w:ilvl="0" w:tplc="0C09000F">
      <w:start w:val="1"/>
      <w:numFmt w:val="decimal"/>
      <w:lvlText w:val="%1."/>
      <w:lvlJc w:val="left"/>
      <w:pPr>
        <w:ind w:left="720" w:hanging="360"/>
      </w:pPr>
    </w:lvl>
    <w:lvl w:ilvl="1" w:tplc="0C090019">
      <w:start w:val="1"/>
      <w:numFmt w:val="lowerLetter"/>
      <w:lvlText w:val="%2."/>
      <w:lvlJc w:val="left"/>
      <w:pPr>
        <w:ind w:left="502"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665300"/>
    <w:multiLevelType w:val="hybridMultilevel"/>
    <w:tmpl w:val="E1C01B4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6B3A0C"/>
    <w:multiLevelType w:val="hybridMultilevel"/>
    <w:tmpl w:val="3B6AB5F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5E022B76"/>
    <w:multiLevelType w:val="multilevel"/>
    <w:tmpl w:val="026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672EBD"/>
    <w:multiLevelType w:val="hybridMultilevel"/>
    <w:tmpl w:val="67DA6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025B26"/>
    <w:multiLevelType w:val="hybridMultilevel"/>
    <w:tmpl w:val="104C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A4B05"/>
    <w:multiLevelType w:val="hybridMultilevel"/>
    <w:tmpl w:val="E374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6C1933"/>
    <w:multiLevelType w:val="hybridMultilevel"/>
    <w:tmpl w:val="00C0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E122D2"/>
    <w:multiLevelType w:val="hybridMultilevel"/>
    <w:tmpl w:val="0CEAB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83508466">
    <w:abstractNumId w:val="17"/>
  </w:num>
  <w:num w:numId="2" w16cid:durableId="150099622">
    <w:abstractNumId w:val="14"/>
  </w:num>
  <w:num w:numId="3" w16cid:durableId="1980782">
    <w:abstractNumId w:val="15"/>
  </w:num>
  <w:num w:numId="4" w16cid:durableId="796341757">
    <w:abstractNumId w:val="6"/>
  </w:num>
  <w:num w:numId="5" w16cid:durableId="670181842">
    <w:abstractNumId w:val="8"/>
  </w:num>
  <w:num w:numId="6" w16cid:durableId="1601138496">
    <w:abstractNumId w:val="1"/>
  </w:num>
  <w:num w:numId="7" w16cid:durableId="2061594603">
    <w:abstractNumId w:val="12"/>
  </w:num>
  <w:num w:numId="8" w16cid:durableId="914700560">
    <w:abstractNumId w:val="18"/>
  </w:num>
  <w:num w:numId="9" w16cid:durableId="1263494587">
    <w:abstractNumId w:val="4"/>
  </w:num>
  <w:num w:numId="10" w16cid:durableId="1177188353">
    <w:abstractNumId w:val="3"/>
  </w:num>
  <w:num w:numId="11" w16cid:durableId="2011790093">
    <w:abstractNumId w:val="21"/>
  </w:num>
  <w:num w:numId="12" w16cid:durableId="173690139">
    <w:abstractNumId w:val="16"/>
  </w:num>
  <w:num w:numId="13" w16cid:durableId="629241733">
    <w:abstractNumId w:val="20"/>
  </w:num>
  <w:num w:numId="14" w16cid:durableId="846554971">
    <w:abstractNumId w:val="13"/>
  </w:num>
  <w:num w:numId="15" w16cid:durableId="1729261763">
    <w:abstractNumId w:val="11"/>
  </w:num>
  <w:num w:numId="16" w16cid:durableId="115879459">
    <w:abstractNumId w:val="10"/>
  </w:num>
  <w:num w:numId="17" w16cid:durableId="1434785410">
    <w:abstractNumId w:val="5"/>
  </w:num>
  <w:num w:numId="18" w16cid:durableId="1084689382">
    <w:abstractNumId w:val="2"/>
  </w:num>
  <w:num w:numId="19" w16cid:durableId="1217817594">
    <w:abstractNumId w:val="9"/>
  </w:num>
  <w:num w:numId="20" w16cid:durableId="1295941420">
    <w:abstractNumId w:val="0"/>
  </w:num>
  <w:num w:numId="21" w16cid:durableId="810487025">
    <w:abstractNumId w:val="7"/>
  </w:num>
  <w:num w:numId="22" w16cid:durableId="212931084">
    <w:abstractNumId w:val="22"/>
  </w:num>
  <w:num w:numId="23" w16cid:durableId="625700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E0"/>
    <w:rsid w:val="00000D9E"/>
    <w:rsid w:val="00001B34"/>
    <w:rsid w:val="000047FE"/>
    <w:rsid w:val="000049FA"/>
    <w:rsid w:val="00004A8E"/>
    <w:rsid w:val="00004FA0"/>
    <w:rsid w:val="00006AAD"/>
    <w:rsid w:val="00007610"/>
    <w:rsid w:val="00010CBF"/>
    <w:rsid w:val="000130A5"/>
    <w:rsid w:val="000137DB"/>
    <w:rsid w:val="0001398D"/>
    <w:rsid w:val="0001634E"/>
    <w:rsid w:val="0001664E"/>
    <w:rsid w:val="000168DD"/>
    <w:rsid w:val="00017248"/>
    <w:rsid w:val="00017784"/>
    <w:rsid w:val="00020DD6"/>
    <w:rsid w:val="000213E3"/>
    <w:rsid w:val="000213E4"/>
    <w:rsid w:val="00021EBD"/>
    <w:rsid w:val="0002252A"/>
    <w:rsid w:val="00023B4A"/>
    <w:rsid w:val="00023CE5"/>
    <w:rsid w:val="00023D07"/>
    <w:rsid w:val="00025201"/>
    <w:rsid w:val="00026F2F"/>
    <w:rsid w:val="000322B3"/>
    <w:rsid w:val="000324FD"/>
    <w:rsid w:val="00032541"/>
    <w:rsid w:val="000344E5"/>
    <w:rsid w:val="00035F01"/>
    <w:rsid w:val="00037D6D"/>
    <w:rsid w:val="000426A7"/>
    <w:rsid w:val="00043243"/>
    <w:rsid w:val="00047DCE"/>
    <w:rsid w:val="00047EC9"/>
    <w:rsid w:val="00050914"/>
    <w:rsid w:val="00052C05"/>
    <w:rsid w:val="000542AC"/>
    <w:rsid w:val="00054D14"/>
    <w:rsid w:val="00054E43"/>
    <w:rsid w:val="00055685"/>
    <w:rsid w:val="0005749A"/>
    <w:rsid w:val="00057FA4"/>
    <w:rsid w:val="00060115"/>
    <w:rsid w:val="00061388"/>
    <w:rsid w:val="00062D56"/>
    <w:rsid w:val="00065379"/>
    <w:rsid w:val="0006556A"/>
    <w:rsid w:val="00065FC2"/>
    <w:rsid w:val="00066A9F"/>
    <w:rsid w:val="00067EEE"/>
    <w:rsid w:val="00071848"/>
    <w:rsid w:val="00071B15"/>
    <w:rsid w:val="00073D9F"/>
    <w:rsid w:val="00074B61"/>
    <w:rsid w:val="00074B92"/>
    <w:rsid w:val="0007611E"/>
    <w:rsid w:val="0008350C"/>
    <w:rsid w:val="00083E44"/>
    <w:rsid w:val="00087A83"/>
    <w:rsid w:val="00091292"/>
    <w:rsid w:val="00091B54"/>
    <w:rsid w:val="00092721"/>
    <w:rsid w:val="00096D14"/>
    <w:rsid w:val="000A0143"/>
    <w:rsid w:val="000A0178"/>
    <w:rsid w:val="000A0CE0"/>
    <w:rsid w:val="000A5DC3"/>
    <w:rsid w:val="000A7A51"/>
    <w:rsid w:val="000B08CE"/>
    <w:rsid w:val="000B13E1"/>
    <w:rsid w:val="000B1B87"/>
    <w:rsid w:val="000B1DEA"/>
    <w:rsid w:val="000B26C1"/>
    <w:rsid w:val="000B5779"/>
    <w:rsid w:val="000C6358"/>
    <w:rsid w:val="000C6B51"/>
    <w:rsid w:val="000D3876"/>
    <w:rsid w:val="000D5DD6"/>
    <w:rsid w:val="000D7EA2"/>
    <w:rsid w:val="000E121C"/>
    <w:rsid w:val="000E1518"/>
    <w:rsid w:val="000E1E58"/>
    <w:rsid w:val="000E2262"/>
    <w:rsid w:val="000E2782"/>
    <w:rsid w:val="000E6099"/>
    <w:rsid w:val="000E6294"/>
    <w:rsid w:val="000E636F"/>
    <w:rsid w:val="000E7136"/>
    <w:rsid w:val="000F03EA"/>
    <w:rsid w:val="000F06ED"/>
    <w:rsid w:val="000F140D"/>
    <w:rsid w:val="000F3198"/>
    <w:rsid w:val="000F3CAE"/>
    <w:rsid w:val="000F5529"/>
    <w:rsid w:val="000F5BE7"/>
    <w:rsid w:val="000F64C2"/>
    <w:rsid w:val="000F6A77"/>
    <w:rsid w:val="0010190C"/>
    <w:rsid w:val="0010349C"/>
    <w:rsid w:val="0010403B"/>
    <w:rsid w:val="001045C2"/>
    <w:rsid w:val="001057EE"/>
    <w:rsid w:val="0010666E"/>
    <w:rsid w:val="00107053"/>
    <w:rsid w:val="00107A1F"/>
    <w:rsid w:val="00111508"/>
    <w:rsid w:val="00113CBD"/>
    <w:rsid w:val="00113E48"/>
    <w:rsid w:val="0011447A"/>
    <w:rsid w:val="00116DCD"/>
    <w:rsid w:val="0011715B"/>
    <w:rsid w:val="0012003A"/>
    <w:rsid w:val="00121305"/>
    <w:rsid w:val="001219C1"/>
    <w:rsid w:val="001221DD"/>
    <w:rsid w:val="001222E2"/>
    <w:rsid w:val="0012278E"/>
    <w:rsid w:val="00125731"/>
    <w:rsid w:val="00130D60"/>
    <w:rsid w:val="00132500"/>
    <w:rsid w:val="001338D6"/>
    <w:rsid w:val="00133E54"/>
    <w:rsid w:val="00134E95"/>
    <w:rsid w:val="00135057"/>
    <w:rsid w:val="00135B89"/>
    <w:rsid w:val="00136140"/>
    <w:rsid w:val="00136BF1"/>
    <w:rsid w:val="00136D03"/>
    <w:rsid w:val="00144303"/>
    <w:rsid w:val="00144653"/>
    <w:rsid w:val="00145BA7"/>
    <w:rsid w:val="00145FEE"/>
    <w:rsid w:val="00146E0C"/>
    <w:rsid w:val="00150897"/>
    <w:rsid w:val="00151CA5"/>
    <w:rsid w:val="00154870"/>
    <w:rsid w:val="00154DEB"/>
    <w:rsid w:val="001603AA"/>
    <w:rsid w:val="00160EF4"/>
    <w:rsid w:val="001612C1"/>
    <w:rsid w:val="0016170B"/>
    <w:rsid w:val="00162707"/>
    <w:rsid w:val="00165233"/>
    <w:rsid w:val="00165AFE"/>
    <w:rsid w:val="00166F4F"/>
    <w:rsid w:val="00172639"/>
    <w:rsid w:val="001752A4"/>
    <w:rsid w:val="00175600"/>
    <w:rsid w:val="00176936"/>
    <w:rsid w:val="00180025"/>
    <w:rsid w:val="00180B7B"/>
    <w:rsid w:val="00181329"/>
    <w:rsid w:val="00183A0E"/>
    <w:rsid w:val="00186534"/>
    <w:rsid w:val="001870FD"/>
    <w:rsid w:val="00191FCD"/>
    <w:rsid w:val="00192616"/>
    <w:rsid w:val="001957B3"/>
    <w:rsid w:val="00195BD4"/>
    <w:rsid w:val="00195C12"/>
    <w:rsid w:val="001A0539"/>
    <w:rsid w:val="001A2686"/>
    <w:rsid w:val="001A53F0"/>
    <w:rsid w:val="001A5559"/>
    <w:rsid w:val="001A7661"/>
    <w:rsid w:val="001A7C67"/>
    <w:rsid w:val="001B41E8"/>
    <w:rsid w:val="001B4815"/>
    <w:rsid w:val="001B4834"/>
    <w:rsid w:val="001B7CB1"/>
    <w:rsid w:val="001C0C7A"/>
    <w:rsid w:val="001C11CE"/>
    <w:rsid w:val="001C1845"/>
    <w:rsid w:val="001D66FF"/>
    <w:rsid w:val="001E0994"/>
    <w:rsid w:val="001E3148"/>
    <w:rsid w:val="001E3575"/>
    <w:rsid w:val="001E364E"/>
    <w:rsid w:val="001E50FA"/>
    <w:rsid w:val="001E55B7"/>
    <w:rsid w:val="001E62F8"/>
    <w:rsid w:val="001F0E51"/>
    <w:rsid w:val="001F49F2"/>
    <w:rsid w:val="001F541C"/>
    <w:rsid w:val="001F5502"/>
    <w:rsid w:val="00200C34"/>
    <w:rsid w:val="00204574"/>
    <w:rsid w:val="00204F3D"/>
    <w:rsid w:val="0020789B"/>
    <w:rsid w:val="00211523"/>
    <w:rsid w:val="002148DF"/>
    <w:rsid w:val="0022231F"/>
    <w:rsid w:val="0022233B"/>
    <w:rsid w:val="002225DD"/>
    <w:rsid w:val="00224149"/>
    <w:rsid w:val="00226568"/>
    <w:rsid w:val="0022775A"/>
    <w:rsid w:val="00234E44"/>
    <w:rsid w:val="00235574"/>
    <w:rsid w:val="002366FE"/>
    <w:rsid w:val="00247755"/>
    <w:rsid w:val="0024790A"/>
    <w:rsid w:val="002507AF"/>
    <w:rsid w:val="00251B94"/>
    <w:rsid w:val="00252C50"/>
    <w:rsid w:val="00254822"/>
    <w:rsid w:val="0025516B"/>
    <w:rsid w:val="00255EAA"/>
    <w:rsid w:val="002644C3"/>
    <w:rsid w:val="0026451F"/>
    <w:rsid w:val="00266415"/>
    <w:rsid w:val="002669FC"/>
    <w:rsid w:val="00267CE9"/>
    <w:rsid w:val="002720AE"/>
    <w:rsid w:val="00272630"/>
    <w:rsid w:val="002729C3"/>
    <w:rsid w:val="00272DFE"/>
    <w:rsid w:val="00275DB9"/>
    <w:rsid w:val="00276B45"/>
    <w:rsid w:val="00276D82"/>
    <w:rsid w:val="00277B5D"/>
    <w:rsid w:val="0028082F"/>
    <w:rsid w:val="00282222"/>
    <w:rsid w:val="0028554C"/>
    <w:rsid w:val="0028589A"/>
    <w:rsid w:val="00287F31"/>
    <w:rsid w:val="0029188B"/>
    <w:rsid w:val="00292B6A"/>
    <w:rsid w:val="00293208"/>
    <w:rsid w:val="00293E16"/>
    <w:rsid w:val="0029545C"/>
    <w:rsid w:val="00296D9F"/>
    <w:rsid w:val="00296DEA"/>
    <w:rsid w:val="00297AEE"/>
    <w:rsid w:val="002A034A"/>
    <w:rsid w:val="002A100C"/>
    <w:rsid w:val="002A2806"/>
    <w:rsid w:val="002A3489"/>
    <w:rsid w:val="002A3C1E"/>
    <w:rsid w:val="002A47EF"/>
    <w:rsid w:val="002A5F05"/>
    <w:rsid w:val="002A694F"/>
    <w:rsid w:val="002A7E11"/>
    <w:rsid w:val="002B1363"/>
    <w:rsid w:val="002B15A3"/>
    <w:rsid w:val="002B32C4"/>
    <w:rsid w:val="002B3862"/>
    <w:rsid w:val="002B45DB"/>
    <w:rsid w:val="002B555E"/>
    <w:rsid w:val="002C19FA"/>
    <w:rsid w:val="002C2680"/>
    <w:rsid w:val="002C2B94"/>
    <w:rsid w:val="002C57B4"/>
    <w:rsid w:val="002D0234"/>
    <w:rsid w:val="002D1B4F"/>
    <w:rsid w:val="002D389F"/>
    <w:rsid w:val="002D4041"/>
    <w:rsid w:val="002D6319"/>
    <w:rsid w:val="002E23F7"/>
    <w:rsid w:val="002E30AA"/>
    <w:rsid w:val="002E658D"/>
    <w:rsid w:val="002E700A"/>
    <w:rsid w:val="002F0CDC"/>
    <w:rsid w:val="002F1846"/>
    <w:rsid w:val="002F2BEB"/>
    <w:rsid w:val="002F671A"/>
    <w:rsid w:val="003042ED"/>
    <w:rsid w:val="00304689"/>
    <w:rsid w:val="00305156"/>
    <w:rsid w:val="00305ADE"/>
    <w:rsid w:val="003069C7"/>
    <w:rsid w:val="00310911"/>
    <w:rsid w:val="00310F1A"/>
    <w:rsid w:val="0031134E"/>
    <w:rsid w:val="0031157E"/>
    <w:rsid w:val="00311A54"/>
    <w:rsid w:val="00312682"/>
    <w:rsid w:val="00312F3F"/>
    <w:rsid w:val="0031332C"/>
    <w:rsid w:val="00313D2A"/>
    <w:rsid w:val="003142B7"/>
    <w:rsid w:val="00314AD1"/>
    <w:rsid w:val="00320615"/>
    <w:rsid w:val="00321318"/>
    <w:rsid w:val="00323AE4"/>
    <w:rsid w:val="00324185"/>
    <w:rsid w:val="00324BBC"/>
    <w:rsid w:val="00324DC9"/>
    <w:rsid w:val="00325E03"/>
    <w:rsid w:val="00326A55"/>
    <w:rsid w:val="003274B9"/>
    <w:rsid w:val="0033095D"/>
    <w:rsid w:val="00330CCA"/>
    <w:rsid w:val="003320E0"/>
    <w:rsid w:val="00333163"/>
    <w:rsid w:val="00333861"/>
    <w:rsid w:val="00334969"/>
    <w:rsid w:val="0033586A"/>
    <w:rsid w:val="00335CA9"/>
    <w:rsid w:val="00337ECA"/>
    <w:rsid w:val="00340D42"/>
    <w:rsid w:val="00344A8D"/>
    <w:rsid w:val="00346178"/>
    <w:rsid w:val="0034758E"/>
    <w:rsid w:val="00347ADB"/>
    <w:rsid w:val="00350CE6"/>
    <w:rsid w:val="0035168D"/>
    <w:rsid w:val="00351B75"/>
    <w:rsid w:val="00356A32"/>
    <w:rsid w:val="00361387"/>
    <w:rsid w:val="00361B83"/>
    <w:rsid w:val="00363332"/>
    <w:rsid w:val="0036367D"/>
    <w:rsid w:val="00363CBE"/>
    <w:rsid w:val="00364237"/>
    <w:rsid w:val="00367A33"/>
    <w:rsid w:val="00370242"/>
    <w:rsid w:val="0037296A"/>
    <w:rsid w:val="003730C4"/>
    <w:rsid w:val="0037394C"/>
    <w:rsid w:val="00373F15"/>
    <w:rsid w:val="003814FF"/>
    <w:rsid w:val="00381DC8"/>
    <w:rsid w:val="00382B24"/>
    <w:rsid w:val="00384BFD"/>
    <w:rsid w:val="00384CA1"/>
    <w:rsid w:val="0038529A"/>
    <w:rsid w:val="003853B6"/>
    <w:rsid w:val="003907CC"/>
    <w:rsid w:val="00390F63"/>
    <w:rsid w:val="00391256"/>
    <w:rsid w:val="00393F6D"/>
    <w:rsid w:val="00394400"/>
    <w:rsid w:val="00394DC2"/>
    <w:rsid w:val="00395E7F"/>
    <w:rsid w:val="0039608F"/>
    <w:rsid w:val="0039773F"/>
    <w:rsid w:val="003A1741"/>
    <w:rsid w:val="003A1988"/>
    <w:rsid w:val="003A23CB"/>
    <w:rsid w:val="003A3601"/>
    <w:rsid w:val="003A3988"/>
    <w:rsid w:val="003A4649"/>
    <w:rsid w:val="003A60A7"/>
    <w:rsid w:val="003A652B"/>
    <w:rsid w:val="003B2895"/>
    <w:rsid w:val="003B4BAC"/>
    <w:rsid w:val="003B7CE0"/>
    <w:rsid w:val="003C3E7C"/>
    <w:rsid w:val="003C6B59"/>
    <w:rsid w:val="003C72E1"/>
    <w:rsid w:val="003C7FA9"/>
    <w:rsid w:val="003D2537"/>
    <w:rsid w:val="003D25A0"/>
    <w:rsid w:val="003D3218"/>
    <w:rsid w:val="003D55AE"/>
    <w:rsid w:val="003D5789"/>
    <w:rsid w:val="003D5B0B"/>
    <w:rsid w:val="003D5FC5"/>
    <w:rsid w:val="003D718D"/>
    <w:rsid w:val="003E068C"/>
    <w:rsid w:val="003E2518"/>
    <w:rsid w:val="003E3981"/>
    <w:rsid w:val="003E4124"/>
    <w:rsid w:val="003E57B4"/>
    <w:rsid w:val="003E623E"/>
    <w:rsid w:val="003E75D4"/>
    <w:rsid w:val="003F0D05"/>
    <w:rsid w:val="003F174B"/>
    <w:rsid w:val="003F2ADF"/>
    <w:rsid w:val="003F318D"/>
    <w:rsid w:val="003F344F"/>
    <w:rsid w:val="003F4802"/>
    <w:rsid w:val="003F5EF6"/>
    <w:rsid w:val="003F5FAF"/>
    <w:rsid w:val="003F7123"/>
    <w:rsid w:val="00400A80"/>
    <w:rsid w:val="004013E7"/>
    <w:rsid w:val="00404AC3"/>
    <w:rsid w:val="00405AE4"/>
    <w:rsid w:val="0040710D"/>
    <w:rsid w:val="0041540F"/>
    <w:rsid w:val="0041552F"/>
    <w:rsid w:val="00416030"/>
    <w:rsid w:val="004173F2"/>
    <w:rsid w:val="00417661"/>
    <w:rsid w:val="00417C10"/>
    <w:rsid w:val="004204C7"/>
    <w:rsid w:val="004226B0"/>
    <w:rsid w:val="00423803"/>
    <w:rsid w:val="00423A6D"/>
    <w:rsid w:val="004242B5"/>
    <w:rsid w:val="0042450A"/>
    <w:rsid w:val="00424D41"/>
    <w:rsid w:val="00430847"/>
    <w:rsid w:val="004308D0"/>
    <w:rsid w:val="004308DA"/>
    <w:rsid w:val="00431432"/>
    <w:rsid w:val="00432AC5"/>
    <w:rsid w:val="00435912"/>
    <w:rsid w:val="00435AC9"/>
    <w:rsid w:val="00435D39"/>
    <w:rsid w:val="00436BF7"/>
    <w:rsid w:val="00437080"/>
    <w:rsid w:val="004370D7"/>
    <w:rsid w:val="0044085A"/>
    <w:rsid w:val="00445C92"/>
    <w:rsid w:val="00447870"/>
    <w:rsid w:val="00447E17"/>
    <w:rsid w:val="00451B50"/>
    <w:rsid w:val="0045738E"/>
    <w:rsid w:val="00460334"/>
    <w:rsid w:val="004604AF"/>
    <w:rsid w:val="00460F13"/>
    <w:rsid w:val="00461574"/>
    <w:rsid w:val="004622A3"/>
    <w:rsid w:val="00462CC1"/>
    <w:rsid w:val="00462D90"/>
    <w:rsid w:val="00464A2D"/>
    <w:rsid w:val="00464B4A"/>
    <w:rsid w:val="00470C33"/>
    <w:rsid w:val="00473433"/>
    <w:rsid w:val="00473E69"/>
    <w:rsid w:val="00475D2A"/>
    <w:rsid w:val="004766D5"/>
    <w:rsid w:val="004816D8"/>
    <w:rsid w:val="00481D8C"/>
    <w:rsid w:val="00482786"/>
    <w:rsid w:val="0048351D"/>
    <w:rsid w:val="004847AE"/>
    <w:rsid w:val="00485A23"/>
    <w:rsid w:val="0048662E"/>
    <w:rsid w:val="00487FAF"/>
    <w:rsid w:val="00490FB0"/>
    <w:rsid w:val="004915B8"/>
    <w:rsid w:val="0049375C"/>
    <w:rsid w:val="00495D51"/>
    <w:rsid w:val="004961FA"/>
    <w:rsid w:val="0049789F"/>
    <w:rsid w:val="00497EF4"/>
    <w:rsid w:val="004A0D74"/>
    <w:rsid w:val="004A13A0"/>
    <w:rsid w:val="004A1CC4"/>
    <w:rsid w:val="004A3434"/>
    <w:rsid w:val="004A6466"/>
    <w:rsid w:val="004A65B7"/>
    <w:rsid w:val="004A73F0"/>
    <w:rsid w:val="004B2F2F"/>
    <w:rsid w:val="004B3F39"/>
    <w:rsid w:val="004B7575"/>
    <w:rsid w:val="004C1D0E"/>
    <w:rsid w:val="004C3626"/>
    <w:rsid w:val="004C48AD"/>
    <w:rsid w:val="004C4E05"/>
    <w:rsid w:val="004C5299"/>
    <w:rsid w:val="004C7DE0"/>
    <w:rsid w:val="004D0548"/>
    <w:rsid w:val="004D22C0"/>
    <w:rsid w:val="004D6002"/>
    <w:rsid w:val="004E1AFA"/>
    <w:rsid w:val="004E29B8"/>
    <w:rsid w:val="004E6BF0"/>
    <w:rsid w:val="004E6C47"/>
    <w:rsid w:val="004F0E9B"/>
    <w:rsid w:val="004F37FD"/>
    <w:rsid w:val="004F4A4F"/>
    <w:rsid w:val="004F69DF"/>
    <w:rsid w:val="00502272"/>
    <w:rsid w:val="00504A05"/>
    <w:rsid w:val="005055A1"/>
    <w:rsid w:val="00505A0A"/>
    <w:rsid w:val="00512957"/>
    <w:rsid w:val="00514D43"/>
    <w:rsid w:val="005227A5"/>
    <w:rsid w:val="00523F3A"/>
    <w:rsid w:val="0052452D"/>
    <w:rsid w:val="00525E6E"/>
    <w:rsid w:val="00527996"/>
    <w:rsid w:val="00531736"/>
    <w:rsid w:val="00531BB3"/>
    <w:rsid w:val="00531EE1"/>
    <w:rsid w:val="0053305E"/>
    <w:rsid w:val="00533D9B"/>
    <w:rsid w:val="00534547"/>
    <w:rsid w:val="00545C5F"/>
    <w:rsid w:val="00545E0D"/>
    <w:rsid w:val="0054675C"/>
    <w:rsid w:val="005502C6"/>
    <w:rsid w:val="00550820"/>
    <w:rsid w:val="0055127D"/>
    <w:rsid w:val="005519F0"/>
    <w:rsid w:val="00552DE2"/>
    <w:rsid w:val="0055622E"/>
    <w:rsid w:val="005576C7"/>
    <w:rsid w:val="005652DD"/>
    <w:rsid w:val="005656A7"/>
    <w:rsid w:val="00570056"/>
    <w:rsid w:val="0057107E"/>
    <w:rsid w:val="00571FEE"/>
    <w:rsid w:val="00572A6E"/>
    <w:rsid w:val="00575526"/>
    <w:rsid w:val="00576418"/>
    <w:rsid w:val="005770E6"/>
    <w:rsid w:val="00577D7F"/>
    <w:rsid w:val="005804BA"/>
    <w:rsid w:val="00580B7B"/>
    <w:rsid w:val="00580CB5"/>
    <w:rsid w:val="00581692"/>
    <w:rsid w:val="005818F5"/>
    <w:rsid w:val="00582DE1"/>
    <w:rsid w:val="0058483A"/>
    <w:rsid w:val="005872A1"/>
    <w:rsid w:val="00590B60"/>
    <w:rsid w:val="00592E30"/>
    <w:rsid w:val="005934D8"/>
    <w:rsid w:val="005937B8"/>
    <w:rsid w:val="0059591E"/>
    <w:rsid w:val="005A0336"/>
    <w:rsid w:val="005A0377"/>
    <w:rsid w:val="005A085B"/>
    <w:rsid w:val="005A0BD7"/>
    <w:rsid w:val="005A34B0"/>
    <w:rsid w:val="005A4E44"/>
    <w:rsid w:val="005A787B"/>
    <w:rsid w:val="005A7C66"/>
    <w:rsid w:val="005B075F"/>
    <w:rsid w:val="005B16C8"/>
    <w:rsid w:val="005B2804"/>
    <w:rsid w:val="005B3939"/>
    <w:rsid w:val="005B3C3C"/>
    <w:rsid w:val="005B432F"/>
    <w:rsid w:val="005B55EE"/>
    <w:rsid w:val="005B5C0B"/>
    <w:rsid w:val="005B6F7B"/>
    <w:rsid w:val="005B753B"/>
    <w:rsid w:val="005C05C6"/>
    <w:rsid w:val="005C0880"/>
    <w:rsid w:val="005C0B32"/>
    <w:rsid w:val="005C442E"/>
    <w:rsid w:val="005C5CFE"/>
    <w:rsid w:val="005C7234"/>
    <w:rsid w:val="005C7236"/>
    <w:rsid w:val="005C76DE"/>
    <w:rsid w:val="005C7C2D"/>
    <w:rsid w:val="005D011A"/>
    <w:rsid w:val="005D1028"/>
    <w:rsid w:val="005D4462"/>
    <w:rsid w:val="005D7292"/>
    <w:rsid w:val="005E1D8E"/>
    <w:rsid w:val="005E26A6"/>
    <w:rsid w:val="005E2C3F"/>
    <w:rsid w:val="005E4165"/>
    <w:rsid w:val="005E7210"/>
    <w:rsid w:val="005F1B3B"/>
    <w:rsid w:val="005F3CFC"/>
    <w:rsid w:val="005F4D3A"/>
    <w:rsid w:val="005F53C9"/>
    <w:rsid w:val="005F64C7"/>
    <w:rsid w:val="006006B0"/>
    <w:rsid w:val="0060616D"/>
    <w:rsid w:val="006071BD"/>
    <w:rsid w:val="0060761A"/>
    <w:rsid w:val="00612666"/>
    <w:rsid w:val="0061332A"/>
    <w:rsid w:val="00613BA7"/>
    <w:rsid w:val="00617710"/>
    <w:rsid w:val="00623FDD"/>
    <w:rsid w:val="00625249"/>
    <w:rsid w:val="006310B3"/>
    <w:rsid w:val="00631EC3"/>
    <w:rsid w:val="00632BF4"/>
    <w:rsid w:val="006403DB"/>
    <w:rsid w:val="0064281A"/>
    <w:rsid w:val="006436CF"/>
    <w:rsid w:val="00643C91"/>
    <w:rsid w:val="00645B79"/>
    <w:rsid w:val="00646B22"/>
    <w:rsid w:val="00647399"/>
    <w:rsid w:val="00650175"/>
    <w:rsid w:val="0065055B"/>
    <w:rsid w:val="00652902"/>
    <w:rsid w:val="00652FE0"/>
    <w:rsid w:val="006531CC"/>
    <w:rsid w:val="00653C9A"/>
    <w:rsid w:val="0065782D"/>
    <w:rsid w:val="00665076"/>
    <w:rsid w:val="00666CF3"/>
    <w:rsid w:val="0067142D"/>
    <w:rsid w:val="006725FB"/>
    <w:rsid w:val="0067378A"/>
    <w:rsid w:val="006738E4"/>
    <w:rsid w:val="00674A7A"/>
    <w:rsid w:val="006765A0"/>
    <w:rsid w:val="00677103"/>
    <w:rsid w:val="00682B4C"/>
    <w:rsid w:val="00687DEF"/>
    <w:rsid w:val="00690817"/>
    <w:rsid w:val="00691EA4"/>
    <w:rsid w:val="00692B14"/>
    <w:rsid w:val="00692D11"/>
    <w:rsid w:val="00693362"/>
    <w:rsid w:val="00694A98"/>
    <w:rsid w:val="00695E21"/>
    <w:rsid w:val="00697306"/>
    <w:rsid w:val="006A09C8"/>
    <w:rsid w:val="006A3480"/>
    <w:rsid w:val="006A595C"/>
    <w:rsid w:val="006B08C4"/>
    <w:rsid w:val="006B4CAA"/>
    <w:rsid w:val="006B5F5A"/>
    <w:rsid w:val="006B770E"/>
    <w:rsid w:val="006C0204"/>
    <w:rsid w:val="006C2DA5"/>
    <w:rsid w:val="006C434D"/>
    <w:rsid w:val="006C6553"/>
    <w:rsid w:val="006D11AC"/>
    <w:rsid w:val="006D2404"/>
    <w:rsid w:val="006D6373"/>
    <w:rsid w:val="006D677F"/>
    <w:rsid w:val="006E064C"/>
    <w:rsid w:val="006E075C"/>
    <w:rsid w:val="006E12C3"/>
    <w:rsid w:val="006E165D"/>
    <w:rsid w:val="006E1BAC"/>
    <w:rsid w:val="006E3C42"/>
    <w:rsid w:val="006E46DD"/>
    <w:rsid w:val="006E5144"/>
    <w:rsid w:val="006E5A98"/>
    <w:rsid w:val="006E5E07"/>
    <w:rsid w:val="006E5E8D"/>
    <w:rsid w:val="006E79D0"/>
    <w:rsid w:val="006E7DD1"/>
    <w:rsid w:val="006F045A"/>
    <w:rsid w:val="006F1E4F"/>
    <w:rsid w:val="006F2BBA"/>
    <w:rsid w:val="006F3D75"/>
    <w:rsid w:val="006F4332"/>
    <w:rsid w:val="006F454E"/>
    <w:rsid w:val="006F4861"/>
    <w:rsid w:val="006F5C56"/>
    <w:rsid w:val="0070003B"/>
    <w:rsid w:val="007015F4"/>
    <w:rsid w:val="007021DA"/>
    <w:rsid w:val="00704439"/>
    <w:rsid w:val="007048ED"/>
    <w:rsid w:val="0070730E"/>
    <w:rsid w:val="00707804"/>
    <w:rsid w:val="0071014E"/>
    <w:rsid w:val="007103A2"/>
    <w:rsid w:val="00711267"/>
    <w:rsid w:val="00711541"/>
    <w:rsid w:val="007121E4"/>
    <w:rsid w:val="00714357"/>
    <w:rsid w:val="00723CE7"/>
    <w:rsid w:val="00723EBC"/>
    <w:rsid w:val="0072532E"/>
    <w:rsid w:val="00725D41"/>
    <w:rsid w:val="0072640F"/>
    <w:rsid w:val="00726CC8"/>
    <w:rsid w:val="00730005"/>
    <w:rsid w:val="00731AE3"/>
    <w:rsid w:val="0073259C"/>
    <w:rsid w:val="00735761"/>
    <w:rsid w:val="00747832"/>
    <w:rsid w:val="00747C5B"/>
    <w:rsid w:val="00752AE0"/>
    <w:rsid w:val="007547A7"/>
    <w:rsid w:val="0075517E"/>
    <w:rsid w:val="00761E82"/>
    <w:rsid w:val="00763D70"/>
    <w:rsid w:val="00766747"/>
    <w:rsid w:val="007717BE"/>
    <w:rsid w:val="007762B7"/>
    <w:rsid w:val="0077698D"/>
    <w:rsid w:val="00776BFE"/>
    <w:rsid w:val="0077757D"/>
    <w:rsid w:val="00777A14"/>
    <w:rsid w:val="007830AB"/>
    <w:rsid w:val="00783DC3"/>
    <w:rsid w:val="007854AC"/>
    <w:rsid w:val="00786D67"/>
    <w:rsid w:val="007877D4"/>
    <w:rsid w:val="0079157E"/>
    <w:rsid w:val="00792369"/>
    <w:rsid w:val="00792D0E"/>
    <w:rsid w:val="0079660C"/>
    <w:rsid w:val="007A1563"/>
    <w:rsid w:val="007A3B11"/>
    <w:rsid w:val="007A3C8E"/>
    <w:rsid w:val="007A56F0"/>
    <w:rsid w:val="007B014F"/>
    <w:rsid w:val="007B0D0D"/>
    <w:rsid w:val="007B16E1"/>
    <w:rsid w:val="007B1B54"/>
    <w:rsid w:val="007B1CF2"/>
    <w:rsid w:val="007B44C6"/>
    <w:rsid w:val="007B6354"/>
    <w:rsid w:val="007B773C"/>
    <w:rsid w:val="007C1C89"/>
    <w:rsid w:val="007C346D"/>
    <w:rsid w:val="007C5B3F"/>
    <w:rsid w:val="007C5BCA"/>
    <w:rsid w:val="007D2833"/>
    <w:rsid w:val="007D2C65"/>
    <w:rsid w:val="007D5377"/>
    <w:rsid w:val="007D6F09"/>
    <w:rsid w:val="007E3EFE"/>
    <w:rsid w:val="007E60E0"/>
    <w:rsid w:val="007E751F"/>
    <w:rsid w:val="007F2E34"/>
    <w:rsid w:val="007F40DD"/>
    <w:rsid w:val="007F7A9E"/>
    <w:rsid w:val="008012A4"/>
    <w:rsid w:val="00802881"/>
    <w:rsid w:val="008130DD"/>
    <w:rsid w:val="0081423C"/>
    <w:rsid w:val="008153DA"/>
    <w:rsid w:val="00815461"/>
    <w:rsid w:val="00820A07"/>
    <w:rsid w:val="008213C9"/>
    <w:rsid w:val="008215B4"/>
    <w:rsid w:val="00822F38"/>
    <w:rsid w:val="008249D1"/>
    <w:rsid w:val="008257BD"/>
    <w:rsid w:val="008275AF"/>
    <w:rsid w:val="008275E0"/>
    <w:rsid w:val="008312D6"/>
    <w:rsid w:val="00832B17"/>
    <w:rsid w:val="00832BA2"/>
    <w:rsid w:val="0083379B"/>
    <w:rsid w:val="008339F3"/>
    <w:rsid w:val="00833B8F"/>
    <w:rsid w:val="00834E03"/>
    <w:rsid w:val="0083604A"/>
    <w:rsid w:val="0083610C"/>
    <w:rsid w:val="00837E6D"/>
    <w:rsid w:val="00837EBB"/>
    <w:rsid w:val="008408BB"/>
    <w:rsid w:val="00840E63"/>
    <w:rsid w:val="00840F32"/>
    <w:rsid w:val="008447E3"/>
    <w:rsid w:val="00847A04"/>
    <w:rsid w:val="0085081F"/>
    <w:rsid w:val="008546BB"/>
    <w:rsid w:val="00855DB5"/>
    <w:rsid w:val="0085614F"/>
    <w:rsid w:val="00856731"/>
    <w:rsid w:val="00857A30"/>
    <w:rsid w:val="00860A80"/>
    <w:rsid w:val="008610CF"/>
    <w:rsid w:val="00861968"/>
    <w:rsid w:val="00862638"/>
    <w:rsid w:val="00863849"/>
    <w:rsid w:val="008658ED"/>
    <w:rsid w:val="0086786E"/>
    <w:rsid w:val="00870CA3"/>
    <w:rsid w:val="00870E45"/>
    <w:rsid w:val="00871B0F"/>
    <w:rsid w:val="00874166"/>
    <w:rsid w:val="00874711"/>
    <w:rsid w:val="008820BA"/>
    <w:rsid w:val="008830BD"/>
    <w:rsid w:val="00883985"/>
    <w:rsid w:val="008852AC"/>
    <w:rsid w:val="00885478"/>
    <w:rsid w:val="008859E0"/>
    <w:rsid w:val="00890E5E"/>
    <w:rsid w:val="00890F5C"/>
    <w:rsid w:val="00896059"/>
    <w:rsid w:val="00896705"/>
    <w:rsid w:val="00896785"/>
    <w:rsid w:val="00897C7B"/>
    <w:rsid w:val="00897DAB"/>
    <w:rsid w:val="008A0151"/>
    <w:rsid w:val="008A1B63"/>
    <w:rsid w:val="008B34C7"/>
    <w:rsid w:val="008B363D"/>
    <w:rsid w:val="008B3E36"/>
    <w:rsid w:val="008B49CE"/>
    <w:rsid w:val="008B4CC4"/>
    <w:rsid w:val="008B64D2"/>
    <w:rsid w:val="008B66F4"/>
    <w:rsid w:val="008B7389"/>
    <w:rsid w:val="008B7890"/>
    <w:rsid w:val="008C5CC6"/>
    <w:rsid w:val="008C5F1B"/>
    <w:rsid w:val="008C5FAE"/>
    <w:rsid w:val="008C6666"/>
    <w:rsid w:val="008C7851"/>
    <w:rsid w:val="008D064A"/>
    <w:rsid w:val="008D3565"/>
    <w:rsid w:val="008D5BC1"/>
    <w:rsid w:val="008D5BD4"/>
    <w:rsid w:val="008D7899"/>
    <w:rsid w:val="008D7E34"/>
    <w:rsid w:val="008E055C"/>
    <w:rsid w:val="008E16FE"/>
    <w:rsid w:val="008E1B6D"/>
    <w:rsid w:val="008E1F9D"/>
    <w:rsid w:val="008E4AE7"/>
    <w:rsid w:val="008E51F5"/>
    <w:rsid w:val="008E5C4C"/>
    <w:rsid w:val="008E61FD"/>
    <w:rsid w:val="008E6758"/>
    <w:rsid w:val="008F4BD6"/>
    <w:rsid w:val="008F6113"/>
    <w:rsid w:val="008F7C5E"/>
    <w:rsid w:val="00900E5F"/>
    <w:rsid w:val="00901A03"/>
    <w:rsid w:val="0090239A"/>
    <w:rsid w:val="00903D1F"/>
    <w:rsid w:val="0090757C"/>
    <w:rsid w:val="00907B9A"/>
    <w:rsid w:val="00907D92"/>
    <w:rsid w:val="009103BC"/>
    <w:rsid w:val="00915A18"/>
    <w:rsid w:val="00916D30"/>
    <w:rsid w:val="00916D42"/>
    <w:rsid w:val="009202B6"/>
    <w:rsid w:val="0092090B"/>
    <w:rsid w:val="0092292C"/>
    <w:rsid w:val="0092362F"/>
    <w:rsid w:val="009239F9"/>
    <w:rsid w:val="00924106"/>
    <w:rsid w:val="0092499B"/>
    <w:rsid w:val="00927155"/>
    <w:rsid w:val="00927198"/>
    <w:rsid w:val="009301C3"/>
    <w:rsid w:val="00931177"/>
    <w:rsid w:val="009358FD"/>
    <w:rsid w:val="00935CDB"/>
    <w:rsid w:val="00937895"/>
    <w:rsid w:val="00941DE0"/>
    <w:rsid w:val="00944228"/>
    <w:rsid w:val="00944795"/>
    <w:rsid w:val="00944D7F"/>
    <w:rsid w:val="00944EA1"/>
    <w:rsid w:val="009462DB"/>
    <w:rsid w:val="00947107"/>
    <w:rsid w:val="009526E6"/>
    <w:rsid w:val="00953A59"/>
    <w:rsid w:val="0095498A"/>
    <w:rsid w:val="00954DE6"/>
    <w:rsid w:val="009579DF"/>
    <w:rsid w:val="00957DAF"/>
    <w:rsid w:val="00963E01"/>
    <w:rsid w:val="00966B1C"/>
    <w:rsid w:val="009705CD"/>
    <w:rsid w:val="00971492"/>
    <w:rsid w:val="009720C7"/>
    <w:rsid w:val="00972A3C"/>
    <w:rsid w:val="00973DBE"/>
    <w:rsid w:val="00973FBF"/>
    <w:rsid w:val="009759F0"/>
    <w:rsid w:val="0097623C"/>
    <w:rsid w:val="009777C4"/>
    <w:rsid w:val="0098162D"/>
    <w:rsid w:val="00982488"/>
    <w:rsid w:val="00982DD3"/>
    <w:rsid w:val="00983661"/>
    <w:rsid w:val="00986253"/>
    <w:rsid w:val="00986AAB"/>
    <w:rsid w:val="00990039"/>
    <w:rsid w:val="00990096"/>
    <w:rsid w:val="00990C01"/>
    <w:rsid w:val="00991402"/>
    <w:rsid w:val="00992C64"/>
    <w:rsid w:val="00996742"/>
    <w:rsid w:val="00997064"/>
    <w:rsid w:val="009970AF"/>
    <w:rsid w:val="00997452"/>
    <w:rsid w:val="009974F4"/>
    <w:rsid w:val="009A0B4E"/>
    <w:rsid w:val="009A137B"/>
    <w:rsid w:val="009A212E"/>
    <w:rsid w:val="009A4875"/>
    <w:rsid w:val="009A4AC2"/>
    <w:rsid w:val="009A58F5"/>
    <w:rsid w:val="009A5E47"/>
    <w:rsid w:val="009B0BC0"/>
    <w:rsid w:val="009B3D57"/>
    <w:rsid w:val="009C1F91"/>
    <w:rsid w:val="009C22A1"/>
    <w:rsid w:val="009C29E0"/>
    <w:rsid w:val="009C39C2"/>
    <w:rsid w:val="009C481F"/>
    <w:rsid w:val="009C56FE"/>
    <w:rsid w:val="009C60FE"/>
    <w:rsid w:val="009C6D87"/>
    <w:rsid w:val="009C782E"/>
    <w:rsid w:val="009D3948"/>
    <w:rsid w:val="009D5938"/>
    <w:rsid w:val="009D6C26"/>
    <w:rsid w:val="009D7649"/>
    <w:rsid w:val="009D78CE"/>
    <w:rsid w:val="009E14E9"/>
    <w:rsid w:val="009E3601"/>
    <w:rsid w:val="009E3848"/>
    <w:rsid w:val="009E3997"/>
    <w:rsid w:val="009E4348"/>
    <w:rsid w:val="009E7121"/>
    <w:rsid w:val="009E7E07"/>
    <w:rsid w:val="009F0613"/>
    <w:rsid w:val="009F0F64"/>
    <w:rsid w:val="009F59CD"/>
    <w:rsid w:val="009F5A6A"/>
    <w:rsid w:val="009F5B03"/>
    <w:rsid w:val="009F607E"/>
    <w:rsid w:val="00A0182F"/>
    <w:rsid w:val="00A02A7A"/>
    <w:rsid w:val="00A02B40"/>
    <w:rsid w:val="00A02C6A"/>
    <w:rsid w:val="00A03797"/>
    <w:rsid w:val="00A0571C"/>
    <w:rsid w:val="00A06EE0"/>
    <w:rsid w:val="00A134D0"/>
    <w:rsid w:val="00A13599"/>
    <w:rsid w:val="00A141EE"/>
    <w:rsid w:val="00A20CBF"/>
    <w:rsid w:val="00A21FD6"/>
    <w:rsid w:val="00A223EF"/>
    <w:rsid w:val="00A225C5"/>
    <w:rsid w:val="00A26F52"/>
    <w:rsid w:val="00A27156"/>
    <w:rsid w:val="00A2739C"/>
    <w:rsid w:val="00A310E1"/>
    <w:rsid w:val="00A31E4E"/>
    <w:rsid w:val="00A32DB6"/>
    <w:rsid w:val="00A33AB7"/>
    <w:rsid w:val="00A33EA2"/>
    <w:rsid w:val="00A342EB"/>
    <w:rsid w:val="00A3523A"/>
    <w:rsid w:val="00A353BB"/>
    <w:rsid w:val="00A37864"/>
    <w:rsid w:val="00A4114F"/>
    <w:rsid w:val="00A4226E"/>
    <w:rsid w:val="00A43C74"/>
    <w:rsid w:val="00A43E36"/>
    <w:rsid w:val="00A445ED"/>
    <w:rsid w:val="00A44CCE"/>
    <w:rsid w:val="00A46C6F"/>
    <w:rsid w:val="00A4755E"/>
    <w:rsid w:val="00A57F2E"/>
    <w:rsid w:val="00A57F8E"/>
    <w:rsid w:val="00A605DE"/>
    <w:rsid w:val="00A60D10"/>
    <w:rsid w:val="00A62F1F"/>
    <w:rsid w:val="00A63310"/>
    <w:rsid w:val="00A63605"/>
    <w:rsid w:val="00A63D7B"/>
    <w:rsid w:val="00A63FD3"/>
    <w:rsid w:val="00A64120"/>
    <w:rsid w:val="00A64884"/>
    <w:rsid w:val="00A673A3"/>
    <w:rsid w:val="00A67EAD"/>
    <w:rsid w:val="00A71434"/>
    <w:rsid w:val="00A72CC3"/>
    <w:rsid w:val="00A74BAD"/>
    <w:rsid w:val="00A75950"/>
    <w:rsid w:val="00A7638F"/>
    <w:rsid w:val="00A77728"/>
    <w:rsid w:val="00A806F8"/>
    <w:rsid w:val="00A80B88"/>
    <w:rsid w:val="00A811FE"/>
    <w:rsid w:val="00A812DF"/>
    <w:rsid w:val="00A81578"/>
    <w:rsid w:val="00A82290"/>
    <w:rsid w:val="00A829B1"/>
    <w:rsid w:val="00A85D15"/>
    <w:rsid w:val="00A91BD1"/>
    <w:rsid w:val="00A91F41"/>
    <w:rsid w:val="00A926F7"/>
    <w:rsid w:val="00A92A64"/>
    <w:rsid w:val="00A92B29"/>
    <w:rsid w:val="00A9556A"/>
    <w:rsid w:val="00A95F89"/>
    <w:rsid w:val="00A970E4"/>
    <w:rsid w:val="00AA34EA"/>
    <w:rsid w:val="00AA4A1D"/>
    <w:rsid w:val="00AA79F6"/>
    <w:rsid w:val="00AB1B2F"/>
    <w:rsid w:val="00AB2B84"/>
    <w:rsid w:val="00AB372A"/>
    <w:rsid w:val="00AB41BA"/>
    <w:rsid w:val="00AB5FE7"/>
    <w:rsid w:val="00AB654A"/>
    <w:rsid w:val="00AB75E3"/>
    <w:rsid w:val="00AC088C"/>
    <w:rsid w:val="00AC09F6"/>
    <w:rsid w:val="00AC1775"/>
    <w:rsid w:val="00AC36EF"/>
    <w:rsid w:val="00AC4C00"/>
    <w:rsid w:val="00AD0985"/>
    <w:rsid w:val="00AD1C5D"/>
    <w:rsid w:val="00AD205C"/>
    <w:rsid w:val="00AD363F"/>
    <w:rsid w:val="00AD3F5E"/>
    <w:rsid w:val="00AD41E3"/>
    <w:rsid w:val="00AD4B82"/>
    <w:rsid w:val="00AD56EF"/>
    <w:rsid w:val="00AD5D4F"/>
    <w:rsid w:val="00AD74BC"/>
    <w:rsid w:val="00AE04B7"/>
    <w:rsid w:val="00AE240F"/>
    <w:rsid w:val="00AE5C64"/>
    <w:rsid w:val="00AE7D4E"/>
    <w:rsid w:val="00AF1BC7"/>
    <w:rsid w:val="00AF7058"/>
    <w:rsid w:val="00B00A53"/>
    <w:rsid w:val="00B02442"/>
    <w:rsid w:val="00B024B6"/>
    <w:rsid w:val="00B04B9E"/>
    <w:rsid w:val="00B05924"/>
    <w:rsid w:val="00B05B09"/>
    <w:rsid w:val="00B06F5E"/>
    <w:rsid w:val="00B07644"/>
    <w:rsid w:val="00B07AFD"/>
    <w:rsid w:val="00B120C1"/>
    <w:rsid w:val="00B13372"/>
    <w:rsid w:val="00B1450C"/>
    <w:rsid w:val="00B15893"/>
    <w:rsid w:val="00B176F1"/>
    <w:rsid w:val="00B206AB"/>
    <w:rsid w:val="00B209EE"/>
    <w:rsid w:val="00B2130F"/>
    <w:rsid w:val="00B23384"/>
    <w:rsid w:val="00B23822"/>
    <w:rsid w:val="00B257CD"/>
    <w:rsid w:val="00B27A3C"/>
    <w:rsid w:val="00B310BB"/>
    <w:rsid w:val="00B322A2"/>
    <w:rsid w:val="00B3344C"/>
    <w:rsid w:val="00B3587C"/>
    <w:rsid w:val="00B36273"/>
    <w:rsid w:val="00B36F48"/>
    <w:rsid w:val="00B40898"/>
    <w:rsid w:val="00B40900"/>
    <w:rsid w:val="00B411C6"/>
    <w:rsid w:val="00B42E93"/>
    <w:rsid w:val="00B43205"/>
    <w:rsid w:val="00B44124"/>
    <w:rsid w:val="00B4429D"/>
    <w:rsid w:val="00B448CA"/>
    <w:rsid w:val="00B44978"/>
    <w:rsid w:val="00B538C0"/>
    <w:rsid w:val="00B55EBC"/>
    <w:rsid w:val="00B568BF"/>
    <w:rsid w:val="00B57F01"/>
    <w:rsid w:val="00B60367"/>
    <w:rsid w:val="00B609AD"/>
    <w:rsid w:val="00B6137E"/>
    <w:rsid w:val="00B6168E"/>
    <w:rsid w:val="00B621E7"/>
    <w:rsid w:val="00B6233B"/>
    <w:rsid w:val="00B660BD"/>
    <w:rsid w:val="00B70F92"/>
    <w:rsid w:val="00B71A88"/>
    <w:rsid w:val="00B7373A"/>
    <w:rsid w:val="00B73801"/>
    <w:rsid w:val="00B747AF"/>
    <w:rsid w:val="00B74F3F"/>
    <w:rsid w:val="00B756F3"/>
    <w:rsid w:val="00B7763B"/>
    <w:rsid w:val="00B80174"/>
    <w:rsid w:val="00B81262"/>
    <w:rsid w:val="00B81BBC"/>
    <w:rsid w:val="00B81CC6"/>
    <w:rsid w:val="00B8398E"/>
    <w:rsid w:val="00B907FA"/>
    <w:rsid w:val="00B91B61"/>
    <w:rsid w:val="00B94431"/>
    <w:rsid w:val="00B96E4D"/>
    <w:rsid w:val="00BA2034"/>
    <w:rsid w:val="00BA2B23"/>
    <w:rsid w:val="00BA2D5D"/>
    <w:rsid w:val="00BA5574"/>
    <w:rsid w:val="00BA56EE"/>
    <w:rsid w:val="00BB3FC8"/>
    <w:rsid w:val="00BB6449"/>
    <w:rsid w:val="00BC1046"/>
    <w:rsid w:val="00BC2158"/>
    <w:rsid w:val="00BC242B"/>
    <w:rsid w:val="00BC5E8A"/>
    <w:rsid w:val="00BC691F"/>
    <w:rsid w:val="00BD1498"/>
    <w:rsid w:val="00BD3EC8"/>
    <w:rsid w:val="00BD50EB"/>
    <w:rsid w:val="00BD61DC"/>
    <w:rsid w:val="00BE14ED"/>
    <w:rsid w:val="00BE20CF"/>
    <w:rsid w:val="00BE31FF"/>
    <w:rsid w:val="00BE39E6"/>
    <w:rsid w:val="00BE3C0E"/>
    <w:rsid w:val="00BE5961"/>
    <w:rsid w:val="00BE6688"/>
    <w:rsid w:val="00BE6EBC"/>
    <w:rsid w:val="00BF2006"/>
    <w:rsid w:val="00BF33B8"/>
    <w:rsid w:val="00BF4D7A"/>
    <w:rsid w:val="00BF5BFA"/>
    <w:rsid w:val="00BF7EEF"/>
    <w:rsid w:val="00C03948"/>
    <w:rsid w:val="00C03D3D"/>
    <w:rsid w:val="00C05859"/>
    <w:rsid w:val="00C05D15"/>
    <w:rsid w:val="00C06253"/>
    <w:rsid w:val="00C10C10"/>
    <w:rsid w:val="00C10EDF"/>
    <w:rsid w:val="00C1140A"/>
    <w:rsid w:val="00C137EE"/>
    <w:rsid w:val="00C16695"/>
    <w:rsid w:val="00C200E0"/>
    <w:rsid w:val="00C20ABA"/>
    <w:rsid w:val="00C20F48"/>
    <w:rsid w:val="00C23D79"/>
    <w:rsid w:val="00C262C5"/>
    <w:rsid w:val="00C32803"/>
    <w:rsid w:val="00C42B52"/>
    <w:rsid w:val="00C431B9"/>
    <w:rsid w:val="00C43A18"/>
    <w:rsid w:val="00C442B4"/>
    <w:rsid w:val="00C44C4D"/>
    <w:rsid w:val="00C45823"/>
    <w:rsid w:val="00C4628D"/>
    <w:rsid w:val="00C4706C"/>
    <w:rsid w:val="00C471E5"/>
    <w:rsid w:val="00C5524A"/>
    <w:rsid w:val="00C56312"/>
    <w:rsid w:val="00C563AD"/>
    <w:rsid w:val="00C62225"/>
    <w:rsid w:val="00C62EAF"/>
    <w:rsid w:val="00C6446A"/>
    <w:rsid w:val="00C649D2"/>
    <w:rsid w:val="00C6504D"/>
    <w:rsid w:val="00C67284"/>
    <w:rsid w:val="00C67432"/>
    <w:rsid w:val="00C6751E"/>
    <w:rsid w:val="00C67684"/>
    <w:rsid w:val="00C67A5B"/>
    <w:rsid w:val="00C7140D"/>
    <w:rsid w:val="00C7432A"/>
    <w:rsid w:val="00C75B30"/>
    <w:rsid w:val="00C766CF"/>
    <w:rsid w:val="00C77ED5"/>
    <w:rsid w:val="00C81FB7"/>
    <w:rsid w:val="00C822AF"/>
    <w:rsid w:val="00C83368"/>
    <w:rsid w:val="00C83BD5"/>
    <w:rsid w:val="00C858C9"/>
    <w:rsid w:val="00C862E2"/>
    <w:rsid w:val="00C90555"/>
    <w:rsid w:val="00C93A7D"/>
    <w:rsid w:val="00C9470C"/>
    <w:rsid w:val="00C9548F"/>
    <w:rsid w:val="00C95CD3"/>
    <w:rsid w:val="00CA1DE2"/>
    <w:rsid w:val="00CA3412"/>
    <w:rsid w:val="00CA351A"/>
    <w:rsid w:val="00CA4D14"/>
    <w:rsid w:val="00CA4E57"/>
    <w:rsid w:val="00CA5321"/>
    <w:rsid w:val="00CA6D80"/>
    <w:rsid w:val="00CB2B95"/>
    <w:rsid w:val="00CB465C"/>
    <w:rsid w:val="00CB4E46"/>
    <w:rsid w:val="00CB60C6"/>
    <w:rsid w:val="00CB760A"/>
    <w:rsid w:val="00CB7902"/>
    <w:rsid w:val="00CC1D72"/>
    <w:rsid w:val="00CC20FB"/>
    <w:rsid w:val="00CC26FE"/>
    <w:rsid w:val="00CC29B4"/>
    <w:rsid w:val="00CC3949"/>
    <w:rsid w:val="00CC4059"/>
    <w:rsid w:val="00CC479D"/>
    <w:rsid w:val="00CC5CFA"/>
    <w:rsid w:val="00CC614A"/>
    <w:rsid w:val="00CC649C"/>
    <w:rsid w:val="00CD1C13"/>
    <w:rsid w:val="00CD23F8"/>
    <w:rsid w:val="00CD2E98"/>
    <w:rsid w:val="00CD359A"/>
    <w:rsid w:val="00CD4813"/>
    <w:rsid w:val="00CD6E4C"/>
    <w:rsid w:val="00CE04F3"/>
    <w:rsid w:val="00CE1EA5"/>
    <w:rsid w:val="00CE3695"/>
    <w:rsid w:val="00CE487D"/>
    <w:rsid w:val="00CE52E4"/>
    <w:rsid w:val="00CE6510"/>
    <w:rsid w:val="00CF0CD0"/>
    <w:rsid w:val="00CF0E92"/>
    <w:rsid w:val="00CF1449"/>
    <w:rsid w:val="00CF200B"/>
    <w:rsid w:val="00CF2A50"/>
    <w:rsid w:val="00CF572E"/>
    <w:rsid w:val="00CF5B3D"/>
    <w:rsid w:val="00CF70EC"/>
    <w:rsid w:val="00CF7225"/>
    <w:rsid w:val="00D006C2"/>
    <w:rsid w:val="00D01DE7"/>
    <w:rsid w:val="00D04E75"/>
    <w:rsid w:val="00D05A30"/>
    <w:rsid w:val="00D05C77"/>
    <w:rsid w:val="00D06958"/>
    <w:rsid w:val="00D06A48"/>
    <w:rsid w:val="00D06B37"/>
    <w:rsid w:val="00D0725A"/>
    <w:rsid w:val="00D107E0"/>
    <w:rsid w:val="00D1090C"/>
    <w:rsid w:val="00D10CF2"/>
    <w:rsid w:val="00D137F7"/>
    <w:rsid w:val="00D25726"/>
    <w:rsid w:val="00D26318"/>
    <w:rsid w:val="00D264A0"/>
    <w:rsid w:val="00D27368"/>
    <w:rsid w:val="00D31B97"/>
    <w:rsid w:val="00D324AD"/>
    <w:rsid w:val="00D33411"/>
    <w:rsid w:val="00D33D08"/>
    <w:rsid w:val="00D364D0"/>
    <w:rsid w:val="00D41D72"/>
    <w:rsid w:val="00D42310"/>
    <w:rsid w:val="00D42831"/>
    <w:rsid w:val="00D44A5E"/>
    <w:rsid w:val="00D47533"/>
    <w:rsid w:val="00D51A03"/>
    <w:rsid w:val="00D524D8"/>
    <w:rsid w:val="00D53FC2"/>
    <w:rsid w:val="00D54411"/>
    <w:rsid w:val="00D56152"/>
    <w:rsid w:val="00D565B9"/>
    <w:rsid w:val="00D57883"/>
    <w:rsid w:val="00D57A5F"/>
    <w:rsid w:val="00D60AA4"/>
    <w:rsid w:val="00D62AF0"/>
    <w:rsid w:val="00D632D6"/>
    <w:rsid w:val="00D649EF"/>
    <w:rsid w:val="00D658FC"/>
    <w:rsid w:val="00D667D9"/>
    <w:rsid w:val="00D71DB5"/>
    <w:rsid w:val="00D7690B"/>
    <w:rsid w:val="00D77450"/>
    <w:rsid w:val="00D77F83"/>
    <w:rsid w:val="00D82DFD"/>
    <w:rsid w:val="00D8327C"/>
    <w:rsid w:val="00D836B4"/>
    <w:rsid w:val="00D868F0"/>
    <w:rsid w:val="00D96C36"/>
    <w:rsid w:val="00DA2B42"/>
    <w:rsid w:val="00DA3AA4"/>
    <w:rsid w:val="00DA3C88"/>
    <w:rsid w:val="00DA42C7"/>
    <w:rsid w:val="00DA57AF"/>
    <w:rsid w:val="00DA5865"/>
    <w:rsid w:val="00DA7BE0"/>
    <w:rsid w:val="00DB0DA0"/>
    <w:rsid w:val="00DB170D"/>
    <w:rsid w:val="00DB19C5"/>
    <w:rsid w:val="00DB2D26"/>
    <w:rsid w:val="00DB3C07"/>
    <w:rsid w:val="00DC0014"/>
    <w:rsid w:val="00DC034D"/>
    <w:rsid w:val="00DC0E0B"/>
    <w:rsid w:val="00DC1EBB"/>
    <w:rsid w:val="00DC20A7"/>
    <w:rsid w:val="00DC4511"/>
    <w:rsid w:val="00DC4CCE"/>
    <w:rsid w:val="00DC63EA"/>
    <w:rsid w:val="00DC6621"/>
    <w:rsid w:val="00DC6FA9"/>
    <w:rsid w:val="00DC75FE"/>
    <w:rsid w:val="00DD104A"/>
    <w:rsid w:val="00DD1C99"/>
    <w:rsid w:val="00DD25E1"/>
    <w:rsid w:val="00DD2A00"/>
    <w:rsid w:val="00DD3422"/>
    <w:rsid w:val="00DD5B94"/>
    <w:rsid w:val="00DD780D"/>
    <w:rsid w:val="00DD7FB6"/>
    <w:rsid w:val="00DE28D4"/>
    <w:rsid w:val="00DE2C81"/>
    <w:rsid w:val="00DE35A8"/>
    <w:rsid w:val="00DE6AFE"/>
    <w:rsid w:val="00DF0074"/>
    <w:rsid w:val="00DF2266"/>
    <w:rsid w:val="00DF2EF4"/>
    <w:rsid w:val="00DF3016"/>
    <w:rsid w:val="00DF4875"/>
    <w:rsid w:val="00DF53CC"/>
    <w:rsid w:val="00DF5CE6"/>
    <w:rsid w:val="00DF62E7"/>
    <w:rsid w:val="00E00CCF"/>
    <w:rsid w:val="00E01E17"/>
    <w:rsid w:val="00E01FCC"/>
    <w:rsid w:val="00E02A33"/>
    <w:rsid w:val="00E02C1A"/>
    <w:rsid w:val="00E03408"/>
    <w:rsid w:val="00E04B7A"/>
    <w:rsid w:val="00E05B8E"/>
    <w:rsid w:val="00E06C2C"/>
    <w:rsid w:val="00E071FD"/>
    <w:rsid w:val="00E11AA1"/>
    <w:rsid w:val="00E12BFB"/>
    <w:rsid w:val="00E13612"/>
    <w:rsid w:val="00E148F6"/>
    <w:rsid w:val="00E149CB"/>
    <w:rsid w:val="00E14AE8"/>
    <w:rsid w:val="00E15266"/>
    <w:rsid w:val="00E164BD"/>
    <w:rsid w:val="00E169AA"/>
    <w:rsid w:val="00E20C16"/>
    <w:rsid w:val="00E20D6B"/>
    <w:rsid w:val="00E21CE0"/>
    <w:rsid w:val="00E224B0"/>
    <w:rsid w:val="00E25A73"/>
    <w:rsid w:val="00E25F0C"/>
    <w:rsid w:val="00E270E0"/>
    <w:rsid w:val="00E306CE"/>
    <w:rsid w:val="00E3109F"/>
    <w:rsid w:val="00E3429B"/>
    <w:rsid w:val="00E352F4"/>
    <w:rsid w:val="00E35678"/>
    <w:rsid w:val="00E41ECB"/>
    <w:rsid w:val="00E42105"/>
    <w:rsid w:val="00E44613"/>
    <w:rsid w:val="00E45114"/>
    <w:rsid w:val="00E4547C"/>
    <w:rsid w:val="00E458E8"/>
    <w:rsid w:val="00E45AA7"/>
    <w:rsid w:val="00E46B68"/>
    <w:rsid w:val="00E5048C"/>
    <w:rsid w:val="00E55CB7"/>
    <w:rsid w:val="00E571B4"/>
    <w:rsid w:val="00E574E0"/>
    <w:rsid w:val="00E57F3D"/>
    <w:rsid w:val="00E618A5"/>
    <w:rsid w:val="00E6199E"/>
    <w:rsid w:val="00E61DF4"/>
    <w:rsid w:val="00E64211"/>
    <w:rsid w:val="00E65BE5"/>
    <w:rsid w:val="00E70305"/>
    <w:rsid w:val="00E70701"/>
    <w:rsid w:val="00E71A5A"/>
    <w:rsid w:val="00E7379F"/>
    <w:rsid w:val="00E75EAD"/>
    <w:rsid w:val="00E81A85"/>
    <w:rsid w:val="00E82561"/>
    <w:rsid w:val="00E825F2"/>
    <w:rsid w:val="00E83ABF"/>
    <w:rsid w:val="00E83B03"/>
    <w:rsid w:val="00E8494F"/>
    <w:rsid w:val="00E84DB8"/>
    <w:rsid w:val="00E85ACB"/>
    <w:rsid w:val="00E86A1B"/>
    <w:rsid w:val="00E91967"/>
    <w:rsid w:val="00E91FF8"/>
    <w:rsid w:val="00E925AC"/>
    <w:rsid w:val="00E92F9B"/>
    <w:rsid w:val="00E932FB"/>
    <w:rsid w:val="00E951CB"/>
    <w:rsid w:val="00E95D44"/>
    <w:rsid w:val="00E96E49"/>
    <w:rsid w:val="00EA1130"/>
    <w:rsid w:val="00EA4DDD"/>
    <w:rsid w:val="00EA6486"/>
    <w:rsid w:val="00EA7F14"/>
    <w:rsid w:val="00EB0927"/>
    <w:rsid w:val="00EB164E"/>
    <w:rsid w:val="00EB28A7"/>
    <w:rsid w:val="00EB4E5E"/>
    <w:rsid w:val="00EB597D"/>
    <w:rsid w:val="00EB68E2"/>
    <w:rsid w:val="00EC62E7"/>
    <w:rsid w:val="00EC7520"/>
    <w:rsid w:val="00ED1374"/>
    <w:rsid w:val="00ED1762"/>
    <w:rsid w:val="00ED315F"/>
    <w:rsid w:val="00ED3B3C"/>
    <w:rsid w:val="00ED64B3"/>
    <w:rsid w:val="00ED64D5"/>
    <w:rsid w:val="00ED679B"/>
    <w:rsid w:val="00EE0FF1"/>
    <w:rsid w:val="00EE4A8B"/>
    <w:rsid w:val="00EE4CCE"/>
    <w:rsid w:val="00EF3DF8"/>
    <w:rsid w:val="00EF49A0"/>
    <w:rsid w:val="00EF5F22"/>
    <w:rsid w:val="00F007DF"/>
    <w:rsid w:val="00F01C35"/>
    <w:rsid w:val="00F02A98"/>
    <w:rsid w:val="00F039B7"/>
    <w:rsid w:val="00F04273"/>
    <w:rsid w:val="00F06EA5"/>
    <w:rsid w:val="00F07845"/>
    <w:rsid w:val="00F07BF8"/>
    <w:rsid w:val="00F102A3"/>
    <w:rsid w:val="00F11496"/>
    <w:rsid w:val="00F14795"/>
    <w:rsid w:val="00F15BE8"/>
    <w:rsid w:val="00F20D7D"/>
    <w:rsid w:val="00F2159A"/>
    <w:rsid w:val="00F2205B"/>
    <w:rsid w:val="00F2226D"/>
    <w:rsid w:val="00F25B28"/>
    <w:rsid w:val="00F25BBC"/>
    <w:rsid w:val="00F37C35"/>
    <w:rsid w:val="00F4221F"/>
    <w:rsid w:val="00F42800"/>
    <w:rsid w:val="00F439F4"/>
    <w:rsid w:val="00F43CBA"/>
    <w:rsid w:val="00F46E8B"/>
    <w:rsid w:val="00F470D1"/>
    <w:rsid w:val="00F52CC8"/>
    <w:rsid w:val="00F553BE"/>
    <w:rsid w:val="00F64DAA"/>
    <w:rsid w:val="00F726F3"/>
    <w:rsid w:val="00F73F2C"/>
    <w:rsid w:val="00F76413"/>
    <w:rsid w:val="00F76510"/>
    <w:rsid w:val="00F77685"/>
    <w:rsid w:val="00F819A0"/>
    <w:rsid w:val="00F82441"/>
    <w:rsid w:val="00F828E2"/>
    <w:rsid w:val="00F84511"/>
    <w:rsid w:val="00F84D62"/>
    <w:rsid w:val="00F864B9"/>
    <w:rsid w:val="00F879D8"/>
    <w:rsid w:val="00F91ED1"/>
    <w:rsid w:val="00F92AA3"/>
    <w:rsid w:val="00F9447C"/>
    <w:rsid w:val="00F9561F"/>
    <w:rsid w:val="00FA000F"/>
    <w:rsid w:val="00FA0A1F"/>
    <w:rsid w:val="00FA0FF9"/>
    <w:rsid w:val="00FA166F"/>
    <w:rsid w:val="00FA179D"/>
    <w:rsid w:val="00FA245F"/>
    <w:rsid w:val="00FA2B67"/>
    <w:rsid w:val="00FA3886"/>
    <w:rsid w:val="00FA4C6F"/>
    <w:rsid w:val="00FA54D6"/>
    <w:rsid w:val="00FA6642"/>
    <w:rsid w:val="00FB3DAD"/>
    <w:rsid w:val="00FB4095"/>
    <w:rsid w:val="00FB40F5"/>
    <w:rsid w:val="00FB41F6"/>
    <w:rsid w:val="00FB4C40"/>
    <w:rsid w:val="00FB53C9"/>
    <w:rsid w:val="00FB55FA"/>
    <w:rsid w:val="00FC39E6"/>
    <w:rsid w:val="00FC3D2E"/>
    <w:rsid w:val="00FC5C35"/>
    <w:rsid w:val="00FC5C5C"/>
    <w:rsid w:val="00FC6201"/>
    <w:rsid w:val="00FC7F00"/>
    <w:rsid w:val="00FD4A1F"/>
    <w:rsid w:val="00FE0B1A"/>
    <w:rsid w:val="00FE263F"/>
    <w:rsid w:val="00FE2EF2"/>
    <w:rsid w:val="00FE5CE6"/>
    <w:rsid w:val="00FE731A"/>
    <w:rsid w:val="00FF021D"/>
    <w:rsid w:val="00FF0D13"/>
    <w:rsid w:val="00FF3D41"/>
    <w:rsid w:val="00FF3F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A0AE"/>
  <w15:chartTrackingRefBased/>
  <w15:docId w15:val="{B0EDA8C2-5D59-4A21-907E-61B708D4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13"/>
    <w:pPr>
      <w:spacing w:line="480" w:lineRule="auto"/>
    </w:pPr>
    <w:rPr>
      <w:rFonts w:ascii="Times New Roman" w:hAnsi="Times New Roman"/>
      <w:sz w:val="24"/>
    </w:rPr>
  </w:style>
  <w:style w:type="paragraph" w:styleId="Heading1">
    <w:name w:val="heading 1"/>
    <w:basedOn w:val="Normal"/>
    <w:next w:val="Normal"/>
    <w:link w:val="Heading1Char"/>
    <w:autoRedefine/>
    <w:uiPriority w:val="9"/>
    <w:qFormat/>
    <w:rsid w:val="009A4875"/>
    <w:pPr>
      <w:keepNext/>
      <w:keepLines/>
      <w:spacing w:after="0" w:line="240" w:lineRule="auto"/>
      <w:jc w:val="both"/>
      <w:outlineLvl w:val="0"/>
    </w:pPr>
    <w:rPr>
      <w:rFonts w:ascii="Calibri" w:eastAsiaTheme="majorEastAsia" w:hAnsi="Calibri" w:cs="Calibri"/>
      <w:b/>
      <w:szCs w:val="24"/>
    </w:rPr>
  </w:style>
  <w:style w:type="paragraph" w:styleId="Heading2">
    <w:name w:val="heading 2"/>
    <w:basedOn w:val="Normal"/>
    <w:next w:val="Normal"/>
    <w:link w:val="Heading2Char"/>
    <w:autoRedefine/>
    <w:uiPriority w:val="9"/>
    <w:unhideWhenUsed/>
    <w:qFormat/>
    <w:rsid w:val="00944D7F"/>
    <w:pPr>
      <w:keepNext/>
      <w:keepLines/>
      <w:spacing w:after="0" w:line="240" w:lineRule="auto"/>
      <w:jc w:val="both"/>
      <w:outlineLvl w:val="1"/>
    </w:pPr>
    <w:rPr>
      <w:rFonts w:ascii="Calibri" w:eastAsiaTheme="majorEastAsia" w:hAnsi="Calibri" w:cs="Calibri"/>
      <w:b/>
      <w:i/>
      <w:iCs/>
      <w:color w:val="000000" w:themeColor="text1"/>
      <w:sz w:val="22"/>
      <w:lang w:val="en-US"/>
    </w:rPr>
  </w:style>
  <w:style w:type="paragraph" w:styleId="Heading3">
    <w:name w:val="heading 3"/>
    <w:basedOn w:val="Normal"/>
    <w:link w:val="Heading3Char"/>
    <w:autoRedefine/>
    <w:uiPriority w:val="9"/>
    <w:unhideWhenUsed/>
    <w:qFormat/>
    <w:rsid w:val="00D33411"/>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autoRedefine/>
    <w:uiPriority w:val="9"/>
    <w:unhideWhenUsed/>
    <w:qFormat/>
    <w:rsid w:val="00ED1374"/>
    <w:pPr>
      <w:keepNext/>
      <w:keepLines/>
      <w:spacing w:after="0" w:line="240" w:lineRule="auto"/>
      <w:jc w:val="both"/>
      <w:outlineLvl w:val="3"/>
    </w:pPr>
    <w:rPr>
      <w:rFonts w:ascii="Calibri" w:eastAsiaTheme="majorEastAsia" w:hAnsi="Calibri" w:cs="Calibri"/>
      <w:b/>
      <w:bCs/>
      <w:i/>
      <w:iCs/>
      <w:color w:val="000000" w:themeColor="text1"/>
      <w:sz w:val="22"/>
    </w:rPr>
  </w:style>
  <w:style w:type="paragraph" w:styleId="Heading5">
    <w:name w:val="heading 5"/>
    <w:basedOn w:val="Normal"/>
    <w:next w:val="Normal"/>
    <w:link w:val="Heading5Char"/>
    <w:uiPriority w:val="9"/>
    <w:semiHidden/>
    <w:unhideWhenUsed/>
    <w:qFormat/>
    <w:rsid w:val="00332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875"/>
    <w:rPr>
      <w:rFonts w:ascii="Calibri" w:eastAsiaTheme="majorEastAsia" w:hAnsi="Calibri" w:cs="Calibri"/>
      <w:b/>
      <w:sz w:val="24"/>
      <w:szCs w:val="24"/>
    </w:rPr>
  </w:style>
  <w:style w:type="character" w:customStyle="1" w:styleId="Heading2Char">
    <w:name w:val="Heading 2 Char"/>
    <w:basedOn w:val="DefaultParagraphFont"/>
    <w:link w:val="Heading2"/>
    <w:uiPriority w:val="9"/>
    <w:rsid w:val="00944D7F"/>
    <w:rPr>
      <w:rFonts w:ascii="Calibri" w:eastAsiaTheme="majorEastAsia" w:hAnsi="Calibri" w:cs="Calibri"/>
      <w:b/>
      <w:i/>
      <w:iCs/>
      <w:color w:val="000000" w:themeColor="text1"/>
      <w:lang w:val="en-US"/>
    </w:rPr>
  </w:style>
  <w:style w:type="character" w:customStyle="1" w:styleId="Heading3Char">
    <w:name w:val="Heading 3 Char"/>
    <w:basedOn w:val="DefaultParagraphFont"/>
    <w:link w:val="Heading3"/>
    <w:uiPriority w:val="9"/>
    <w:rsid w:val="00D33411"/>
    <w:rPr>
      <w:rFonts w:ascii="Times New Roman" w:eastAsiaTheme="majorEastAsia" w:hAnsi="Times New Roman" w:cstheme="majorBidi"/>
      <w:b/>
      <w:i/>
      <w:color w:val="000000" w:themeColor="text1"/>
      <w:sz w:val="24"/>
      <w:szCs w:val="28"/>
    </w:rPr>
  </w:style>
  <w:style w:type="character" w:customStyle="1" w:styleId="Heading4Char">
    <w:name w:val="Heading 4 Char"/>
    <w:basedOn w:val="DefaultParagraphFont"/>
    <w:link w:val="Heading4"/>
    <w:uiPriority w:val="9"/>
    <w:rsid w:val="00ED1374"/>
    <w:rPr>
      <w:rFonts w:ascii="Calibri" w:eastAsiaTheme="majorEastAsia" w:hAnsi="Calibri" w:cs="Calibri"/>
      <w:b/>
      <w:bCs/>
      <w:i/>
      <w:iCs/>
      <w:color w:val="000000" w:themeColor="text1"/>
    </w:rPr>
  </w:style>
  <w:style w:type="character" w:customStyle="1" w:styleId="Heading5Char">
    <w:name w:val="Heading 5 Char"/>
    <w:basedOn w:val="DefaultParagraphFont"/>
    <w:link w:val="Heading5"/>
    <w:uiPriority w:val="9"/>
    <w:semiHidden/>
    <w:rsid w:val="00332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E0"/>
    <w:rPr>
      <w:rFonts w:eastAsiaTheme="majorEastAsia" w:cstheme="majorBidi"/>
      <w:color w:val="272727" w:themeColor="text1" w:themeTint="D8"/>
    </w:rPr>
  </w:style>
  <w:style w:type="paragraph" w:styleId="Title">
    <w:name w:val="Title"/>
    <w:basedOn w:val="Normal"/>
    <w:next w:val="Normal"/>
    <w:link w:val="TitleChar"/>
    <w:uiPriority w:val="10"/>
    <w:qFormat/>
    <w:rsid w:val="00332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E0"/>
    <w:pPr>
      <w:spacing w:before="160"/>
      <w:jc w:val="center"/>
    </w:pPr>
    <w:rPr>
      <w:i/>
      <w:iCs/>
      <w:color w:val="404040" w:themeColor="text1" w:themeTint="BF"/>
    </w:rPr>
  </w:style>
  <w:style w:type="character" w:customStyle="1" w:styleId="QuoteChar">
    <w:name w:val="Quote Char"/>
    <w:basedOn w:val="DefaultParagraphFont"/>
    <w:link w:val="Quote"/>
    <w:uiPriority w:val="29"/>
    <w:rsid w:val="003320E0"/>
    <w:rPr>
      <w:i/>
      <w:iCs/>
      <w:color w:val="404040" w:themeColor="text1" w:themeTint="BF"/>
    </w:rPr>
  </w:style>
  <w:style w:type="paragraph" w:styleId="ListParagraph">
    <w:name w:val="List Paragraph"/>
    <w:basedOn w:val="Normal"/>
    <w:uiPriority w:val="34"/>
    <w:qFormat/>
    <w:rsid w:val="003320E0"/>
    <w:pPr>
      <w:ind w:left="720"/>
      <w:contextualSpacing/>
    </w:pPr>
  </w:style>
  <w:style w:type="character" w:styleId="IntenseEmphasis">
    <w:name w:val="Intense Emphasis"/>
    <w:basedOn w:val="DefaultParagraphFont"/>
    <w:uiPriority w:val="21"/>
    <w:qFormat/>
    <w:rsid w:val="003320E0"/>
    <w:rPr>
      <w:i/>
      <w:iCs/>
      <w:color w:val="0F4761" w:themeColor="accent1" w:themeShade="BF"/>
    </w:rPr>
  </w:style>
  <w:style w:type="paragraph" w:styleId="IntenseQuote">
    <w:name w:val="Intense Quote"/>
    <w:basedOn w:val="Normal"/>
    <w:next w:val="Normal"/>
    <w:link w:val="IntenseQuoteChar"/>
    <w:uiPriority w:val="30"/>
    <w:qFormat/>
    <w:rsid w:val="00332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0E0"/>
    <w:rPr>
      <w:i/>
      <w:iCs/>
      <w:color w:val="0F4761" w:themeColor="accent1" w:themeShade="BF"/>
    </w:rPr>
  </w:style>
  <w:style w:type="character" w:styleId="IntenseReference">
    <w:name w:val="Intense Reference"/>
    <w:basedOn w:val="DefaultParagraphFont"/>
    <w:uiPriority w:val="32"/>
    <w:qFormat/>
    <w:rsid w:val="003320E0"/>
    <w:rPr>
      <w:b/>
      <w:bCs/>
      <w:smallCaps/>
      <w:color w:val="0F4761" w:themeColor="accent1" w:themeShade="BF"/>
      <w:spacing w:val="5"/>
    </w:rPr>
  </w:style>
  <w:style w:type="paragraph" w:styleId="Footer">
    <w:name w:val="footer"/>
    <w:basedOn w:val="Normal"/>
    <w:link w:val="FooterChar"/>
    <w:uiPriority w:val="99"/>
    <w:unhideWhenUsed/>
    <w:rsid w:val="003320E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320E0"/>
  </w:style>
  <w:style w:type="character" w:styleId="Hyperlink">
    <w:name w:val="Hyperlink"/>
    <w:basedOn w:val="DefaultParagraphFont"/>
    <w:uiPriority w:val="99"/>
    <w:unhideWhenUsed/>
    <w:rsid w:val="00B257CD"/>
    <w:rPr>
      <w:color w:val="467886" w:themeColor="hyperlink"/>
      <w:u w:val="single"/>
    </w:rPr>
  </w:style>
  <w:style w:type="character" w:styleId="UnresolvedMention">
    <w:name w:val="Unresolved Mention"/>
    <w:basedOn w:val="DefaultParagraphFont"/>
    <w:uiPriority w:val="99"/>
    <w:semiHidden/>
    <w:unhideWhenUsed/>
    <w:rsid w:val="00B257CD"/>
    <w:rPr>
      <w:color w:val="605E5C"/>
      <w:shd w:val="clear" w:color="auto" w:fill="E1DFDD"/>
    </w:rPr>
  </w:style>
  <w:style w:type="paragraph" w:styleId="Header">
    <w:name w:val="header"/>
    <w:basedOn w:val="Normal"/>
    <w:link w:val="HeaderChar"/>
    <w:uiPriority w:val="99"/>
    <w:unhideWhenUsed/>
    <w:rsid w:val="0080288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02881"/>
  </w:style>
  <w:style w:type="paragraph" w:styleId="TOCHeading">
    <w:name w:val="TOC Heading"/>
    <w:basedOn w:val="Heading1"/>
    <w:next w:val="Normal"/>
    <w:uiPriority w:val="39"/>
    <w:unhideWhenUsed/>
    <w:qFormat/>
    <w:rsid w:val="007E751F"/>
    <w:pPr>
      <w:spacing w:before="240"/>
      <w:outlineLvl w:val="9"/>
    </w:pPr>
    <w:rPr>
      <w:kern w:val="0"/>
      <w:sz w:val="32"/>
      <w:szCs w:val="32"/>
      <w:lang w:val="en-US"/>
      <w14:ligatures w14:val="none"/>
    </w:rPr>
  </w:style>
  <w:style w:type="paragraph" w:styleId="TOC2">
    <w:name w:val="toc 2"/>
    <w:basedOn w:val="Normal"/>
    <w:next w:val="Normal"/>
    <w:autoRedefine/>
    <w:uiPriority w:val="39"/>
    <w:unhideWhenUsed/>
    <w:rsid w:val="007E751F"/>
    <w:pPr>
      <w:spacing w:after="100"/>
      <w:ind w:left="220"/>
    </w:pPr>
  </w:style>
  <w:style w:type="paragraph" w:styleId="TOC3">
    <w:name w:val="toc 3"/>
    <w:basedOn w:val="Normal"/>
    <w:next w:val="Normal"/>
    <w:autoRedefine/>
    <w:uiPriority w:val="39"/>
    <w:unhideWhenUsed/>
    <w:rsid w:val="007E751F"/>
    <w:pPr>
      <w:spacing w:after="100"/>
      <w:ind w:left="440"/>
    </w:pPr>
  </w:style>
  <w:style w:type="paragraph" w:styleId="TOC1">
    <w:name w:val="toc 1"/>
    <w:basedOn w:val="Normal"/>
    <w:next w:val="Normal"/>
    <w:autoRedefine/>
    <w:uiPriority w:val="39"/>
    <w:unhideWhenUsed/>
    <w:rsid w:val="00B6233B"/>
    <w:pPr>
      <w:tabs>
        <w:tab w:val="right" w:leader="dot" w:pos="9016"/>
      </w:tabs>
      <w:spacing w:after="100"/>
    </w:pPr>
  </w:style>
  <w:style w:type="table" w:styleId="TableGrid">
    <w:name w:val="Table Grid"/>
    <w:basedOn w:val="TableNormal"/>
    <w:uiPriority w:val="39"/>
    <w:rsid w:val="0073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E3109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6">
    <w:name w:val="Grid Table 4 Accent 6"/>
    <w:basedOn w:val="TableNormal"/>
    <w:uiPriority w:val="49"/>
    <w:rsid w:val="00E3109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1">
    <w:name w:val="Grid Table 6 Colorful Accent 1"/>
    <w:basedOn w:val="TableNormal"/>
    <w:uiPriority w:val="51"/>
    <w:rsid w:val="00E3109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DD7FB6"/>
    <w:pPr>
      <w:spacing w:after="0" w:line="240" w:lineRule="auto"/>
    </w:pPr>
  </w:style>
  <w:style w:type="character" w:styleId="CommentReference">
    <w:name w:val="annotation reference"/>
    <w:basedOn w:val="DefaultParagraphFont"/>
    <w:uiPriority w:val="99"/>
    <w:semiHidden/>
    <w:unhideWhenUsed/>
    <w:rsid w:val="00DD7FB6"/>
    <w:rPr>
      <w:sz w:val="16"/>
      <w:szCs w:val="16"/>
    </w:rPr>
  </w:style>
  <w:style w:type="paragraph" w:styleId="CommentText">
    <w:name w:val="annotation text"/>
    <w:basedOn w:val="Normal"/>
    <w:link w:val="CommentTextChar"/>
    <w:uiPriority w:val="99"/>
    <w:unhideWhenUsed/>
    <w:rsid w:val="00DD7FB6"/>
    <w:pPr>
      <w:spacing w:line="240" w:lineRule="auto"/>
    </w:pPr>
    <w:rPr>
      <w:sz w:val="20"/>
      <w:szCs w:val="20"/>
    </w:rPr>
  </w:style>
  <w:style w:type="character" w:customStyle="1" w:styleId="CommentTextChar">
    <w:name w:val="Comment Text Char"/>
    <w:basedOn w:val="DefaultParagraphFont"/>
    <w:link w:val="CommentText"/>
    <w:uiPriority w:val="99"/>
    <w:rsid w:val="00DD7FB6"/>
    <w:rPr>
      <w:sz w:val="20"/>
      <w:szCs w:val="20"/>
    </w:rPr>
  </w:style>
  <w:style w:type="paragraph" w:styleId="CommentSubject">
    <w:name w:val="annotation subject"/>
    <w:basedOn w:val="CommentText"/>
    <w:next w:val="CommentText"/>
    <w:link w:val="CommentSubjectChar"/>
    <w:uiPriority w:val="99"/>
    <w:semiHidden/>
    <w:unhideWhenUsed/>
    <w:rsid w:val="00DD7FB6"/>
    <w:rPr>
      <w:b/>
      <w:bCs/>
    </w:rPr>
  </w:style>
  <w:style w:type="character" w:customStyle="1" w:styleId="CommentSubjectChar">
    <w:name w:val="Comment Subject Char"/>
    <w:basedOn w:val="CommentTextChar"/>
    <w:link w:val="CommentSubject"/>
    <w:uiPriority w:val="99"/>
    <w:semiHidden/>
    <w:rsid w:val="00DD7FB6"/>
    <w:rPr>
      <w:b/>
      <w:bCs/>
      <w:sz w:val="20"/>
      <w:szCs w:val="20"/>
    </w:rPr>
  </w:style>
  <w:style w:type="paragraph" w:styleId="NoSpacing">
    <w:name w:val="No Spacing"/>
    <w:uiPriority w:val="1"/>
    <w:qFormat/>
    <w:rsid w:val="00E13612"/>
    <w:pPr>
      <w:spacing w:after="0" w:line="240" w:lineRule="auto"/>
    </w:pPr>
    <w:rPr>
      <w:rFonts w:ascii="Times New Roman" w:hAnsi="Times New Roman" w:cs="Times New Roman"/>
      <w:color w:val="0F4761" w:themeColor="accent1" w:themeShade="BF"/>
    </w:rPr>
  </w:style>
  <w:style w:type="paragraph" w:customStyle="1" w:styleId="Referencing">
    <w:name w:val="Referencing"/>
    <w:basedOn w:val="Normal"/>
    <w:link w:val="ReferencingChar"/>
    <w:qFormat/>
    <w:rsid w:val="00E25A73"/>
    <w:pPr>
      <w:spacing w:after="240" w:line="240" w:lineRule="auto"/>
      <w:ind w:left="720" w:hanging="720"/>
    </w:pPr>
  </w:style>
  <w:style w:type="character" w:customStyle="1" w:styleId="ReferencingChar">
    <w:name w:val="Referencing Char"/>
    <w:basedOn w:val="DefaultParagraphFont"/>
    <w:link w:val="Referencing"/>
    <w:rsid w:val="00E25A73"/>
    <w:rPr>
      <w:rFonts w:ascii="Times New Roman" w:hAnsi="Times New Roman"/>
      <w:sz w:val="24"/>
    </w:rPr>
  </w:style>
  <w:style w:type="paragraph" w:styleId="FootnoteText">
    <w:name w:val="footnote text"/>
    <w:basedOn w:val="Normal"/>
    <w:link w:val="FootnoteTextChar"/>
    <w:uiPriority w:val="99"/>
    <w:unhideWhenUsed/>
    <w:rsid w:val="00572A6E"/>
    <w:pPr>
      <w:spacing w:after="0" w:line="240" w:lineRule="auto"/>
    </w:pPr>
    <w:rPr>
      <w:sz w:val="20"/>
      <w:szCs w:val="20"/>
    </w:rPr>
  </w:style>
  <w:style w:type="character" w:customStyle="1" w:styleId="FootnoteTextChar">
    <w:name w:val="Footnote Text Char"/>
    <w:basedOn w:val="DefaultParagraphFont"/>
    <w:link w:val="FootnoteText"/>
    <w:uiPriority w:val="99"/>
    <w:rsid w:val="00572A6E"/>
    <w:rPr>
      <w:rFonts w:ascii="Times New Roman" w:hAnsi="Times New Roman"/>
      <w:sz w:val="20"/>
      <w:szCs w:val="20"/>
    </w:rPr>
  </w:style>
  <w:style w:type="character" w:styleId="FootnoteReference">
    <w:name w:val="footnote reference"/>
    <w:basedOn w:val="DefaultParagraphFont"/>
    <w:uiPriority w:val="99"/>
    <w:semiHidden/>
    <w:unhideWhenUsed/>
    <w:rsid w:val="00572A6E"/>
    <w:rPr>
      <w:vertAlign w:val="superscript"/>
    </w:rPr>
  </w:style>
  <w:style w:type="character" w:styleId="FollowedHyperlink">
    <w:name w:val="FollowedHyperlink"/>
    <w:basedOn w:val="DefaultParagraphFont"/>
    <w:uiPriority w:val="99"/>
    <w:semiHidden/>
    <w:unhideWhenUsed/>
    <w:rsid w:val="002115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87801">
      <w:bodyDiv w:val="1"/>
      <w:marLeft w:val="0"/>
      <w:marRight w:val="0"/>
      <w:marTop w:val="0"/>
      <w:marBottom w:val="0"/>
      <w:divBdr>
        <w:top w:val="none" w:sz="0" w:space="0" w:color="auto"/>
        <w:left w:val="none" w:sz="0" w:space="0" w:color="auto"/>
        <w:bottom w:val="none" w:sz="0" w:space="0" w:color="auto"/>
        <w:right w:val="none" w:sz="0" w:space="0" w:color="auto"/>
      </w:divBdr>
    </w:div>
    <w:div w:id="1006175227">
      <w:bodyDiv w:val="1"/>
      <w:marLeft w:val="0"/>
      <w:marRight w:val="0"/>
      <w:marTop w:val="0"/>
      <w:marBottom w:val="0"/>
      <w:divBdr>
        <w:top w:val="none" w:sz="0" w:space="0" w:color="auto"/>
        <w:left w:val="none" w:sz="0" w:space="0" w:color="auto"/>
        <w:bottom w:val="none" w:sz="0" w:space="0" w:color="auto"/>
        <w:right w:val="none" w:sz="0" w:space="0" w:color="auto"/>
      </w:divBdr>
    </w:div>
    <w:div w:id="1487235536">
      <w:bodyDiv w:val="1"/>
      <w:marLeft w:val="0"/>
      <w:marRight w:val="0"/>
      <w:marTop w:val="0"/>
      <w:marBottom w:val="0"/>
      <w:divBdr>
        <w:top w:val="none" w:sz="0" w:space="0" w:color="auto"/>
        <w:left w:val="none" w:sz="0" w:space="0" w:color="auto"/>
        <w:bottom w:val="none" w:sz="0" w:space="0" w:color="auto"/>
        <w:right w:val="none" w:sz="0" w:space="0" w:color="auto"/>
      </w:divBdr>
    </w:div>
    <w:div w:id="17432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ut.askizzy.org.au/about/" TargetMode="External"/><Relationship Id="rId18" Type="http://schemas.openxmlformats.org/officeDocument/2006/relationships/hyperlink" Target="https://doi.org/10.1016/j.obpill.2023.100087" TargetMode="External"/><Relationship Id="rId26" Type="http://schemas.openxmlformats.org/officeDocument/2006/relationships/hyperlink" Target="https://www.fao.org/4/mb060e/mb060e02.pdf" TargetMode="External"/><Relationship Id="rId39" Type="http://schemas.openxmlformats.org/officeDocument/2006/relationships/hyperlink" Target="https://doi.org/10.1503/cmaj.190385" TargetMode="External"/><Relationship Id="rId21" Type="http://schemas.openxmlformats.org/officeDocument/2006/relationships/hyperlink" Target="https://wpstaq-ap-southeast-2-media.s3.amazonaws.com/endfwa/wp-content/uploads/media/2023/11/Food-Rescue-Sector-Action-Plan-Full-Report_Final-2.pdf" TargetMode="External"/><Relationship Id="rId34" Type="http://schemas.openxmlformats.org/officeDocument/2006/relationships/hyperlink" Target="https://assets.kpmg.com/content/dam/kpmgsites/au/pdf/2022/kpmg-food-waste-tax-incentive-2022.pdf" TargetMode="External"/><Relationship Id="rId42" Type="http://schemas.openxmlformats.org/officeDocument/2006/relationships/hyperlink" Target="https://doi.org/10.1017/S1368980011001996" TargetMode="External"/><Relationship Id="rId47" Type="http://schemas.openxmlformats.org/officeDocument/2006/relationships/hyperlink" Target="https://secondbite.org/food-relief-sector-calls-for-urgent-action-on-funding/" TargetMode="External"/><Relationship Id="rId50" Type="http://schemas.openxmlformats.org/officeDocument/2006/relationships/hyperlink" Target="https://vahi.vic.gov.au/sites/default/files/2021-12/190226-1_VAHI-food-insecurity-full%20report.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to.gov.au/businesses-and-organisations/income-deductions-and-concessions/incentives-and-concessions/research-and-development-tax-incentive-and-concessions/research-and-development-tax-incentive" TargetMode="External"/><Relationship Id="rId29" Type="http://schemas.openxmlformats.org/officeDocument/2006/relationships/hyperlink" Target="https://aus01.safelinks.protection.outlook.com/?url=https%3A%2F%2Fdoi.org%2F10.1016%2Fj.pmedr.2022.101737&amp;data=05%7C02%7Cggriffit%40une.edu.au%7Cb552cdb2db984d7cfd6108de8622a11a%7C3e104c4f8ef24d1483d8bd7d3b46b8db%7C0%7C0%7C639095680450652493%7CUnknown%7CTWFpbGZsb3d8eyJFbXB0eU1hcGkiOnRydWUsIlYiOiIwLjAuMDAwMCIsIlAiOiJXaW4zMiIsIkFOIjoiTWFpbCIsIldUIjoyfQ%3D%3D%7C0%7C%7C%7C&amp;sdata=sg7Pq1rY2VqpRJo602R28DSqalUb85n%2Bu5tKpwgaJ1k%3D&amp;reserved=0" TargetMode="External"/><Relationship Id="rId11" Type="http://schemas.openxmlformats.org/officeDocument/2006/relationships/footer" Target="footer2.xml"/><Relationship Id="rId24" Type="http://schemas.openxmlformats.org/officeDocument/2006/relationships/hyperlink" Target="https://www.foodbank.org.au/foodbank-hunger-report-2024-media-release/" TargetMode="External"/><Relationship Id="rId32" Type="http://schemas.openxmlformats.org/officeDocument/2006/relationships/hyperlink" Target="https://ebookcentral.proquest.com/lib/une/detail.action?docID=1135741" TargetMode="External"/><Relationship Id="rId37" Type="http://schemas.openxmlformats.org/officeDocument/2006/relationships/hyperlink" Target="https://aus01.safelinks.protection.outlook.com/?url=https%3A%2F%2Fssrn.com%2Fabstract%3D4223098&amp;data=05%7C02%7Cggriffit%40une.edu.au%7Cb552cdb2db984d7cfd6108de8622a11a%7C3e104c4f8ef24d1483d8bd7d3b46b8db%7C0%7C0%7C639095680450616936%7CUnknown%7CTWFpbGZsb3d8eyJFbXB0eU1hcGkiOnRydWUsIlYiOiIwLjAuMDAwMCIsIlAiOiJXaW4zMiIsIkFOIjoiTWFpbCIsIldUIjoyfQ%3D%3D%7C0%7C%7C%7C&amp;sdata=AEM8WpYWsj7OR9mCgkvuLUffboiQWNGxAHegFdWN1ek%3D&amp;reserved=0" TargetMode="External"/><Relationship Id="rId40" Type="http://schemas.openxmlformats.org/officeDocument/2006/relationships/hyperlink" Target="https://nff.org.au/wp-content/uploads/2024/08/NFF-Submission-to-Tax-Laws-Amendment-Bill-2024.pdf" TargetMode="External"/><Relationship Id="rId45" Type="http://schemas.openxmlformats.org/officeDocument/2006/relationships/hyperlink" Target="https://doi.org/10.1007/s10198-010-0245-3" TargetMode="External"/><Relationship Id="rId53" Type="http://schemas.openxmlformats.org/officeDocument/2006/relationships/hyperlink" Target="https://doi.org/10.26180/26502097.v1"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ssrn.com/abstract=3201841" TargetMode="External"/><Relationship Id="rId31" Type="http://schemas.openxmlformats.org/officeDocument/2006/relationships/hyperlink" Target="https://doi.org/10.1007/s10460-019-09995-2" TargetMode="External"/><Relationship Id="rId44" Type="http://schemas.openxmlformats.org/officeDocument/2006/relationships/hyperlink" Target="https://doi.org/10.1300/J477v01n04_02" TargetMode="External"/><Relationship Id="rId52" Type="http://schemas.openxmlformats.org/officeDocument/2006/relationships/hyperlink" Target="https://doi.org/10.1111/soin.1209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wasman.2023.12.051" TargetMode="External"/><Relationship Id="rId22" Type="http://schemas.openxmlformats.org/officeDocument/2006/relationships/hyperlink" Target="https://www.foodbank.org.au/wp-content/uploads/Rumbling-Tummies-Full-Report-2018.pdf" TargetMode="External"/><Relationship Id="rId27" Type="http://schemas.openxmlformats.org/officeDocument/2006/relationships/hyperlink" Target="https://doi.org/10.1111/1747-0080.12907" TargetMode="External"/><Relationship Id="rId30" Type="http://schemas.openxmlformats.org/officeDocument/2006/relationships/hyperlink" Target="https://doi.org/10.25675/3.021357" TargetMode="External"/><Relationship Id="rId35" Type="http://schemas.openxmlformats.org/officeDocument/2006/relationships/hyperlink" Target="https://www.parliament.vic.gov.au/4a2021/contentassets/08d54feb0f834086b602ae7d66fe3de4/terms-of-reference-attachments/terms-of-reference---inquiry-into-food-security-in-victoria.pdf" TargetMode="External"/><Relationship Id="rId43" Type="http://schemas.openxmlformats.org/officeDocument/2006/relationships/hyperlink" Target="https://openknowledge.fao.org/server/api/core/bitstreams/36cb45bc-392c-41fb-97f1-90ca1f16ee7f/content" TargetMode="External"/><Relationship Id="rId48" Type="http://schemas.openxmlformats.org/officeDocument/2006/relationships/hyperlink" Target="https://doi.org/10.1007/s10668-023-03132-0" TargetMode="External"/><Relationship Id="rId56" Type="http://schemas.openxmlformats.org/officeDocument/2006/relationships/theme" Target="theme/theme1.xml"/><Relationship Id="rId8" Type="http://schemas.openxmlformats.org/officeDocument/2006/relationships/hyperlink" Target="https://secondbite.org/" TargetMode="External"/><Relationship Id="rId51" Type="http://schemas.openxmlformats.org/officeDocument/2006/relationships/hyperlink" Target="https://www.parliament.vic.gov.au/4a2025/contentassets/4463f75bd2424444b179907e91c57924/victorian-government-response-to-the-parliamentary-inquiry-into-food-security-in-victoria.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vic.gov.au/sites/default/files/2025-04/2024-Victorian-Guide-to-Regulation.pdf" TargetMode="External"/><Relationship Id="rId25" Type="http://schemas.openxmlformats.org/officeDocument/2006/relationships/hyperlink" Target="https://www.foodbank.org.au/foodbank-hunger-report-2025-media-release/" TargetMode="External"/><Relationship Id="rId33" Type="http://schemas.openxmlformats.org/officeDocument/2006/relationships/hyperlink" Target="https://assets.kpmg.com/content/dam/kpmgsites/au/pdf/2020/national-food-waste-tax-incentive.pdf.coredownload.inline.pdf" TargetMode="External"/><Relationship Id="rId38" Type="http://schemas.openxmlformats.org/officeDocument/2006/relationships/hyperlink" Target="https://doi.org/10.3390/ijerph16030476" TargetMode="External"/><Relationship Id="rId46" Type="http://schemas.openxmlformats.org/officeDocument/2006/relationships/hyperlink" Target="https://secondbite.org/historic-reform-a-step-towards-feeding-hungry-australians/" TargetMode="External"/><Relationship Id="rId20" Type="http://schemas.openxmlformats.org/officeDocument/2006/relationships/hyperlink" Target="https://dx.doi.org/10.2139/ssrn.3201841" TargetMode="External"/><Relationship Id="rId41" Type="http://schemas.openxmlformats.org/officeDocument/2006/relationships/hyperlink" Target="https://doi.org/10.1177/10591478251350098" TargetMode="External"/><Relationship Id="rId54" Type="http://schemas.openxmlformats.org/officeDocument/2006/relationships/hyperlink" Target="https://doi.org/10.1016/j.ecolecon.2024.1084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fs.gov.au/sites/default/files/publication-documents/2009_cfca_understanding_food_insecurity_in_australia_0.pdf" TargetMode="External"/><Relationship Id="rId23" Type="http://schemas.openxmlformats.org/officeDocument/2006/relationships/hyperlink" Target="https://www.foodbank.org.au/national-food-donation-tax-incentive-resources/" TargetMode="External"/><Relationship Id="rId28" Type="http://schemas.openxmlformats.org/officeDocument/2006/relationships/hyperlink" Target="https://doi.org/10.5694/j.1326-5377.2009.tb02318.x" TargetMode="External"/><Relationship Id="rId36" Type="http://schemas.openxmlformats.org/officeDocument/2006/relationships/hyperlink" Target="https://research.ebsco.com/c/6to2aa/search/details/5uavo6fy2b/details?db=a9h" TargetMode="External"/><Relationship Id="rId49" Type="http://schemas.openxmlformats.org/officeDocument/2006/relationships/hyperlink" Target="https://assets.sustainability.vic.gov.au/asset-download/Report-The-Path-to-Hal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B02D-241D-4166-8B19-8387E3D5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25</Pages>
  <Words>12137</Words>
  <Characters>69181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Boyd (DTF)</dc:creator>
  <cp:keywords/>
  <dc:description/>
  <cp:lastModifiedBy>Garry Griffith</cp:lastModifiedBy>
  <cp:revision>105</cp:revision>
  <cp:lastPrinted>2026-02-25T23:27:00Z</cp:lastPrinted>
  <dcterms:created xsi:type="dcterms:W3CDTF">2026-04-17T21:21:00Z</dcterms:created>
  <dcterms:modified xsi:type="dcterms:W3CDTF">2026-05-14T02:53:00Z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6f9db8b,be8e017,548a5699</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2025-06-29T09:24:10Z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5044f8d0-72a3-410e-8f47-195b2cef88c3</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