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C000A" w14:textId="3A7D35DE" w:rsidR="009943E4" w:rsidRPr="00E27BB9" w:rsidRDefault="009943E4" w:rsidP="009943E4">
      <w:pPr>
        <w:jc w:val="center"/>
        <w:rPr>
          <w:rFonts w:cstheme="minorHAnsi"/>
          <w:b/>
          <w:sz w:val="40"/>
          <w:szCs w:val="40"/>
        </w:rPr>
      </w:pPr>
      <w:bookmarkStart w:id="0" w:name="_Hlk194408629"/>
      <w:r w:rsidRPr="00492398">
        <w:rPr>
          <w:rFonts w:cstheme="minorHAnsi"/>
          <w:b/>
          <w:bCs/>
          <w:sz w:val="40"/>
          <w:szCs w:val="40"/>
          <w:lang w:val="en-AU"/>
        </w:rPr>
        <w:t xml:space="preserve">Agricultural </w:t>
      </w:r>
      <w:r w:rsidR="00EF51EC">
        <w:rPr>
          <w:rFonts w:cstheme="minorHAnsi"/>
          <w:b/>
          <w:bCs/>
          <w:sz w:val="40"/>
          <w:szCs w:val="40"/>
          <w:lang w:val="en-AU"/>
        </w:rPr>
        <w:t>and</w:t>
      </w:r>
      <w:r w:rsidRPr="00492398">
        <w:rPr>
          <w:rFonts w:cstheme="minorHAnsi"/>
          <w:b/>
          <w:bCs/>
          <w:sz w:val="40"/>
          <w:szCs w:val="40"/>
          <w:lang w:val="en-AU"/>
        </w:rPr>
        <w:t xml:space="preserve"> Resource Economics and Agribusiness</w:t>
      </w:r>
      <w:r>
        <w:rPr>
          <w:rFonts w:cstheme="minorHAnsi"/>
          <w:b/>
          <w:bCs/>
          <w:sz w:val="40"/>
          <w:szCs w:val="40"/>
          <w:lang w:val="en-AU"/>
        </w:rPr>
        <w:t xml:space="preserve"> (AREA)</w:t>
      </w:r>
      <w:r w:rsidRPr="00492398">
        <w:rPr>
          <w:rFonts w:cstheme="minorHAnsi"/>
          <w:b/>
          <w:bCs/>
          <w:sz w:val="40"/>
          <w:szCs w:val="40"/>
          <w:lang w:val="en-AU"/>
        </w:rPr>
        <w:t xml:space="preserve"> </w:t>
      </w:r>
      <w:r>
        <w:rPr>
          <w:rFonts w:cstheme="minorHAnsi"/>
          <w:b/>
          <w:bCs/>
          <w:sz w:val="40"/>
          <w:szCs w:val="40"/>
          <w:lang w:val="en-AU"/>
        </w:rPr>
        <w:t>Working Papers</w:t>
      </w:r>
      <w:r w:rsidRPr="00E27BB9">
        <w:rPr>
          <w:rFonts w:cstheme="minorHAnsi"/>
          <w:b/>
          <w:sz w:val="40"/>
          <w:szCs w:val="40"/>
        </w:rPr>
        <w:t xml:space="preserve"> </w:t>
      </w:r>
    </w:p>
    <w:p w14:paraId="4DAA49D0" w14:textId="0E7B230B" w:rsidR="009943E4" w:rsidRDefault="009943E4" w:rsidP="009943E4">
      <w:pPr>
        <w:jc w:val="center"/>
        <w:rPr>
          <w:b/>
          <w:sz w:val="40"/>
          <w:szCs w:val="40"/>
        </w:rPr>
      </w:pPr>
      <w:r w:rsidRPr="00E27BB9">
        <w:rPr>
          <w:rFonts w:cstheme="minorHAnsi"/>
          <w:b/>
          <w:sz w:val="40"/>
          <w:szCs w:val="40"/>
        </w:rPr>
        <w:t>202</w:t>
      </w:r>
      <w:r>
        <w:rPr>
          <w:rFonts w:cstheme="minorHAnsi"/>
          <w:b/>
          <w:sz w:val="40"/>
          <w:szCs w:val="40"/>
        </w:rPr>
        <w:t>5</w:t>
      </w:r>
      <w:r w:rsidRPr="00E27BB9">
        <w:rPr>
          <w:rFonts w:cstheme="minorHAnsi"/>
          <w:b/>
          <w:sz w:val="40"/>
          <w:szCs w:val="40"/>
        </w:rPr>
        <w:t xml:space="preserve">, Paper </w:t>
      </w:r>
      <w:r>
        <w:rPr>
          <w:rFonts w:cstheme="minorHAnsi"/>
          <w:b/>
          <w:sz w:val="40"/>
          <w:szCs w:val="40"/>
        </w:rPr>
        <w:t>4</w:t>
      </w:r>
      <w:bookmarkEnd w:id="0"/>
      <w:r>
        <w:rPr>
          <w:rStyle w:val="FootnoteReference"/>
          <w:rFonts w:cstheme="minorHAnsi"/>
          <w:b/>
          <w:sz w:val="40"/>
          <w:szCs w:val="40"/>
        </w:rPr>
        <w:footnoteReference w:id="1"/>
      </w:r>
    </w:p>
    <w:p w14:paraId="18DE83A9" w14:textId="2DC48BCF" w:rsidR="009943E4" w:rsidRDefault="009943E4" w:rsidP="009943E4">
      <w:pPr>
        <w:jc w:val="center"/>
        <w:rPr>
          <w:b/>
          <w:sz w:val="36"/>
          <w:szCs w:val="36"/>
        </w:rPr>
      </w:pPr>
      <w:r w:rsidRPr="00FB3AF7">
        <w:rPr>
          <w:rFonts w:cstheme="minorHAnsi"/>
          <w:b/>
          <w:bCs/>
        </w:rPr>
        <w:t>------------</w:t>
      </w:r>
      <w:r>
        <w:rPr>
          <w:rFonts w:cstheme="minorHAnsi"/>
          <w:b/>
          <w:bCs/>
        </w:rPr>
        <w:t>--------</w:t>
      </w:r>
      <w:r w:rsidRPr="00FB3AF7">
        <w:rPr>
          <w:rFonts w:cstheme="minorHAnsi"/>
          <w:b/>
          <w:bCs/>
        </w:rPr>
        <w:t>--------------------------------------------------------------------------------------------</w:t>
      </w:r>
      <w:r>
        <w:rPr>
          <w:rFonts w:cstheme="minorHAnsi"/>
          <w:b/>
          <w:bCs/>
        </w:rPr>
        <w:t>----</w:t>
      </w:r>
      <w:r w:rsidRPr="00FB3AF7">
        <w:rPr>
          <w:rFonts w:cstheme="minorHAnsi"/>
          <w:b/>
          <w:bCs/>
        </w:rPr>
        <w:t>-----------------</w:t>
      </w:r>
      <w:r w:rsidRPr="009943E4">
        <w:rPr>
          <w:b/>
          <w:sz w:val="24"/>
          <w:szCs w:val="24"/>
        </w:rPr>
        <w:t xml:space="preserve"> </w:t>
      </w:r>
      <w:bookmarkStart w:id="1" w:name="_Hlk194408601"/>
      <w:r w:rsidRPr="009943E4">
        <w:rPr>
          <w:b/>
          <w:sz w:val="36"/>
          <w:szCs w:val="36"/>
        </w:rPr>
        <w:t>Re-examining Market Power in Australian Domestic Meat Markets, 1970-2021</w:t>
      </w:r>
      <w:bookmarkEnd w:id="1"/>
      <w:r w:rsidRPr="00FB3AF7">
        <w:rPr>
          <w:rStyle w:val="FootnoteReference"/>
          <w:rFonts w:ascii="Calibri" w:hAnsi="Calibri" w:cs="Calibri"/>
          <w:b/>
          <w:bCs/>
          <w:sz w:val="36"/>
          <w:szCs w:val="36"/>
        </w:rPr>
        <w:footnoteReference w:id="2"/>
      </w:r>
    </w:p>
    <w:p w14:paraId="1963845D" w14:textId="77777777" w:rsidR="009943E4" w:rsidRPr="001D38EA" w:rsidRDefault="009943E4" w:rsidP="009943E4">
      <w:pPr>
        <w:jc w:val="center"/>
        <w:rPr>
          <w:rFonts w:ascii="Calibri" w:hAnsi="Calibri" w:cs="Calibri"/>
          <w:b/>
          <w:bCs/>
          <w:sz w:val="28"/>
          <w:szCs w:val="28"/>
        </w:rPr>
      </w:pPr>
    </w:p>
    <w:p w14:paraId="2B6DAEBB" w14:textId="0DFB50A3" w:rsidR="009943E4" w:rsidRPr="00EF51EC" w:rsidRDefault="009943E4" w:rsidP="009943E4">
      <w:pPr>
        <w:jc w:val="center"/>
        <w:rPr>
          <w:rFonts w:ascii="Calibri" w:hAnsi="Calibri" w:cs="Calibri"/>
          <w:sz w:val="24"/>
          <w:szCs w:val="24"/>
          <w:vertAlign w:val="superscript"/>
        </w:rPr>
      </w:pPr>
      <w:bookmarkStart w:id="2" w:name="_Hlk194408574"/>
      <w:r w:rsidRPr="009943E4">
        <w:rPr>
          <w:rFonts w:ascii="Calibri" w:hAnsi="Calibri" w:cs="Calibri"/>
          <w:sz w:val="24"/>
          <w:szCs w:val="24"/>
        </w:rPr>
        <w:t>Garry Griffith</w:t>
      </w:r>
      <w:r w:rsidR="00EF51EC">
        <w:rPr>
          <w:rFonts w:ascii="Calibri" w:hAnsi="Calibri" w:cs="Calibri"/>
          <w:sz w:val="24"/>
          <w:szCs w:val="24"/>
          <w:vertAlign w:val="superscript"/>
        </w:rPr>
        <w:t>a</w:t>
      </w:r>
      <w:r w:rsidRPr="009943E4">
        <w:rPr>
          <w:rFonts w:ascii="Calibri" w:hAnsi="Calibri" w:cs="Calibri"/>
          <w:sz w:val="24"/>
          <w:szCs w:val="24"/>
        </w:rPr>
        <w:t>, Selwyn Heilbron</w:t>
      </w:r>
      <w:r w:rsidR="00EF51EC">
        <w:rPr>
          <w:rFonts w:ascii="Calibri" w:hAnsi="Calibri" w:cs="Calibri"/>
          <w:sz w:val="24"/>
          <w:szCs w:val="24"/>
          <w:vertAlign w:val="superscript"/>
        </w:rPr>
        <w:t>ab</w:t>
      </w:r>
      <w:r w:rsidRPr="009943E4">
        <w:rPr>
          <w:rFonts w:ascii="Calibri" w:hAnsi="Calibri" w:cs="Calibri"/>
          <w:sz w:val="24"/>
          <w:szCs w:val="24"/>
        </w:rPr>
        <w:t xml:space="preserve"> and Chinthani Rathnayake</w:t>
      </w:r>
      <w:r w:rsidR="00EF51EC">
        <w:rPr>
          <w:rFonts w:ascii="Calibri" w:hAnsi="Calibri" w:cs="Calibri"/>
          <w:sz w:val="24"/>
          <w:szCs w:val="24"/>
          <w:vertAlign w:val="superscript"/>
        </w:rPr>
        <w:t>a</w:t>
      </w:r>
    </w:p>
    <w:bookmarkEnd w:id="2"/>
    <w:p w14:paraId="3CB2C7B2" w14:textId="77777777" w:rsidR="009943E4" w:rsidRDefault="009943E4" w:rsidP="009943E4">
      <w:pPr>
        <w:jc w:val="both"/>
        <w:rPr>
          <w:rFonts w:ascii="Calibri" w:hAnsi="Calibri" w:cs="Calibri"/>
          <w:szCs w:val="20"/>
        </w:rPr>
      </w:pPr>
    </w:p>
    <w:p w14:paraId="29D50896" w14:textId="325DAA17" w:rsidR="009943E4" w:rsidRDefault="00EF51EC" w:rsidP="009943E4">
      <w:pPr>
        <w:jc w:val="both"/>
        <w:rPr>
          <w:rFonts w:ascii="Calibri" w:hAnsi="Calibri" w:cs="Calibri"/>
          <w:sz w:val="20"/>
          <w:szCs w:val="20"/>
        </w:rPr>
      </w:pPr>
      <w:r>
        <w:rPr>
          <w:rFonts w:ascii="Calibri" w:hAnsi="Calibri" w:cs="Calibri"/>
          <w:sz w:val="20"/>
          <w:szCs w:val="20"/>
          <w:vertAlign w:val="superscript"/>
        </w:rPr>
        <w:t xml:space="preserve">a </w:t>
      </w:r>
      <w:r w:rsidR="009943E4" w:rsidRPr="009943E4">
        <w:rPr>
          <w:rFonts w:ascii="Calibri" w:hAnsi="Calibri" w:cs="Calibri"/>
          <w:sz w:val="20"/>
          <w:szCs w:val="20"/>
        </w:rPr>
        <w:t>School of Agriculture, Food and Ecosystem Sciences, University of Melbourne</w:t>
      </w:r>
    </w:p>
    <w:p w14:paraId="634EA618" w14:textId="727C3AAD" w:rsidR="00EF51EC" w:rsidRPr="00EF51EC" w:rsidRDefault="00EF51EC" w:rsidP="009943E4">
      <w:pPr>
        <w:jc w:val="both"/>
        <w:rPr>
          <w:rFonts w:ascii="Calibri" w:hAnsi="Calibri" w:cs="Calibri"/>
          <w:sz w:val="20"/>
          <w:szCs w:val="20"/>
        </w:rPr>
      </w:pPr>
      <w:r>
        <w:rPr>
          <w:rFonts w:ascii="Calibri" w:hAnsi="Calibri" w:cs="Calibri"/>
          <w:sz w:val="20"/>
          <w:szCs w:val="20"/>
          <w:vertAlign w:val="superscript"/>
        </w:rPr>
        <w:t>b</w:t>
      </w:r>
      <w:r>
        <w:rPr>
          <w:rFonts w:ascii="Calibri" w:hAnsi="Calibri" w:cs="Calibri"/>
          <w:sz w:val="20"/>
          <w:szCs w:val="20"/>
        </w:rPr>
        <w:t xml:space="preserve"> SG Heilbron Economics and Policy Consulting</w:t>
      </w:r>
    </w:p>
    <w:p w14:paraId="04CD460B" w14:textId="5CFF330A" w:rsidR="006D6347" w:rsidRPr="009943E4" w:rsidRDefault="009943E4" w:rsidP="009943E4">
      <w:pPr>
        <w:jc w:val="center"/>
        <w:rPr>
          <w:rFonts w:eastAsia="Calibri" w:cs="Calibri"/>
          <w:b/>
          <w:bCs/>
          <w:sz w:val="24"/>
          <w:szCs w:val="24"/>
        </w:rPr>
      </w:pPr>
      <w:r w:rsidRPr="009943E4">
        <w:rPr>
          <w:rFonts w:ascii="Calibri" w:hAnsi="Calibri" w:cs="Calibri"/>
          <w:b/>
          <w:bCs/>
          <w:szCs w:val="20"/>
        </w:rPr>
        <w:t>-------------------------------------------------------------------------------------------------------------------------------------</w:t>
      </w:r>
    </w:p>
    <w:p w14:paraId="76EE4801" w14:textId="77777777" w:rsidR="006D6347" w:rsidRPr="00D907AB" w:rsidRDefault="006D6347" w:rsidP="006D6347">
      <w:pPr>
        <w:jc w:val="both"/>
        <w:rPr>
          <w:rFonts w:cs="Arial"/>
          <w:b/>
          <w:sz w:val="24"/>
          <w:szCs w:val="24"/>
        </w:rPr>
      </w:pPr>
    </w:p>
    <w:p w14:paraId="3C0FDE2F" w14:textId="77777777" w:rsidR="004806F6" w:rsidRPr="006D6347" w:rsidRDefault="00C61C20" w:rsidP="00C61C20">
      <w:pPr>
        <w:pStyle w:val="Heading1"/>
        <w:tabs>
          <w:tab w:val="left" w:pos="432"/>
        </w:tabs>
        <w:ind w:left="0" w:firstLine="0"/>
        <w:jc w:val="both"/>
        <w:rPr>
          <w:rFonts w:asciiTheme="minorHAnsi" w:hAnsiTheme="minorHAnsi"/>
          <w:b/>
          <w:sz w:val="24"/>
          <w:szCs w:val="24"/>
        </w:rPr>
      </w:pPr>
      <w:r w:rsidRPr="006D6347">
        <w:rPr>
          <w:rFonts w:asciiTheme="minorHAnsi" w:hAnsiTheme="minorHAnsi"/>
          <w:b/>
          <w:sz w:val="24"/>
          <w:szCs w:val="24"/>
        </w:rPr>
        <w:t>A</w:t>
      </w:r>
      <w:r w:rsidR="00363ED8" w:rsidRPr="006D6347">
        <w:rPr>
          <w:rFonts w:asciiTheme="minorHAnsi" w:hAnsiTheme="minorHAnsi"/>
          <w:b/>
          <w:sz w:val="24"/>
          <w:szCs w:val="24"/>
        </w:rPr>
        <w:t>bstract</w:t>
      </w:r>
    </w:p>
    <w:p w14:paraId="47CB83DF" w14:textId="77777777" w:rsidR="00C61C20" w:rsidRPr="00661BD2" w:rsidRDefault="00C61C20" w:rsidP="00C61C20">
      <w:pPr>
        <w:pStyle w:val="Heading1"/>
        <w:tabs>
          <w:tab w:val="left" w:pos="432"/>
        </w:tabs>
        <w:ind w:left="0" w:firstLine="0"/>
        <w:jc w:val="both"/>
        <w:rPr>
          <w:rFonts w:asciiTheme="minorHAnsi" w:hAnsiTheme="minorHAnsi"/>
          <w:sz w:val="22"/>
          <w:szCs w:val="22"/>
        </w:rPr>
      </w:pPr>
    </w:p>
    <w:p w14:paraId="658ED0D6" w14:textId="73D9BF9E" w:rsidR="004806F6" w:rsidRDefault="00A976EA" w:rsidP="00661BD2">
      <w:pPr>
        <w:pStyle w:val="BodyText"/>
        <w:ind w:left="0"/>
        <w:jc w:val="both"/>
        <w:rPr>
          <w:rFonts w:asciiTheme="minorHAnsi" w:hAnsiTheme="minorHAnsi"/>
          <w:sz w:val="22"/>
          <w:szCs w:val="22"/>
        </w:rPr>
      </w:pPr>
      <w:r>
        <w:rPr>
          <w:rFonts w:asciiTheme="minorHAnsi" w:hAnsiTheme="minorHAnsi"/>
          <w:sz w:val="22"/>
          <w:szCs w:val="22"/>
        </w:rPr>
        <w:t>Parliamentarians, the rural media and t</w:t>
      </w:r>
      <w:r w:rsidR="00363ED8" w:rsidRPr="00A976EA">
        <w:rPr>
          <w:rFonts w:asciiTheme="minorHAnsi" w:hAnsiTheme="minorHAnsi"/>
          <w:sz w:val="22"/>
          <w:szCs w:val="22"/>
        </w:rPr>
        <w:t xml:space="preserve">he Australian Competition and Consumer Commission </w:t>
      </w:r>
      <w:r w:rsidR="00D907AB">
        <w:rPr>
          <w:rFonts w:asciiTheme="minorHAnsi" w:hAnsiTheme="minorHAnsi"/>
          <w:sz w:val="22"/>
          <w:szCs w:val="22"/>
        </w:rPr>
        <w:t xml:space="preserve">(ACCC) </w:t>
      </w:r>
      <w:r w:rsidR="00363ED8" w:rsidRPr="00A976EA">
        <w:rPr>
          <w:rFonts w:asciiTheme="minorHAnsi" w:hAnsiTheme="minorHAnsi"/>
          <w:sz w:val="22"/>
          <w:szCs w:val="22"/>
        </w:rPr>
        <w:t>and other</w:t>
      </w:r>
      <w:r w:rsidR="00363ED8" w:rsidRPr="00A976EA">
        <w:rPr>
          <w:rFonts w:asciiTheme="minorHAnsi" w:hAnsiTheme="minorHAnsi"/>
          <w:spacing w:val="23"/>
          <w:sz w:val="22"/>
          <w:szCs w:val="22"/>
        </w:rPr>
        <w:t xml:space="preserve"> </w:t>
      </w:r>
      <w:r w:rsidR="00363ED8" w:rsidRPr="00A976EA">
        <w:rPr>
          <w:rFonts w:asciiTheme="minorHAnsi" w:hAnsiTheme="minorHAnsi"/>
          <w:sz w:val="22"/>
          <w:szCs w:val="22"/>
        </w:rPr>
        <w:t>government</w:t>
      </w:r>
      <w:r w:rsidR="00363ED8" w:rsidRPr="00A976EA">
        <w:rPr>
          <w:rFonts w:asciiTheme="minorHAnsi" w:hAnsiTheme="minorHAnsi"/>
          <w:w w:val="99"/>
          <w:sz w:val="22"/>
          <w:szCs w:val="22"/>
        </w:rPr>
        <w:t xml:space="preserve"> </w:t>
      </w:r>
      <w:r w:rsidR="00363ED8" w:rsidRPr="00A976EA">
        <w:rPr>
          <w:rFonts w:asciiTheme="minorHAnsi" w:hAnsiTheme="minorHAnsi"/>
          <w:sz w:val="22"/>
          <w:szCs w:val="22"/>
        </w:rPr>
        <w:t xml:space="preserve">bodies have continued to express their interest in competitiveness </w:t>
      </w:r>
      <w:r>
        <w:rPr>
          <w:rFonts w:asciiTheme="minorHAnsi" w:hAnsiTheme="minorHAnsi"/>
          <w:sz w:val="22"/>
          <w:szCs w:val="22"/>
        </w:rPr>
        <w:t xml:space="preserve">in the </w:t>
      </w:r>
      <w:r w:rsidR="003A0F15">
        <w:rPr>
          <w:rFonts w:asciiTheme="minorHAnsi" w:hAnsiTheme="minorHAnsi"/>
          <w:sz w:val="22"/>
          <w:szCs w:val="22"/>
        </w:rPr>
        <w:t xml:space="preserve">Australian </w:t>
      </w:r>
      <w:r>
        <w:rPr>
          <w:rFonts w:asciiTheme="minorHAnsi" w:hAnsiTheme="minorHAnsi"/>
          <w:sz w:val="22"/>
          <w:szCs w:val="22"/>
        </w:rPr>
        <w:t xml:space="preserve">domestic meat industry </w:t>
      </w:r>
      <w:r w:rsidR="00363ED8" w:rsidRPr="00A976EA">
        <w:rPr>
          <w:rFonts w:asciiTheme="minorHAnsi" w:hAnsiTheme="minorHAnsi"/>
          <w:sz w:val="22"/>
          <w:szCs w:val="22"/>
        </w:rPr>
        <w:t>in the</w:t>
      </w:r>
      <w:r w:rsidR="00363ED8" w:rsidRPr="00A976EA">
        <w:rPr>
          <w:rFonts w:asciiTheme="minorHAnsi" w:hAnsiTheme="minorHAnsi"/>
          <w:spacing w:val="11"/>
          <w:sz w:val="22"/>
          <w:szCs w:val="22"/>
        </w:rPr>
        <w:t xml:space="preserve"> </w:t>
      </w:r>
      <w:r w:rsidR="00363ED8" w:rsidRPr="00A976EA">
        <w:rPr>
          <w:rFonts w:asciiTheme="minorHAnsi" w:hAnsiTheme="minorHAnsi"/>
          <w:sz w:val="22"/>
          <w:szCs w:val="22"/>
        </w:rPr>
        <w:t>form</w:t>
      </w:r>
      <w:r w:rsidR="00363ED8" w:rsidRPr="00A976EA">
        <w:rPr>
          <w:rFonts w:asciiTheme="minorHAnsi" w:hAnsiTheme="minorHAnsi"/>
          <w:w w:val="99"/>
          <w:sz w:val="22"/>
          <w:szCs w:val="22"/>
        </w:rPr>
        <w:t xml:space="preserve"> </w:t>
      </w:r>
      <w:r w:rsidR="00363ED8" w:rsidRPr="00A976EA">
        <w:rPr>
          <w:rFonts w:asciiTheme="minorHAnsi" w:hAnsiTheme="minorHAnsi"/>
          <w:sz w:val="22"/>
          <w:szCs w:val="22"/>
        </w:rPr>
        <w:t xml:space="preserve">of numerous reviews and legal proceedings. Using </w:t>
      </w:r>
      <w:r w:rsidR="00D02523" w:rsidRPr="00A976EA">
        <w:rPr>
          <w:rFonts w:asciiTheme="minorHAnsi" w:hAnsiTheme="minorHAnsi"/>
          <w:sz w:val="22"/>
          <w:szCs w:val="22"/>
        </w:rPr>
        <w:t>the</w:t>
      </w:r>
      <w:r w:rsidR="00363ED8" w:rsidRPr="00A976EA">
        <w:rPr>
          <w:rFonts w:asciiTheme="minorHAnsi" w:hAnsiTheme="minorHAnsi"/>
          <w:sz w:val="22"/>
          <w:szCs w:val="22"/>
        </w:rPr>
        <w:t xml:space="preserve"> New Empirical Industrial</w:t>
      </w:r>
      <w:r w:rsidR="00363ED8" w:rsidRPr="00A976EA">
        <w:rPr>
          <w:rFonts w:asciiTheme="minorHAnsi" w:hAnsiTheme="minorHAnsi"/>
          <w:spacing w:val="-2"/>
          <w:sz w:val="22"/>
          <w:szCs w:val="22"/>
        </w:rPr>
        <w:t xml:space="preserve"> </w:t>
      </w:r>
      <w:proofErr w:type="spellStart"/>
      <w:r w:rsidR="00363ED8" w:rsidRPr="00A976EA">
        <w:rPr>
          <w:rFonts w:asciiTheme="minorHAnsi" w:hAnsiTheme="minorHAnsi"/>
          <w:sz w:val="22"/>
          <w:szCs w:val="22"/>
        </w:rPr>
        <w:t>Organisation</w:t>
      </w:r>
      <w:proofErr w:type="spellEnd"/>
      <w:r w:rsidR="00363ED8" w:rsidRPr="00A976EA">
        <w:rPr>
          <w:rFonts w:asciiTheme="minorHAnsi" w:hAnsiTheme="minorHAnsi"/>
          <w:sz w:val="22"/>
          <w:szCs w:val="22"/>
        </w:rPr>
        <w:t xml:space="preserve"> </w:t>
      </w:r>
      <w:r w:rsidR="003A0F15">
        <w:rPr>
          <w:rFonts w:asciiTheme="minorHAnsi" w:hAnsiTheme="minorHAnsi"/>
          <w:sz w:val="22"/>
          <w:szCs w:val="22"/>
        </w:rPr>
        <w:t xml:space="preserve">(NEIO) </w:t>
      </w:r>
      <w:r w:rsidR="006D6347" w:rsidRPr="00A976EA">
        <w:rPr>
          <w:rFonts w:asciiTheme="minorHAnsi" w:hAnsiTheme="minorHAnsi"/>
          <w:sz w:val="22"/>
          <w:szCs w:val="22"/>
        </w:rPr>
        <w:t>f</w:t>
      </w:r>
      <w:r w:rsidR="00363ED8" w:rsidRPr="00A976EA">
        <w:rPr>
          <w:rFonts w:asciiTheme="minorHAnsi" w:hAnsiTheme="minorHAnsi"/>
          <w:sz w:val="22"/>
          <w:szCs w:val="22"/>
        </w:rPr>
        <w:t>ramework, th</w:t>
      </w:r>
      <w:r w:rsidR="006D6347" w:rsidRPr="00A976EA">
        <w:rPr>
          <w:rFonts w:asciiTheme="minorHAnsi" w:hAnsiTheme="minorHAnsi"/>
          <w:sz w:val="22"/>
          <w:szCs w:val="22"/>
        </w:rPr>
        <w:t>is</w:t>
      </w:r>
      <w:r w:rsidR="00363ED8" w:rsidRPr="00A976EA">
        <w:rPr>
          <w:rFonts w:asciiTheme="minorHAnsi" w:hAnsiTheme="minorHAnsi"/>
          <w:sz w:val="22"/>
          <w:szCs w:val="22"/>
        </w:rPr>
        <w:t xml:space="preserve"> study </w:t>
      </w:r>
      <w:r w:rsidR="006D6347" w:rsidRPr="00A976EA">
        <w:rPr>
          <w:rFonts w:asciiTheme="minorHAnsi" w:hAnsiTheme="minorHAnsi"/>
          <w:sz w:val="22"/>
          <w:szCs w:val="22"/>
        </w:rPr>
        <w:t>re-</w:t>
      </w:r>
      <w:r w:rsidR="00363ED8" w:rsidRPr="00A976EA">
        <w:rPr>
          <w:rFonts w:asciiTheme="minorHAnsi" w:hAnsiTheme="minorHAnsi"/>
          <w:sz w:val="22"/>
          <w:szCs w:val="22"/>
        </w:rPr>
        <w:t>assesse</w:t>
      </w:r>
      <w:r w:rsidR="006D6347" w:rsidRPr="00A976EA">
        <w:rPr>
          <w:rFonts w:asciiTheme="minorHAnsi" w:hAnsiTheme="minorHAnsi"/>
          <w:sz w:val="22"/>
          <w:szCs w:val="22"/>
        </w:rPr>
        <w:t>s</w:t>
      </w:r>
      <w:r w:rsidR="00363ED8" w:rsidRPr="00A976EA">
        <w:rPr>
          <w:rFonts w:asciiTheme="minorHAnsi" w:hAnsiTheme="minorHAnsi"/>
          <w:spacing w:val="-3"/>
          <w:sz w:val="22"/>
          <w:szCs w:val="22"/>
        </w:rPr>
        <w:t xml:space="preserve"> </w:t>
      </w:r>
      <w:r w:rsidR="00363ED8" w:rsidRPr="00A976EA">
        <w:rPr>
          <w:rFonts w:asciiTheme="minorHAnsi" w:hAnsiTheme="minorHAnsi"/>
          <w:sz w:val="22"/>
          <w:szCs w:val="22"/>
        </w:rPr>
        <w:t>the</w:t>
      </w:r>
      <w:r w:rsidR="00363ED8" w:rsidRPr="00A976EA">
        <w:rPr>
          <w:rFonts w:asciiTheme="minorHAnsi" w:hAnsiTheme="minorHAnsi"/>
          <w:w w:val="99"/>
          <w:sz w:val="22"/>
          <w:szCs w:val="22"/>
        </w:rPr>
        <w:t xml:space="preserve"> </w:t>
      </w:r>
      <w:r w:rsidR="006D6347" w:rsidRPr="00A976EA">
        <w:rPr>
          <w:rFonts w:asciiTheme="minorHAnsi" w:hAnsiTheme="minorHAnsi"/>
          <w:w w:val="99"/>
          <w:sz w:val="22"/>
          <w:szCs w:val="22"/>
        </w:rPr>
        <w:t xml:space="preserve">question of whether there is any </w:t>
      </w:r>
      <w:r w:rsidR="00363ED8" w:rsidRPr="00A976EA">
        <w:rPr>
          <w:rFonts w:asciiTheme="minorHAnsi" w:hAnsiTheme="minorHAnsi"/>
          <w:sz w:val="22"/>
          <w:szCs w:val="22"/>
        </w:rPr>
        <w:t xml:space="preserve">market power </w:t>
      </w:r>
      <w:r w:rsidR="006D6347" w:rsidRPr="00A976EA">
        <w:rPr>
          <w:rFonts w:asciiTheme="minorHAnsi" w:hAnsiTheme="minorHAnsi"/>
          <w:sz w:val="22"/>
          <w:szCs w:val="22"/>
        </w:rPr>
        <w:t xml:space="preserve">present </w:t>
      </w:r>
      <w:r w:rsidR="00363ED8" w:rsidRPr="00A976EA">
        <w:rPr>
          <w:rFonts w:asciiTheme="minorHAnsi" w:hAnsiTheme="minorHAnsi"/>
          <w:sz w:val="22"/>
          <w:szCs w:val="22"/>
        </w:rPr>
        <w:t>in the domestic fresh beef, lamb</w:t>
      </w:r>
      <w:r w:rsidRPr="00A976EA">
        <w:rPr>
          <w:rFonts w:asciiTheme="minorHAnsi" w:hAnsiTheme="minorHAnsi"/>
          <w:sz w:val="22"/>
          <w:szCs w:val="22"/>
        </w:rPr>
        <w:t>,</w:t>
      </w:r>
      <w:r w:rsidR="00363ED8" w:rsidRPr="00A976EA">
        <w:rPr>
          <w:rFonts w:asciiTheme="minorHAnsi" w:hAnsiTheme="minorHAnsi"/>
          <w:sz w:val="22"/>
          <w:szCs w:val="22"/>
        </w:rPr>
        <w:t xml:space="preserve"> pork </w:t>
      </w:r>
      <w:r w:rsidRPr="00A976EA">
        <w:rPr>
          <w:rFonts w:asciiTheme="minorHAnsi" w:hAnsiTheme="minorHAnsi"/>
          <w:sz w:val="22"/>
          <w:szCs w:val="22"/>
        </w:rPr>
        <w:t xml:space="preserve">and </w:t>
      </w:r>
      <w:r>
        <w:rPr>
          <w:rFonts w:asciiTheme="minorHAnsi" w:hAnsiTheme="minorHAnsi"/>
          <w:sz w:val="22"/>
          <w:szCs w:val="22"/>
        </w:rPr>
        <w:t xml:space="preserve">chicken </w:t>
      </w:r>
      <w:r w:rsidR="00363ED8" w:rsidRPr="00A976EA">
        <w:rPr>
          <w:rFonts w:asciiTheme="minorHAnsi" w:hAnsiTheme="minorHAnsi"/>
          <w:sz w:val="22"/>
          <w:szCs w:val="22"/>
        </w:rPr>
        <w:t>markets</w:t>
      </w:r>
      <w:r w:rsidR="00363ED8" w:rsidRPr="00A976EA">
        <w:rPr>
          <w:rFonts w:asciiTheme="minorHAnsi" w:hAnsiTheme="minorHAnsi"/>
          <w:spacing w:val="-1"/>
          <w:sz w:val="22"/>
          <w:szCs w:val="22"/>
        </w:rPr>
        <w:t xml:space="preserve"> </w:t>
      </w:r>
      <w:r w:rsidR="00363ED8" w:rsidRPr="00A976EA">
        <w:rPr>
          <w:rFonts w:asciiTheme="minorHAnsi" w:hAnsiTheme="minorHAnsi"/>
          <w:sz w:val="22"/>
          <w:szCs w:val="22"/>
        </w:rPr>
        <w:t>within Australia</w:t>
      </w:r>
      <w:r w:rsidR="006F12FA" w:rsidRPr="00A976EA">
        <w:rPr>
          <w:rFonts w:asciiTheme="minorHAnsi" w:hAnsiTheme="minorHAnsi"/>
          <w:sz w:val="22"/>
          <w:szCs w:val="22"/>
        </w:rPr>
        <w:t xml:space="preserve">, using </w:t>
      </w:r>
      <w:r>
        <w:rPr>
          <w:rFonts w:asciiTheme="minorHAnsi" w:hAnsiTheme="minorHAnsi"/>
          <w:sz w:val="22"/>
          <w:szCs w:val="22"/>
        </w:rPr>
        <w:t xml:space="preserve">aggregate </w:t>
      </w:r>
      <w:r w:rsidR="006F12FA" w:rsidRPr="00A976EA">
        <w:rPr>
          <w:rFonts w:asciiTheme="minorHAnsi" w:hAnsiTheme="minorHAnsi"/>
          <w:sz w:val="22"/>
          <w:szCs w:val="22"/>
        </w:rPr>
        <w:t>data covering the period 197</w:t>
      </w:r>
      <w:r w:rsidR="007A036E">
        <w:rPr>
          <w:rFonts w:asciiTheme="minorHAnsi" w:hAnsiTheme="minorHAnsi"/>
          <w:sz w:val="22"/>
          <w:szCs w:val="22"/>
        </w:rPr>
        <w:t>0</w:t>
      </w:r>
      <w:r w:rsidR="006F12FA" w:rsidRPr="00A976EA">
        <w:rPr>
          <w:rFonts w:asciiTheme="minorHAnsi" w:hAnsiTheme="minorHAnsi"/>
          <w:sz w:val="22"/>
          <w:szCs w:val="22"/>
        </w:rPr>
        <w:t>-20</w:t>
      </w:r>
      <w:r w:rsidRPr="00A976EA">
        <w:rPr>
          <w:rFonts w:asciiTheme="minorHAnsi" w:hAnsiTheme="minorHAnsi"/>
          <w:sz w:val="22"/>
          <w:szCs w:val="22"/>
        </w:rPr>
        <w:t>21</w:t>
      </w:r>
      <w:r w:rsidR="00363ED8" w:rsidRPr="00A976EA">
        <w:rPr>
          <w:rFonts w:asciiTheme="minorHAnsi" w:hAnsiTheme="minorHAnsi"/>
          <w:sz w:val="22"/>
          <w:szCs w:val="22"/>
        </w:rPr>
        <w:t>. Overall, the study concludes th</w:t>
      </w:r>
      <w:r w:rsidR="00B964FF" w:rsidRPr="00A976EA">
        <w:rPr>
          <w:rFonts w:asciiTheme="minorHAnsi" w:hAnsiTheme="minorHAnsi"/>
          <w:sz w:val="22"/>
          <w:szCs w:val="22"/>
        </w:rPr>
        <w:t>at</w:t>
      </w:r>
      <w:r w:rsidR="009167D6" w:rsidRPr="00A976EA">
        <w:rPr>
          <w:rFonts w:asciiTheme="minorHAnsi" w:hAnsiTheme="minorHAnsi"/>
          <w:sz w:val="22"/>
          <w:szCs w:val="22"/>
        </w:rPr>
        <w:t xml:space="preserve"> </w:t>
      </w:r>
      <w:r w:rsidR="00D907AB" w:rsidRPr="00A976EA">
        <w:rPr>
          <w:rFonts w:asciiTheme="minorHAnsi" w:hAnsiTheme="minorHAnsi"/>
          <w:sz w:val="22"/>
          <w:szCs w:val="22"/>
        </w:rPr>
        <w:t>there is no evidence of market power in either the input</w:t>
      </w:r>
      <w:r w:rsidR="00D907AB" w:rsidRPr="00A976EA">
        <w:rPr>
          <w:rFonts w:asciiTheme="minorHAnsi" w:hAnsiTheme="minorHAnsi"/>
          <w:spacing w:val="-2"/>
          <w:sz w:val="22"/>
          <w:szCs w:val="22"/>
        </w:rPr>
        <w:t xml:space="preserve"> </w:t>
      </w:r>
      <w:r w:rsidR="00D907AB" w:rsidRPr="00A976EA">
        <w:rPr>
          <w:rFonts w:asciiTheme="minorHAnsi" w:hAnsiTheme="minorHAnsi"/>
          <w:sz w:val="22"/>
          <w:szCs w:val="22"/>
        </w:rPr>
        <w:t>or</w:t>
      </w:r>
      <w:r w:rsidR="00D907AB" w:rsidRPr="00A976EA">
        <w:rPr>
          <w:rFonts w:asciiTheme="minorHAnsi" w:hAnsiTheme="minorHAnsi"/>
          <w:w w:val="99"/>
          <w:sz w:val="22"/>
          <w:szCs w:val="22"/>
        </w:rPr>
        <w:t xml:space="preserve"> </w:t>
      </w:r>
      <w:r w:rsidR="00D907AB" w:rsidRPr="00A976EA">
        <w:rPr>
          <w:rFonts w:asciiTheme="minorHAnsi" w:hAnsiTheme="minorHAnsi"/>
          <w:sz w:val="22"/>
          <w:szCs w:val="22"/>
        </w:rPr>
        <w:t xml:space="preserve">output markets of beef and lamb, </w:t>
      </w:r>
      <w:r w:rsidR="00D907AB">
        <w:rPr>
          <w:rFonts w:asciiTheme="minorHAnsi" w:hAnsiTheme="minorHAnsi"/>
          <w:sz w:val="22"/>
          <w:szCs w:val="22"/>
        </w:rPr>
        <w:t xml:space="preserve">that </w:t>
      </w:r>
      <w:r w:rsidR="009167D6" w:rsidRPr="00A976EA">
        <w:rPr>
          <w:rFonts w:asciiTheme="minorHAnsi" w:hAnsiTheme="minorHAnsi"/>
          <w:sz w:val="22"/>
          <w:szCs w:val="22"/>
        </w:rPr>
        <w:t>there is consistent evidence of market power in the fresh pork input market</w:t>
      </w:r>
      <w:r w:rsidRPr="00A976EA">
        <w:rPr>
          <w:rFonts w:asciiTheme="minorHAnsi" w:hAnsiTheme="minorHAnsi"/>
          <w:sz w:val="22"/>
          <w:szCs w:val="22"/>
        </w:rPr>
        <w:t xml:space="preserve"> and </w:t>
      </w:r>
      <w:r w:rsidR="00D907AB">
        <w:rPr>
          <w:rFonts w:asciiTheme="minorHAnsi" w:hAnsiTheme="minorHAnsi"/>
          <w:sz w:val="22"/>
          <w:szCs w:val="22"/>
        </w:rPr>
        <w:t xml:space="preserve">that there is </w:t>
      </w:r>
      <w:r w:rsidRPr="00A976EA">
        <w:rPr>
          <w:rFonts w:asciiTheme="minorHAnsi" w:hAnsiTheme="minorHAnsi"/>
          <w:sz w:val="22"/>
          <w:szCs w:val="22"/>
        </w:rPr>
        <w:t>some weak evidence of market power in the chicken input market</w:t>
      </w:r>
      <w:r w:rsidR="00B964FF" w:rsidRPr="00A976EA">
        <w:rPr>
          <w:rFonts w:asciiTheme="minorHAnsi" w:hAnsiTheme="minorHAnsi"/>
          <w:sz w:val="22"/>
          <w:szCs w:val="22"/>
        </w:rPr>
        <w:t>. H</w:t>
      </w:r>
      <w:r w:rsidR="009167D6" w:rsidRPr="00A976EA">
        <w:rPr>
          <w:rFonts w:asciiTheme="minorHAnsi" w:hAnsiTheme="minorHAnsi"/>
          <w:sz w:val="22"/>
          <w:szCs w:val="22"/>
        </w:rPr>
        <w:t>owever</w:t>
      </w:r>
      <w:r w:rsidR="00211FC1" w:rsidRPr="00A976EA">
        <w:rPr>
          <w:rFonts w:asciiTheme="minorHAnsi" w:hAnsiTheme="minorHAnsi"/>
          <w:sz w:val="22"/>
          <w:szCs w:val="22"/>
        </w:rPr>
        <w:t>,</w:t>
      </w:r>
      <w:r w:rsidR="009167D6" w:rsidRPr="00A976EA">
        <w:rPr>
          <w:rFonts w:asciiTheme="minorHAnsi" w:hAnsiTheme="minorHAnsi"/>
          <w:sz w:val="22"/>
          <w:szCs w:val="22"/>
        </w:rPr>
        <w:t xml:space="preserve"> </w:t>
      </w:r>
      <w:r w:rsidR="00D907AB">
        <w:rPr>
          <w:rFonts w:asciiTheme="minorHAnsi" w:hAnsiTheme="minorHAnsi"/>
          <w:sz w:val="22"/>
          <w:szCs w:val="22"/>
        </w:rPr>
        <w:t>there is no evidence of market power in</w:t>
      </w:r>
      <w:r w:rsidR="009167D6" w:rsidRPr="00A976EA">
        <w:rPr>
          <w:rFonts w:asciiTheme="minorHAnsi" w:hAnsiTheme="minorHAnsi"/>
          <w:sz w:val="22"/>
          <w:szCs w:val="22"/>
        </w:rPr>
        <w:t xml:space="preserve"> the pork </w:t>
      </w:r>
      <w:r w:rsidRPr="00A976EA">
        <w:rPr>
          <w:rFonts w:asciiTheme="minorHAnsi" w:hAnsiTheme="minorHAnsi"/>
          <w:sz w:val="22"/>
          <w:szCs w:val="22"/>
        </w:rPr>
        <w:t xml:space="preserve">or </w:t>
      </w:r>
      <w:r w:rsidR="006A5564">
        <w:rPr>
          <w:rFonts w:asciiTheme="minorHAnsi" w:hAnsiTheme="minorHAnsi"/>
          <w:sz w:val="22"/>
          <w:szCs w:val="22"/>
        </w:rPr>
        <w:t xml:space="preserve">chicken </w:t>
      </w:r>
      <w:r w:rsidR="009167D6" w:rsidRPr="00A976EA">
        <w:rPr>
          <w:rFonts w:asciiTheme="minorHAnsi" w:hAnsiTheme="minorHAnsi"/>
          <w:sz w:val="22"/>
          <w:szCs w:val="22"/>
        </w:rPr>
        <w:t>output market</w:t>
      </w:r>
      <w:r w:rsidRPr="00A976EA">
        <w:rPr>
          <w:rFonts w:asciiTheme="minorHAnsi" w:hAnsiTheme="minorHAnsi"/>
          <w:sz w:val="22"/>
          <w:szCs w:val="22"/>
        </w:rPr>
        <w:t>s</w:t>
      </w:r>
      <w:r w:rsidR="009167D6" w:rsidRPr="00A976EA">
        <w:rPr>
          <w:rFonts w:asciiTheme="minorHAnsi" w:hAnsiTheme="minorHAnsi"/>
          <w:sz w:val="22"/>
          <w:szCs w:val="22"/>
        </w:rPr>
        <w:t xml:space="preserve">. </w:t>
      </w:r>
    </w:p>
    <w:p w14:paraId="32EE7EE1" w14:textId="77777777" w:rsidR="006D6347" w:rsidRDefault="006D6347" w:rsidP="00661BD2">
      <w:pPr>
        <w:pStyle w:val="BodyText"/>
        <w:ind w:left="0"/>
        <w:jc w:val="both"/>
        <w:rPr>
          <w:rFonts w:asciiTheme="minorHAnsi" w:hAnsiTheme="minorHAnsi"/>
          <w:sz w:val="22"/>
          <w:szCs w:val="22"/>
        </w:rPr>
      </w:pPr>
    </w:p>
    <w:p w14:paraId="02864F1D" w14:textId="654439BB" w:rsidR="006D6347" w:rsidRDefault="006D6347" w:rsidP="00661BD2">
      <w:pPr>
        <w:pStyle w:val="BodyText"/>
        <w:ind w:left="0"/>
        <w:jc w:val="both"/>
        <w:rPr>
          <w:rFonts w:asciiTheme="minorHAnsi" w:hAnsiTheme="minorHAnsi"/>
          <w:sz w:val="22"/>
          <w:szCs w:val="22"/>
        </w:rPr>
      </w:pPr>
      <w:r w:rsidRPr="006D6347">
        <w:rPr>
          <w:rFonts w:asciiTheme="minorHAnsi" w:hAnsiTheme="minorHAnsi"/>
          <w:b/>
          <w:i/>
          <w:sz w:val="22"/>
          <w:szCs w:val="22"/>
        </w:rPr>
        <w:t>Key words</w:t>
      </w:r>
      <w:r>
        <w:rPr>
          <w:rFonts w:asciiTheme="minorHAnsi" w:hAnsiTheme="minorHAnsi"/>
          <w:sz w:val="22"/>
          <w:szCs w:val="22"/>
        </w:rPr>
        <w:t>:</w:t>
      </w:r>
      <w:r w:rsidR="006117F0">
        <w:rPr>
          <w:rFonts w:asciiTheme="minorHAnsi" w:hAnsiTheme="minorHAnsi"/>
          <w:sz w:val="22"/>
          <w:szCs w:val="22"/>
        </w:rPr>
        <w:t xml:space="preserve"> market power, meat industry, NEIO, </w:t>
      </w:r>
      <w:r w:rsidR="00B35477">
        <w:rPr>
          <w:rFonts w:asciiTheme="minorHAnsi" w:hAnsiTheme="minorHAnsi"/>
          <w:sz w:val="22"/>
          <w:szCs w:val="22"/>
        </w:rPr>
        <w:t>olig</w:t>
      </w:r>
      <w:r w:rsidR="006117F0">
        <w:rPr>
          <w:rFonts w:asciiTheme="minorHAnsi" w:hAnsiTheme="minorHAnsi"/>
          <w:sz w:val="22"/>
          <w:szCs w:val="22"/>
        </w:rPr>
        <w:t xml:space="preserve">opsony, </w:t>
      </w:r>
      <w:r w:rsidR="00B35477">
        <w:rPr>
          <w:rFonts w:asciiTheme="minorHAnsi" w:hAnsiTheme="minorHAnsi"/>
          <w:sz w:val="22"/>
          <w:szCs w:val="22"/>
        </w:rPr>
        <w:t>olig</w:t>
      </w:r>
      <w:r w:rsidR="006117F0">
        <w:rPr>
          <w:rFonts w:asciiTheme="minorHAnsi" w:hAnsiTheme="minorHAnsi"/>
          <w:sz w:val="22"/>
          <w:szCs w:val="22"/>
        </w:rPr>
        <w:t>opoly</w:t>
      </w:r>
    </w:p>
    <w:p w14:paraId="4251F075" w14:textId="77777777" w:rsidR="00EF51EC" w:rsidRDefault="00EF51EC" w:rsidP="00661BD2">
      <w:pPr>
        <w:pStyle w:val="BodyText"/>
        <w:ind w:left="0"/>
        <w:jc w:val="both"/>
        <w:rPr>
          <w:rFonts w:asciiTheme="minorHAnsi" w:hAnsiTheme="minorHAnsi"/>
          <w:sz w:val="22"/>
          <w:szCs w:val="22"/>
        </w:rPr>
      </w:pPr>
    </w:p>
    <w:p w14:paraId="2A115F9D" w14:textId="77777777" w:rsidR="00EF51EC" w:rsidRPr="00EF51EC" w:rsidRDefault="00EF51EC" w:rsidP="00EF51EC">
      <w:pPr>
        <w:pStyle w:val="BodyText"/>
        <w:ind w:left="0"/>
        <w:rPr>
          <w:b/>
          <w:bCs/>
        </w:rPr>
      </w:pPr>
      <w:r w:rsidRPr="00EF51EC">
        <w:rPr>
          <w:b/>
          <w:bCs/>
        </w:rPr>
        <w:t>Introduction</w:t>
      </w:r>
    </w:p>
    <w:p w14:paraId="778DCA2C" w14:textId="77777777" w:rsidR="00EF51EC" w:rsidRPr="00EF51EC" w:rsidRDefault="00EF51EC" w:rsidP="00EF51EC">
      <w:pPr>
        <w:pStyle w:val="BodyText"/>
        <w:rPr>
          <w:b/>
          <w:bCs/>
        </w:rPr>
      </w:pPr>
    </w:p>
    <w:p w14:paraId="1591E669" w14:textId="0398FD7F" w:rsidR="00EF51EC" w:rsidRPr="007A036E" w:rsidRDefault="00EF51EC" w:rsidP="00EF51EC">
      <w:pPr>
        <w:pStyle w:val="BodyText"/>
        <w:ind w:left="0"/>
        <w:jc w:val="both"/>
        <w:rPr>
          <w:sz w:val="22"/>
          <w:szCs w:val="22"/>
        </w:rPr>
      </w:pPr>
      <w:r w:rsidRPr="007A036E">
        <w:rPr>
          <w:sz w:val="22"/>
          <w:szCs w:val="22"/>
        </w:rPr>
        <w:t xml:space="preserve">Over almost 30 years, livestock producers, the rural media, parliamentarians, the competition regulator (Australian Competition and Consumer Commission (ACCC)) and other government bodies have expressed their interest in competitiveness in the domestic meat industry. There </w:t>
      </w:r>
      <w:r w:rsidR="007A036E">
        <w:rPr>
          <w:sz w:val="22"/>
          <w:szCs w:val="22"/>
        </w:rPr>
        <w:t>h</w:t>
      </w:r>
      <w:r w:rsidRPr="007A036E">
        <w:rPr>
          <w:sz w:val="22"/>
          <w:szCs w:val="22"/>
        </w:rPr>
        <w:t xml:space="preserve">as </w:t>
      </w:r>
      <w:r w:rsidR="007A036E">
        <w:rPr>
          <w:sz w:val="22"/>
          <w:szCs w:val="22"/>
        </w:rPr>
        <w:t xml:space="preserve">been </w:t>
      </w:r>
      <w:r w:rsidRPr="007A036E">
        <w:rPr>
          <w:sz w:val="22"/>
          <w:szCs w:val="22"/>
        </w:rPr>
        <w:t xml:space="preserve">the report of the Joint Select Committee on the Retailing Sector (Australian Parliament, 1999), and various enquiries by the ACCC (see for example, ACCC, 2002, 2007, 2008a, 2016, 2017) and the Parliament (Senate, 2017). That concern has again come to the fore in recent years with the rapid increases then decreases in prices for </w:t>
      </w:r>
      <w:r w:rsidR="00C75A61">
        <w:rPr>
          <w:sz w:val="22"/>
          <w:szCs w:val="22"/>
        </w:rPr>
        <w:t xml:space="preserve">beef? </w:t>
      </w:r>
      <w:r w:rsidRPr="007A036E">
        <w:rPr>
          <w:sz w:val="22"/>
          <w:szCs w:val="22"/>
        </w:rPr>
        <w:t xml:space="preserve">and lamb (ACCC, 2024a, 2024b, 2025).  </w:t>
      </w:r>
      <w:proofErr w:type="gramStart"/>
      <w:r w:rsidRPr="007A036E">
        <w:rPr>
          <w:sz w:val="22"/>
          <w:szCs w:val="22"/>
        </w:rPr>
        <w:t>A number of</w:t>
      </w:r>
      <w:proofErr w:type="gramEnd"/>
      <w:r w:rsidRPr="007A036E">
        <w:rPr>
          <w:sz w:val="22"/>
          <w:szCs w:val="22"/>
        </w:rPr>
        <w:t xml:space="preserve"> academic studies have been conducted to provide evidence for such reports (see for example, Hyde and Perloff, 1996; Griffith, 2000; Chung and Griffith, 2009; Hilli and Griffith, 2022; Dhakal and Griffith, 2023), but the </w:t>
      </w:r>
      <w:r w:rsidR="00AA5088">
        <w:rPr>
          <w:sz w:val="22"/>
          <w:szCs w:val="22"/>
        </w:rPr>
        <w:t xml:space="preserve">two most </w:t>
      </w:r>
      <w:r w:rsidRPr="007A036E">
        <w:rPr>
          <w:sz w:val="22"/>
          <w:szCs w:val="22"/>
        </w:rPr>
        <w:t xml:space="preserve">recent reports have only examined parts of the meat market. </w:t>
      </w:r>
    </w:p>
    <w:p w14:paraId="6C5D194B" w14:textId="637630BB" w:rsidR="00EF51EC" w:rsidRPr="00AA5088" w:rsidRDefault="00EF51EC" w:rsidP="00EF51EC">
      <w:pPr>
        <w:pStyle w:val="BodyText"/>
        <w:ind w:left="0"/>
        <w:jc w:val="both"/>
        <w:rPr>
          <w:b/>
          <w:bCs/>
          <w:sz w:val="22"/>
          <w:szCs w:val="22"/>
        </w:rPr>
      </w:pPr>
      <w:r w:rsidRPr="00AA5088">
        <w:rPr>
          <w:sz w:val="22"/>
          <w:szCs w:val="22"/>
        </w:rPr>
        <w:lastRenderedPageBreak/>
        <w:t xml:space="preserve">In this paper, the same </w:t>
      </w:r>
      <w:r w:rsidR="00AA5088">
        <w:rPr>
          <w:sz w:val="22"/>
          <w:szCs w:val="22"/>
        </w:rPr>
        <w:t xml:space="preserve">broad </w:t>
      </w:r>
      <w:r w:rsidRPr="00AA5088">
        <w:rPr>
          <w:sz w:val="22"/>
          <w:szCs w:val="22"/>
        </w:rPr>
        <w:t xml:space="preserve">approach as used in previous studies is applied to </w:t>
      </w:r>
      <w:r w:rsidR="00AA5088" w:rsidRPr="00AA5088">
        <w:rPr>
          <w:sz w:val="22"/>
          <w:szCs w:val="22"/>
        </w:rPr>
        <w:t>updated</w:t>
      </w:r>
      <w:r w:rsidR="0032036E" w:rsidRPr="00AA5088">
        <w:rPr>
          <w:sz w:val="22"/>
          <w:szCs w:val="22"/>
        </w:rPr>
        <w:t xml:space="preserve"> </w:t>
      </w:r>
      <w:r w:rsidR="00AA5088" w:rsidRPr="00AA5088">
        <w:rPr>
          <w:sz w:val="22"/>
          <w:szCs w:val="22"/>
        </w:rPr>
        <w:t>information</w:t>
      </w:r>
      <w:r w:rsidRPr="00AA5088">
        <w:rPr>
          <w:sz w:val="22"/>
          <w:szCs w:val="22"/>
        </w:rPr>
        <w:t xml:space="preserve"> relating to the Australian domestic markets for beef, lamb, pork and chicken </w:t>
      </w:r>
      <w:r w:rsidR="00AA5088">
        <w:rPr>
          <w:sz w:val="22"/>
          <w:szCs w:val="22"/>
        </w:rPr>
        <w:t xml:space="preserve">taken together, </w:t>
      </w:r>
      <w:r w:rsidRPr="00AA5088">
        <w:rPr>
          <w:sz w:val="22"/>
          <w:szCs w:val="22"/>
        </w:rPr>
        <w:t xml:space="preserve">to examine competitive </w:t>
      </w:r>
      <w:proofErr w:type="spellStart"/>
      <w:r w:rsidRPr="00AA5088">
        <w:rPr>
          <w:sz w:val="22"/>
          <w:szCs w:val="22"/>
        </w:rPr>
        <w:t>behaviour</w:t>
      </w:r>
      <w:proofErr w:type="spellEnd"/>
      <w:r w:rsidRPr="00AA5088">
        <w:rPr>
          <w:sz w:val="22"/>
          <w:szCs w:val="22"/>
        </w:rPr>
        <w:t xml:space="preserve"> in these markets.</w:t>
      </w:r>
    </w:p>
    <w:p w14:paraId="7595C90C" w14:textId="77777777" w:rsidR="004806F6" w:rsidRPr="00661BD2" w:rsidRDefault="004806F6" w:rsidP="00661BD2">
      <w:pPr>
        <w:jc w:val="both"/>
      </w:pPr>
    </w:p>
    <w:p w14:paraId="21B173B2" w14:textId="77777777" w:rsidR="004806F6" w:rsidRPr="00814BDF" w:rsidRDefault="00363ED8" w:rsidP="00C61C20">
      <w:pPr>
        <w:pStyle w:val="Heading2"/>
        <w:tabs>
          <w:tab w:val="left" w:pos="460"/>
        </w:tabs>
        <w:ind w:left="0" w:firstLine="0"/>
        <w:jc w:val="both"/>
        <w:rPr>
          <w:rFonts w:asciiTheme="minorHAnsi" w:hAnsiTheme="minorHAnsi"/>
          <w:b/>
          <w:sz w:val="24"/>
          <w:szCs w:val="24"/>
        </w:rPr>
      </w:pPr>
      <w:r w:rsidRPr="00814BDF">
        <w:rPr>
          <w:rFonts w:asciiTheme="minorHAnsi" w:hAnsiTheme="minorHAnsi"/>
          <w:b/>
          <w:sz w:val="24"/>
          <w:szCs w:val="24"/>
        </w:rPr>
        <w:t xml:space="preserve">Approaches to </w:t>
      </w:r>
      <w:r w:rsidR="00814BDF" w:rsidRPr="00814BDF">
        <w:rPr>
          <w:rFonts w:asciiTheme="minorHAnsi" w:hAnsiTheme="minorHAnsi"/>
          <w:b/>
          <w:sz w:val="24"/>
          <w:szCs w:val="24"/>
        </w:rPr>
        <w:t xml:space="preserve">Measuring </w:t>
      </w:r>
      <w:r w:rsidRPr="00814BDF">
        <w:rPr>
          <w:rFonts w:asciiTheme="minorHAnsi" w:hAnsiTheme="minorHAnsi"/>
          <w:b/>
          <w:sz w:val="24"/>
          <w:szCs w:val="24"/>
        </w:rPr>
        <w:t>Market Power</w:t>
      </w:r>
    </w:p>
    <w:p w14:paraId="2FB02F75" w14:textId="77777777" w:rsidR="004806F6" w:rsidRPr="00661BD2" w:rsidRDefault="004806F6" w:rsidP="00661BD2">
      <w:pPr>
        <w:jc w:val="both"/>
        <w:rPr>
          <w:rFonts w:eastAsia="Calibri" w:cs="Calibri"/>
        </w:rPr>
      </w:pPr>
    </w:p>
    <w:p w14:paraId="5A493A73" w14:textId="675677AD" w:rsidR="00B35477" w:rsidRDefault="00363ED8" w:rsidP="00661BD2">
      <w:pPr>
        <w:pStyle w:val="BodyText"/>
        <w:ind w:left="0"/>
        <w:jc w:val="both"/>
        <w:rPr>
          <w:rFonts w:asciiTheme="minorHAnsi" w:hAnsiTheme="minorHAnsi"/>
          <w:sz w:val="22"/>
          <w:szCs w:val="22"/>
        </w:rPr>
      </w:pPr>
      <w:r w:rsidRPr="00661BD2">
        <w:rPr>
          <w:rFonts w:asciiTheme="minorHAnsi" w:hAnsiTheme="minorHAnsi"/>
          <w:sz w:val="22"/>
          <w:szCs w:val="22"/>
        </w:rPr>
        <w:t xml:space="preserve">As </w:t>
      </w:r>
      <w:r w:rsidR="00DE4012">
        <w:rPr>
          <w:rFonts w:asciiTheme="minorHAnsi" w:hAnsiTheme="minorHAnsi"/>
          <w:sz w:val="22"/>
          <w:szCs w:val="22"/>
        </w:rPr>
        <w:t xml:space="preserve">noted in the </w:t>
      </w:r>
      <w:r w:rsidR="007A036E">
        <w:rPr>
          <w:rFonts w:asciiTheme="minorHAnsi" w:hAnsiTheme="minorHAnsi"/>
          <w:sz w:val="22"/>
          <w:szCs w:val="22"/>
        </w:rPr>
        <w:t xml:space="preserve">detailed </w:t>
      </w:r>
      <w:r w:rsidR="00DE4012">
        <w:rPr>
          <w:rFonts w:asciiTheme="minorHAnsi" w:hAnsiTheme="minorHAnsi"/>
          <w:sz w:val="22"/>
          <w:szCs w:val="22"/>
        </w:rPr>
        <w:t xml:space="preserve">literature review </w:t>
      </w:r>
      <w:r w:rsidR="007A036E">
        <w:rPr>
          <w:rFonts w:asciiTheme="minorHAnsi" w:hAnsiTheme="minorHAnsi"/>
          <w:sz w:val="22"/>
          <w:szCs w:val="22"/>
        </w:rPr>
        <w:t>in Heilbron et al. (2025)</w:t>
      </w:r>
      <w:r w:rsidR="00DE4012">
        <w:rPr>
          <w:rFonts w:asciiTheme="minorHAnsi" w:hAnsiTheme="minorHAnsi"/>
          <w:sz w:val="22"/>
          <w:szCs w:val="22"/>
        </w:rPr>
        <w:t xml:space="preserve">, </w:t>
      </w:r>
      <w:r w:rsidRPr="00661BD2">
        <w:rPr>
          <w:rFonts w:asciiTheme="minorHAnsi" w:hAnsiTheme="minorHAnsi"/>
          <w:sz w:val="22"/>
          <w:szCs w:val="22"/>
        </w:rPr>
        <w:t xml:space="preserve">there are </w:t>
      </w:r>
      <w:r w:rsidR="00DE4012">
        <w:rPr>
          <w:rFonts w:asciiTheme="minorHAnsi" w:hAnsiTheme="minorHAnsi"/>
          <w:sz w:val="22"/>
          <w:szCs w:val="22"/>
        </w:rPr>
        <w:t xml:space="preserve">many </w:t>
      </w:r>
      <w:r w:rsidR="00B35477">
        <w:rPr>
          <w:rFonts w:asciiTheme="minorHAnsi" w:hAnsiTheme="minorHAnsi"/>
          <w:sz w:val="22"/>
          <w:szCs w:val="22"/>
        </w:rPr>
        <w:t xml:space="preserve">theoretical </w:t>
      </w:r>
      <w:r w:rsidR="00DE4012">
        <w:rPr>
          <w:rFonts w:asciiTheme="minorHAnsi" w:hAnsiTheme="minorHAnsi"/>
          <w:sz w:val="22"/>
          <w:szCs w:val="22"/>
        </w:rPr>
        <w:t xml:space="preserve">approaches available </w:t>
      </w:r>
      <w:r w:rsidRPr="00661BD2">
        <w:rPr>
          <w:rFonts w:asciiTheme="minorHAnsi" w:hAnsiTheme="minorHAnsi"/>
          <w:sz w:val="22"/>
          <w:szCs w:val="22"/>
        </w:rPr>
        <w:t xml:space="preserve">to </w:t>
      </w:r>
      <w:r w:rsidR="00DE4012">
        <w:rPr>
          <w:rFonts w:asciiTheme="minorHAnsi" w:hAnsiTheme="minorHAnsi"/>
          <w:sz w:val="22"/>
          <w:szCs w:val="22"/>
        </w:rPr>
        <w:t xml:space="preserve">assess whether </w:t>
      </w:r>
      <w:r w:rsidRPr="00661BD2">
        <w:rPr>
          <w:rFonts w:asciiTheme="minorHAnsi" w:hAnsiTheme="minorHAnsi"/>
          <w:sz w:val="22"/>
          <w:szCs w:val="22"/>
        </w:rPr>
        <w:t>market</w:t>
      </w:r>
      <w:r w:rsidRPr="00661BD2">
        <w:rPr>
          <w:rFonts w:asciiTheme="minorHAnsi" w:hAnsiTheme="minorHAnsi"/>
          <w:spacing w:val="-1"/>
          <w:sz w:val="22"/>
          <w:szCs w:val="22"/>
        </w:rPr>
        <w:t xml:space="preserve"> </w:t>
      </w:r>
      <w:r w:rsidRPr="00661BD2">
        <w:rPr>
          <w:rFonts w:asciiTheme="minorHAnsi" w:hAnsiTheme="minorHAnsi"/>
          <w:sz w:val="22"/>
          <w:szCs w:val="22"/>
        </w:rPr>
        <w:t>power</w:t>
      </w:r>
      <w:r w:rsidRPr="00661BD2">
        <w:rPr>
          <w:rFonts w:asciiTheme="minorHAnsi" w:hAnsiTheme="minorHAnsi"/>
          <w:w w:val="99"/>
          <w:sz w:val="22"/>
          <w:szCs w:val="22"/>
        </w:rPr>
        <w:t xml:space="preserve"> </w:t>
      </w:r>
      <w:r w:rsidR="00DE4012">
        <w:rPr>
          <w:rFonts w:asciiTheme="minorHAnsi" w:hAnsiTheme="minorHAnsi"/>
          <w:w w:val="99"/>
          <w:sz w:val="22"/>
          <w:szCs w:val="22"/>
        </w:rPr>
        <w:t>is present in agricultural markets</w:t>
      </w:r>
      <w:r w:rsidRPr="00661BD2">
        <w:rPr>
          <w:rFonts w:asciiTheme="minorHAnsi" w:hAnsiTheme="minorHAnsi"/>
          <w:sz w:val="22"/>
          <w:szCs w:val="22"/>
        </w:rPr>
        <w:t xml:space="preserve">. </w:t>
      </w:r>
      <w:r w:rsidR="00B35477">
        <w:rPr>
          <w:rFonts w:asciiTheme="minorHAnsi" w:hAnsiTheme="minorHAnsi"/>
          <w:sz w:val="22"/>
          <w:szCs w:val="22"/>
        </w:rPr>
        <w:t xml:space="preserve">That is, whether the relatively small number of large processing and/or retailing firms </w:t>
      </w:r>
      <w:r w:rsidR="00626F01">
        <w:rPr>
          <w:rFonts w:asciiTheme="minorHAnsi" w:hAnsiTheme="minorHAnsi"/>
          <w:sz w:val="22"/>
          <w:szCs w:val="22"/>
        </w:rPr>
        <w:t xml:space="preserve">in modern economies </w:t>
      </w:r>
      <w:r w:rsidR="00B35477">
        <w:rPr>
          <w:rFonts w:asciiTheme="minorHAnsi" w:hAnsiTheme="minorHAnsi"/>
          <w:sz w:val="22"/>
          <w:szCs w:val="22"/>
        </w:rPr>
        <w:t>have sufficient influence in the market to shift input purchasing outcomes or output selling outcomes away from the outcomes predicted by a competitive or contestable market, in a sustained or non-transitory manner.</w:t>
      </w:r>
    </w:p>
    <w:p w14:paraId="2632E20E" w14:textId="77777777" w:rsidR="00B35477" w:rsidRDefault="00B35477" w:rsidP="00661BD2">
      <w:pPr>
        <w:pStyle w:val="BodyText"/>
        <w:ind w:left="0"/>
        <w:jc w:val="both"/>
        <w:rPr>
          <w:rFonts w:asciiTheme="minorHAnsi" w:hAnsiTheme="minorHAnsi"/>
          <w:sz w:val="22"/>
          <w:szCs w:val="22"/>
        </w:rPr>
      </w:pPr>
    </w:p>
    <w:p w14:paraId="15197366" w14:textId="0D1459EC" w:rsidR="004806F6" w:rsidRPr="00661BD2" w:rsidRDefault="00626F01" w:rsidP="00661BD2">
      <w:pPr>
        <w:pStyle w:val="BodyText"/>
        <w:ind w:left="0"/>
        <w:jc w:val="both"/>
        <w:rPr>
          <w:rFonts w:asciiTheme="minorHAnsi" w:hAnsiTheme="minorHAnsi"/>
          <w:sz w:val="22"/>
          <w:szCs w:val="22"/>
        </w:rPr>
      </w:pPr>
      <w:r>
        <w:rPr>
          <w:rFonts w:asciiTheme="minorHAnsi" w:hAnsiTheme="minorHAnsi"/>
          <w:sz w:val="22"/>
          <w:szCs w:val="22"/>
        </w:rPr>
        <w:t>A summary of the literature review would be that t</w:t>
      </w:r>
      <w:r w:rsidR="00B35477">
        <w:rPr>
          <w:rFonts w:asciiTheme="minorHAnsi" w:hAnsiTheme="minorHAnsi"/>
          <w:sz w:val="22"/>
          <w:szCs w:val="22"/>
        </w:rPr>
        <w:t xml:space="preserve">he New Empirical Industrial Organization (NEIO) approach is the </w:t>
      </w:r>
      <w:r w:rsidR="00D907AB">
        <w:rPr>
          <w:rFonts w:asciiTheme="minorHAnsi" w:hAnsiTheme="minorHAnsi"/>
          <w:sz w:val="22"/>
          <w:szCs w:val="22"/>
        </w:rPr>
        <w:t xml:space="preserve">approach </w:t>
      </w:r>
      <w:r w:rsidR="00B35477">
        <w:rPr>
          <w:rFonts w:asciiTheme="minorHAnsi" w:hAnsiTheme="minorHAnsi"/>
          <w:sz w:val="22"/>
          <w:szCs w:val="22"/>
        </w:rPr>
        <w:t>most often used</w:t>
      </w:r>
      <w:r w:rsidR="000B5071">
        <w:rPr>
          <w:rFonts w:asciiTheme="minorHAnsi" w:hAnsiTheme="minorHAnsi"/>
          <w:sz w:val="22"/>
          <w:szCs w:val="22"/>
        </w:rPr>
        <w:t>, across many different industry environments</w:t>
      </w:r>
      <w:r>
        <w:rPr>
          <w:rFonts w:asciiTheme="minorHAnsi" w:hAnsiTheme="minorHAnsi"/>
          <w:sz w:val="22"/>
          <w:szCs w:val="22"/>
        </w:rPr>
        <w:t>, even though it has some deficiencies</w:t>
      </w:r>
      <w:r w:rsidR="00B35477">
        <w:rPr>
          <w:rFonts w:asciiTheme="minorHAnsi" w:hAnsiTheme="minorHAnsi"/>
          <w:sz w:val="22"/>
          <w:szCs w:val="22"/>
        </w:rPr>
        <w:t xml:space="preserve">. </w:t>
      </w:r>
      <w:r w:rsidR="00363ED8" w:rsidRPr="00661BD2">
        <w:rPr>
          <w:rFonts w:asciiTheme="minorHAnsi" w:hAnsiTheme="minorHAnsi"/>
          <w:sz w:val="22"/>
          <w:szCs w:val="22"/>
        </w:rPr>
        <w:t xml:space="preserve">Bonanno et al. (2018) </w:t>
      </w:r>
      <w:r w:rsidR="00AD67A5">
        <w:rPr>
          <w:rFonts w:asciiTheme="minorHAnsi" w:hAnsiTheme="minorHAnsi"/>
          <w:sz w:val="22"/>
          <w:szCs w:val="22"/>
        </w:rPr>
        <w:t>did</w:t>
      </w:r>
      <w:r w:rsidR="00363ED8" w:rsidRPr="00661BD2">
        <w:rPr>
          <w:rFonts w:asciiTheme="minorHAnsi" w:hAnsiTheme="minorHAnsi"/>
          <w:sz w:val="22"/>
          <w:szCs w:val="22"/>
        </w:rPr>
        <w:t xml:space="preserve"> a thorough review of modern approaches to market power assessment, noting </w:t>
      </w:r>
      <w:r w:rsidR="00152089">
        <w:rPr>
          <w:rFonts w:asciiTheme="minorHAnsi" w:hAnsiTheme="minorHAnsi"/>
          <w:sz w:val="22"/>
          <w:szCs w:val="22"/>
        </w:rPr>
        <w:t xml:space="preserve">that </w:t>
      </w:r>
      <w:r w:rsidR="00363ED8" w:rsidRPr="00661BD2">
        <w:rPr>
          <w:rFonts w:asciiTheme="minorHAnsi" w:hAnsiTheme="minorHAnsi"/>
          <w:sz w:val="22"/>
          <w:szCs w:val="22"/>
        </w:rPr>
        <w:t xml:space="preserve">as the dimensions of agricultural </w:t>
      </w:r>
      <w:r w:rsidR="00AD67A5">
        <w:rPr>
          <w:rFonts w:asciiTheme="minorHAnsi" w:hAnsiTheme="minorHAnsi"/>
          <w:sz w:val="22"/>
          <w:szCs w:val="22"/>
        </w:rPr>
        <w:t>tran</w:t>
      </w:r>
      <w:r>
        <w:rPr>
          <w:rFonts w:asciiTheme="minorHAnsi" w:hAnsiTheme="minorHAnsi"/>
          <w:sz w:val="22"/>
          <w:szCs w:val="22"/>
        </w:rPr>
        <w:t>s</w:t>
      </w:r>
      <w:r w:rsidR="00AD67A5">
        <w:rPr>
          <w:rFonts w:asciiTheme="minorHAnsi" w:hAnsiTheme="minorHAnsi"/>
          <w:sz w:val="22"/>
          <w:szCs w:val="22"/>
        </w:rPr>
        <w:t>actions</w:t>
      </w:r>
      <w:r w:rsidR="00363ED8" w:rsidRPr="00661BD2">
        <w:rPr>
          <w:rFonts w:asciiTheme="minorHAnsi" w:hAnsiTheme="minorHAnsi"/>
          <w:sz w:val="22"/>
          <w:szCs w:val="22"/>
        </w:rPr>
        <w:t xml:space="preserve"> change,</w:t>
      </w:r>
      <w:r w:rsidR="00363ED8" w:rsidRPr="00661BD2">
        <w:rPr>
          <w:rFonts w:asciiTheme="minorHAnsi" w:hAnsiTheme="minorHAnsi"/>
          <w:w w:val="99"/>
          <w:sz w:val="22"/>
          <w:szCs w:val="22"/>
        </w:rPr>
        <w:t xml:space="preserve"> </w:t>
      </w:r>
      <w:r w:rsidR="00363ED8" w:rsidRPr="00661BD2">
        <w:rPr>
          <w:rFonts w:asciiTheme="minorHAnsi" w:hAnsiTheme="minorHAnsi"/>
          <w:sz w:val="22"/>
          <w:szCs w:val="22"/>
        </w:rPr>
        <w:t>including expansion of vertical relationships and non-traditional procurement schemes,</w:t>
      </w:r>
      <w:r w:rsidR="00363ED8" w:rsidRPr="00661BD2">
        <w:rPr>
          <w:rFonts w:asciiTheme="minorHAnsi" w:hAnsiTheme="minorHAnsi"/>
          <w:w w:val="99"/>
          <w:sz w:val="22"/>
          <w:szCs w:val="22"/>
        </w:rPr>
        <w:t xml:space="preserve"> </w:t>
      </w:r>
      <w:r w:rsidR="00363ED8" w:rsidRPr="00661BD2">
        <w:rPr>
          <w:rFonts w:asciiTheme="minorHAnsi" w:hAnsiTheme="minorHAnsi"/>
          <w:sz w:val="22"/>
          <w:szCs w:val="22"/>
        </w:rPr>
        <w:t>agricultural economists will need to consider new market power assessment</w:t>
      </w:r>
      <w:r>
        <w:rPr>
          <w:rFonts w:asciiTheme="minorHAnsi" w:hAnsiTheme="minorHAnsi"/>
          <w:sz w:val="22"/>
          <w:szCs w:val="22"/>
        </w:rPr>
        <w:t xml:space="preserve"> method</w:t>
      </w:r>
      <w:r w:rsidR="00363ED8" w:rsidRPr="00661BD2">
        <w:rPr>
          <w:rFonts w:asciiTheme="minorHAnsi" w:hAnsiTheme="minorHAnsi"/>
          <w:sz w:val="22"/>
          <w:szCs w:val="22"/>
        </w:rPr>
        <w:t>s. In departing</w:t>
      </w:r>
      <w:r w:rsidR="00363ED8" w:rsidRPr="00661BD2">
        <w:rPr>
          <w:rFonts w:asciiTheme="minorHAnsi" w:hAnsiTheme="minorHAnsi"/>
          <w:w w:val="99"/>
          <w:sz w:val="22"/>
          <w:szCs w:val="22"/>
        </w:rPr>
        <w:t xml:space="preserve"> </w:t>
      </w:r>
      <w:r w:rsidR="00363ED8" w:rsidRPr="00661BD2">
        <w:rPr>
          <w:rFonts w:asciiTheme="minorHAnsi" w:hAnsiTheme="minorHAnsi"/>
          <w:sz w:val="22"/>
          <w:szCs w:val="22"/>
        </w:rPr>
        <w:t xml:space="preserve">from the commonly applied NEIO </w:t>
      </w:r>
      <w:r w:rsidR="008C76AF">
        <w:rPr>
          <w:rFonts w:asciiTheme="minorHAnsi" w:hAnsiTheme="minorHAnsi"/>
          <w:sz w:val="22"/>
          <w:szCs w:val="22"/>
        </w:rPr>
        <w:t>f</w:t>
      </w:r>
      <w:r w:rsidR="00363ED8" w:rsidRPr="00661BD2">
        <w:rPr>
          <w:rFonts w:asciiTheme="minorHAnsi" w:hAnsiTheme="minorHAnsi"/>
          <w:sz w:val="22"/>
          <w:szCs w:val="22"/>
        </w:rPr>
        <w:t>ramework, Bonanno et al. (2018) rel</w:t>
      </w:r>
      <w:r w:rsidR="001E6AC4">
        <w:rPr>
          <w:rFonts w:asciiTheme="minorHAnsi" w:hAnsiTheme="minorHAnsi"/>
          <w:sz w:val="22"/>
          <w:szCs w:val="22"/>
        </w:rPr>
        <w:t>ied</w:t>
      </w:r>
      <w:r w:rsidR="00363ED8" w:rsidRPr="00661BD2">
        <w:rPr>
          <w:rFonts w:asciiTheme="minorHAnsi" w:hAnsiTheme="minorHAnsi"/>
          <w:sz w:val="22"/>
          <w:szCs w:val="22"/>
        </w:rPr>
        <w:t xml:space="preserve"> heavily on</w:t>
      </w:r>
      <w:r w:rsidR="00363ED8" w:rsidRPr="00661BD2">
        <w:rPr>
          <w:rFonts w:asciiTheme="minorHAnsi" w:hAnsiTheme="minorHAnsi"/>
          <w:spacing w:val="-1"/>
          <w:sz w:val="22"/>
          <w:szCs w:val="22"/>
        </w:rPr>
        <w:t xml:space="preserve"> </w:t>
      </w:r>
      <w:r w:rsidR="00363ED8" w:rsidRPr="00661BD2">
        <w:rPr>
          <w:rFonts w:asciiTheme="minorHAnsi" w:hAnsiTheme="minorHAnsi"/>
          <w:sz w:val="22"/>
          <w:szCs w:val="22"/>
        </w:rPr>
        <w:t>the</w:t>
      </w:r>
      <w:r w:rsidR="00363ED8" w:rsidRPr="00661BD2">
        <w:rPr>
          <w:rFonts w:asciiTheme="minorHAnsi" w:hAnsiTheme="minorHAnsi"/>
          <w:w w:val="99"/>
          <w:sz w:val="22"/>
          <w:szCs w:val="22"/>
        </w:rPr>
        <w:t xml:space="preserve"> </w:t>
      </w:r>
      <w:r w:rsidR="00363ED8" w:rsidRPr="00661BD2">
        <w:rPr>
          <w:rFonts w:asciiTheme="minorHAnsi" w:hAnsiTheme="minorHAnsi"/>
          <w:sz w:val="22"/>
          <w:szCs w:val="22"/>
        </w:rPr>
        <w:t xml:space="preserve">research of </w:t>
      </w:r>
      <w:proofErr w:type="spellStart"/>
      <w:r w:rsidR="00363ED8" w:rsidRPr="00661BD2">
        <w:rPr>
          <w:rFonts w:asciiTheme="minorHAnsi" w:hAnsiTheme="minorHAnsi"/>
          <w:sz w:val="22"/>
          <w:szCs w:val="22"/>
        </w:rPr>
        <w:t>Mérel</w:t>
      </w:r>
      <w:proofErr w:type="spellEnd"/>
      <w:r w:rsidR="00363ED8" w:rsidRPr="00661BD2">
        <w:rPr>
          <w:rFonts w:asciiTheme="minorHAnsi" w:hAnsiTheme="minorHAnsi"/>
          <w:sz w:val="22"/>
          <w:szCs w:val="22"/>
        </w:rPr>
        <w:t xml:space="preserve"> and Sexton (2017) which attempted to show that monopsony </w:t>
      </w:r>
      <w:proofErr w:type="spellStart"/>
      <w:r w:rsidR="00363ED8" w:rsidRPr="00661BD2">
        <w:rPr>
          <w:rFonts w:asciiTheme="minorHAnsi" w:hAnsiTheme="minorHAnsi"/>
          <w:sz w:val="22"/>
          <w:szCs w:val="22"/>
        </w:rPr>
        <w:t>behaviour</w:t>
      </w:r>
      <w:proofErr w:type="spellEnd"/>
      <w:r w:rsidR="00363ED8" w:rsidRPr="00661BD2">
        <w:rPr>
          <w:rFonts w:asciiTheme="minorHAnsi" w:hAnsiTheme="minorHAnsi"/>
          <w:w w:val="99"/>
          <w:sz w:val="22"/>
          <w:szCs w:val="22"/>
        </w:rPr>
        <w:t xml:space="preserve"> </w:t>
      </w:r>
      <w:r w:rsidR="00363ED8" w:rsidRPr="00661BD2">
        <w:rPr>
          <w:rFonts w:asciiTheme="minorHAnsi" w:hAnsiTheme="minorHAnsi"/>
          <w:sz w:val="22"/>
          <w:szCs w:val="22"/>
        </w:rPr>
        <w:t xml:space="preserve">can </w:t>
      </w:r>
      <w:r>
        <w:rPr>
          <w:rFonts w:asciiTheme="minorHAnsi" w:hAnsiTheme="minorHAnsi"/>
          <w:sz w:val="22"/>
          <w:szCs w:val="22"/>
        </w:rPr>
        <w:t xml:space="preserve">provide some benefits to </w:t>
      </w:r>
      <w:r w:rsidR="00363ED8" w:rsidRPr="00661BD2">
        <w:rPr>
          <w:rFonts w:asciiTheme="minorHAnsi" w:hAnsiTheme="minorHAnsi"/>
          <w:sz w:val="22"/>
          <w:szCs w:val="22"/>
        </w:rPr>
        <w:t>market</w:t>
      </w:r>
      <w:r>
        <w:rPr>
          <w:rFonts w:asciiTheme="minorHAnsi" w:hAnsiTheme="minorHAnsi"/>
          <w:sz w:val="22"/>
          <w:szCs w:val="22"/>
        </w:rPr>
        <w:t>s</w:t>
      </w:r>
      <w:r w:rsidR="00363ED8" w:rsidRPr="00661BD2">
        <w:rPr>
          <w:rFonts w:asciiTheme="minorHAnsi" w:hAnsiTheme="minorHAnsi"/>
          <w:sz w:val="22"/>
          <w:szCs w:val="22"/>
        </w:rPr>
        <w:t xml:space="preserve">. </w:t>
      </w:r>
      <w:r w:rsidR="008C76AF">
        <w:rPr>
          <w:rFonts w:asciiTheme="minorHAnsi" w:hAnsiTheme="minorHAnsi"/>
          <w:sz w:val="22"/>
          <w:szCs w:val="22"/>
        </w:rPr>
        <w:t>However,</w:t>
      </w:r>
      <w:r w:rsidR="00363ED8" w:rsidRPr="00661BD2">
        <w:rPr>
          <w:rFonts w:asciiTheme="minorHAnsi" w:hAnsiTheme="minorHAnsi"/>
          <w:sz w:val="22"/>
          <w:szCs w:val="22"/>
        </w:rPr>
        <w:t xml:space="preserve"> accounting for </w:t>
      </w:r>
      <w:r w:rsidR="00B35477">
        <w:rPr>
          <w:rFonts w:asciiTheme="minorHAnsi" w:hAnsiTheme="minorHAnsi"/>
          <w:sz w:val="22"/>
          <w:szCs w:val="22"/>
        </w:rPr>
        <w:t xml:space="preserve">highly </w:t>
      </w:r>
      <w:r w:rsidR="00363ED8" w:rsidRPr="00661BD2">
        <w:rPr>
          <w:rFonts w:asciiTheme="minorHAnsi" w:hAnsiTheme="minorHAnsi"/>
          <w:sz w:val="22"/>
          <w:szCs w:val="22"/>
        </w:rPr>
        <w:t>differentiated products within the market, as well as the uniqueness of contracts in place</w:t>
      </w:r>
      <w:r w:rsidR="009F38ED">
        <w:rPr>
          <w:rFonts w:asciiTheme="minorHAnsi" w:hAnsiTheme="minorHAnsi"/>
          <w:sz w:val="22"/>
          <w:szCs w:val="22"/>
        </w:rPr>
        <w:t>,</w:t>
      </w:r>
      <w:r w:rsidR="00363ED8" w:rsidRPr="00661BD2">
        <w:rPr>
          <w:rFonts w:asciiTheme="minorHAnsi" w:hAnsiTheme="minorHAnsi"/>
          <w:sz w:val="22"/>
          <w:szCs w:val="22"/>
        </w:rPr>
        <w:t xml:space="preserve"> is inherently complex</w:t>
      </w:r>
      <w:r w:rsidR="007A036E">
        <w:rPr>
          <w:rFonts w:asciiTheme="minorHAnsi" w:hAnsiTheme="minorHAnsi"/>
          <w:sz w:val="22"/>
          <w:szCs w:val="22"/>
        </w:rPr>
        <w:t>, especially when aggregate data are used</w:t>
      </w:r>
      <w:r w:rsidR="00363ED8" w:rsidRPr="00661BD2">
        <w:rPr>
          <w:rFonts w:asciiTheme="minorHAnsi" w:hAnsiTheme="minorHAnsi"/>
          <w:sz w:val="22"/>
          <w:szCs w:val="22"/>
        </w:rPr>
        <w:t>. McCorriston</w:t>
      </w:r>
      <w:r w:rsidR="00363ED8" w:rsidRPr="00661BD2">
        <w:rPr>
          <w:rFonts w:asciiTheme="minorHAnsi" w:hAnsiTheme="minorHAnsi"/>
          <w:spacing w:val="-3"/>
          <w:sz w:val="22"/>
          <w:szCs w:val="22"/>
        </w:rPr>
        <w:t xml:space="preserve"> </w:t>
      </w:r>
      <w:r w:rsidR="00363ED8" w:rsidRPr="00661BD2">
        <w:rPr>
          <w:rFonts w:asciiTheme="minorHAnsi" w:hAnsiTheme="minorHAnsi"/>
          <w:sz w:val="22"/>
          <w:szCs w:val="22"/>
        </w:rPr>
        <w:t>(2014)</w:t>
      </w:r>
      <w:r w:rsidR="00363ED8" w:rsidRPr="00661BD2">
        <w:rPr>
          <w:rFonts w:asciiTheme="minorHAnsi" w:hAnsiTheme="minorHAnsi"/>
          <w:w w:val="99"/>
          <w:sz w:val="22"/>
          <w:szCs w:val="22"/>
        </w:rPr>
        <w:t xml:space="preserve"> </w:t>
      </w:r>
      <w:r w:rsidR="009F38ED">
        <w:rPr>
          <w:rFonts w:asciiTheme="minorHAnsi" w:hAnsiTheme="minorHAnsi"/>
          <w:w w:val="99"/>
          <w:sz w:val="22"/>
          <w:szCs w:val="22"/>
        </w:rPr>
        <w:t>agrees</w:t>
      </w:r>
      <w:r w:rsidR="00363ED8" w:rsidRPr="00661BD2">
        <w:rPr>
          <w:rFonts w:asciiTheme="minorHAnsi" w:hAnsiTheme="minorHAnsi"/>
          <w:sz w:val="22"/>
          <w:szCs w:val="22"/>
        </w:rPr>
        <w:t>, noting that</w:t>
      </w:r>
      <w:r w:rsidR="00363ED8" w:rsidRPr="00661BD2">
        <w:rPr>
          <w:rFonts w:asciiTheme="minorHAnsi" w:hAnsiTheme="minorHAnsi"/>
          <w:spacing w:val="-1"/>
          <w:sz w:val="22"/>
          <w:szCs w:val="22"/>
        </w:rPr>
        <w:t xml:space="preserve"> </w:t>
      </w:r>
      <w:r w:rsidR="00363ED8" w:rsidRPr="00661BD2">
        <w:rPr>
          <w:rFonts w:asciiTheme="minorHAnsi" w:hAnsiTheme="minorHAnsi"/>
          <w:sz w:val="22"/>
          <w:szCs w:val="22"/>
        </w:rPr>
        <w:t>in</w:t>
      </w:r>
      <w:r w:rsidR="00C61C20">
        <w:rPr>
          <w:rFonts w:asciiTheme="minorHAnsi" w:hAnsiTheme="minorHAnsi"/>
          <w:sz w:val="22"/>
          <w:szCs w:val="22"/>
        </w:rPr>
        <w:t xml:space="preserve"> </w:t>
      </w:r>
      <w:r w:rsidR="00363ED8" w:rsidRPr="00661BD2">
        <w:rPr>
          <w:rFonts w:asciiTheme="minorHAnsi" w:hAnsiTheme="minorHAnsi"/>
          <w:sz w:val="22"/>
          <w:szCs w:val="22"/>
        </w:rPr>
        <w:t>the context of the European food and marketing system, the NEIO application is unable to capture some multiproduct buyer power exerted through some retail relationships</w:t>
      </w:r>
      <w:r w:rsidR="00DE4012">
        <w:rPr>
          <w:rFonts w:asciiTheme="minorHAnsi" w:hAnsiTheme="minorHAnsi"/>
          <w:sz w:val="22"/>
          <w:szCs w:val="22"/>
        </w:rPr>
        <w:t xml:space="preserve">. This view </w:t>
      </w:r>
      <w:r w:rsidR="00363ED8" w:rsidRPr="00661BD2">
        <w:rPr>
          <w:rFonts w:asciiTheme="minorHAnsi" w:hAnsiTheme="minorHAnsi"/>
          <w:sz w:val="22"/>
          <w:szCs w:val="22"/>
        </w:rPr>
        <w:t xml:space="preserve">is </w:t>
      </w:r>
      <w:proofErr w:type="gramStart"/>
      <w:r w:rsidR="00363ED8" w:rsidRPr="00661BD2">
        <w:rPr>
          <w:rFonts w:asciiTheme="minorHAnsi" w:hAnsiTheme="minorHAnsi"/>
          <w:sz w:val="22"/>
          <w:szCs w:val="22"/>
        </w:rPr>
        <w:t>similar to</w:t>
      </w:r>
      <w:proofErr w:type="gramEnd"/>
      <w:r w:rsidR="00363ED8" w:rsidRPr="00661BD2">
        <w:rPr>
          <w:rFonts w:asciiTheme="minorHAnsi" w:hAnsiTheme="minorHAnsi"/>
          <w:sz w:val="22"/>
          <w:szCs w:val="22"/>
        </w:rPr>
        <w:t xml:space="preserve"> the limitations </w:t>
      </w:r>
      <w:r w:rsidR="00DE4012">
        <w:rPr>
          <w:rFonts w:asciiTheme="minorHAnsi" w:hAnsiTheme="minorHAnsi"/>
          <w:sz w:val="22"/>
          <w:szCs w:val="22"/>
        </w:rPr>
        <w:t xml:space="preserve">of the NEIO framework </w:t>
      </w:r>
      <w:proofErr w:type="spellStart"/>
      <w:r w:rsidR="00363ED8" w:rsidRPr="00661BD2">
        <w:rPr>
          <w:rFonts w:asciiTheme="minorHAnsi" w:hAnsiTheme="minorHAnsi"/>
          <w:sz w:val="22"/>
          <w:szCs w:val="22"/>
        </w:rPr>
        <w:t>recognised</w:t>
      </w:r>
      <w:proofErr w:type="spellEnd"/>
      <w:r w:rsidR="00363ED8" w:rsidRPr="00661BD2">
        <w:rPr>
          <w:rFonts w:asciiTheme="minorHAnsi" w:hAnsiTheme="minorHAnsi"/>
          <w:sz w:val="22"/>
          <w:szCs w:val="22"/>
        </w:rPr>
        <w:t xml:space="preserve"> in </w:t>
      </w:r>
      <w:r w:rsidR="001E6AC4">
        <w:rPr>
          <w:rFonts w:asciiTheme="minorHAnsi" w:hAnsiTheme="minorHAnsi"/>
          <w:sz w:val="22"/>
          <w:szCs w:val="22"/>
        </w:rPr>
        <w:t xml:space="preserve">some </w:t>
      </w:r>
      <w:r w:rsidR="00DE4012">
        <w:rPr>
          <w:rFonts w:asciiTheme="minorHAnsi" w:hAnsiTheme="minorHAnsi"/>
          <w:sz w:val="22"/>
          <w:szCs w:val="22"/>
        </w:rPr>
        <w:t xml:space="preserve">modern </w:t>
      </w:r>
      <w:r w:rsidR="00363ED8" w:rsidRPr="00661BD2">
        <w:rPr>
          <w:rFonts w:asciiTheme="minorHAnsi" w:hAnsiTheme="minorHAnsi"/>
          <w:sz w:val="22"/>
          <w:szCs w:val="22"/>
        </w:rPr>
        <w:t xml:space="preserve">industry </w:t>
      </w:r>
      <w:r w:rsidR="000B5071">
        <w:rPr>
          <w:rFonts w:asciiTheme="minorHAnsi" w:hAnsiTheme="minorHAnsi"/>
          <w:sz w:val="22"/>
          <w:szCs w:val="22"/>
        </w:rPr>
        <w:t xml:space="preserve">economics </w:t>
      </w:r>
      <w:r w:rsidR="00363ED8" w:rsidRPr="00661BD2">
        <w:rPr>
          <w:rFonts w:asciiTheme="minorHAnsi" w:hAnsiTheme="minorHAnsi"/>
          <w:sz w:val="22"/>
          <w:szCs w:val="22"/>
        </w:rPr>
        <w:t>text</w:t>
      </w:r>
      <w:r w:rsidR="000B5071">
        <w:rPr>
          <w:rFonts w:asciiTheme="minorHAnsi" w:hAnsiTheme="minorHAnsi"/>
          <w:sz w:val="22"/>
          <w:szCs w:val="22"/>
        </w:rPr>
        <w:t>book</w:t>
      </w:r>
      <w:r w:rsidR="00363ED8" w:rsidRPr="00661BD2">
        <w:rPr>
          <w:rFonts w:asciiTheme="minorHAnsi" w:hAnsiTheme="minorHAnsi"/>
          <w:sz w:val="22"/>
          <w:szCs w:val="22"/>
        </w:rPr>
        <w:t xml:space="preserve">s (Kaiser </w:t>
      </w:r>
      <w:r w:rsidR="002B453B">
        <w:rPr>
          <w:rFonts w:asciiTheme="minorHAnsi" w:hAnsiTheme="minorHAnsi"/>
          <w:sz w:val="22"/>
          <w:szCs w:val="22"/>
        </w:rPr>
        <w:t>and</w:t>
      </w:r>
      <w:r w:rsidR="00363ED8" w:rsidRPr="00661BD2">
        <w:rPr>
          <w:rFonts w:asciiTheme="minorHAnsi" w:hAnsiTheme="minorHAnsi"/>
          <w:sz w:val="22"/>
          <w:szCs w:val="22"/>
        </w:rPr>
        <w:t xml:space="preserve"> Suzuki,</w:t>
      </w:r>
      <w:r w:rsidR="00363ED8" w:rsidRPr="00661BD2">
        <w:rPr>
          <w:rFonts w:asciiTheme="minorHAnsi" w:hAnsiTheme="minorHAnsi"/>
          <w:spacing w:val="-4"/>
          <w:sz w:val="22"/>
          <w:szCs w:val="22"/>
        </w:rPr>
        <w:t xml:space="preserve"> </w:t>
      </w:r>
      <w:r w:rsidR="00363ED8" w:rsidRPr="00661BD2">
        <w:rPr>
          <w:rFonts w:asciiTheme="minorHAnsi" w:hAnsiTheme="minorHAnsi"/>
          <w:sz w:val="22"/>
          <w:szCs w:val="22"/>
        </w:rPr>
        <w:t>2017;</w:t>
      </w:r>
      <w:r w:rsidR="00363ED8" w:rsidRPr="00661BD2">
        <w:rPr>
          <w:rFonts w:asciiTheme="minorHAnsi" w:hAnsiTheme="minorHAnsi"/>
          <w:w w:val="99"/>
          <w:sz w:val="22"/>
          <w:szCs w:val="22"/>
        </w:rPr>
        <w:t xml:space="preserve"> </w:t>
      </w:r>
      <w:r w:rsidR="00363ED8" w:rsidRPr="00661BD2">
        <w:rPr>
          <w:rFonts w:asciiTheme="minorHAnsi" w:hAnsiTheme="minorHAnsi"/>
          <w:sz w:val="22"/>
          <w:szCs w:val="22"/>
        </w:rPr>
        <w:t xml:space="preserve">Perloff, Karp </w:t>
      </w:r>
      <w:r w:rsidR="002B453B">
        <w:rPr>
          <w:rFonts w:asciiTheme="minorHAnsi" w:hAnsiTheme="minorHAnsi"/>
          <w:sz w:val="22"/>
          <w:szCs w:val="22"/>
        </w:rPr>
        <w:t>and</w:t>
      </w:r>
      <w:r w:rsidR="00363ED8" w:rsidRPr="00661BD2">
        <w:rPr>
          <w:rFonts w:asciiTheme="minorHAnsi" w:hAnsiTheme="minorHAnsi"/>
          <w:sz w:val="22"/>
          <w:szCs w:val="22"/>
        </w:rPr>
        <w:t xml:space="preserve"> Golan,</w:t>
      </w:r>
      <w:r w:rsidR="00363ED8" w:rsidRPr="00661BD2">
        <w:rPr>
          <w:rFonts w:asciiTheme="minorHAnsi" w:hAnsiTheme="minorHAnsi"/>
          <w:spacing w:val="-1"/>
          <w:sz w:val="22"/>
          <w:szCs w:val="22"/>
        </w:rPr>
        <w:t xml:space="preserve"> </w:t>
      </w:r>
      <w:r w:rsidR="00363ED8" w:rsidRPr="00661BD2">
        <w:rPr>
          <w:rFonts w:asciiTheme="minorHAnsi" w:hAnsiTheme="minorHAnsi"/>
          <w:sz w:val="22"/>
          <w:szCs w:val="22"/>
        </w:rPr>
        <w:t>2007).</w:t>
      </w:r>
    </w:p>
    <w:p w14:paraId="0C6CC602" w14:textId="77777777" w:rsidR="004806F6" w:rsidRPr="00661BD2" w:rsidRDefault="004806F6" w:rsidP="00661BD2">
      <w:pPr>
        <w:jc w:val="both"/>
        <w:rPr>
          <w:rFonts w:eastAsia="Calibri" w:cs="Calibri"/>
        </w:rPr>
      </w:pPr>
    </w:p>
    <w:p w14:paraId="43F4E5CF" w14:textId="424C44F6" w:rsidR="004806F6" w:rsidRPr="00661BD2" w:rsidRDefault="00152089" w:rsidP="00661BD2">
      <w:pPr>
        <w:pStyle w:val="BodyText"/>
        <w:ind w:left="0"/>
        <w:jc w:val="both"/>
        <w:rPr>
          <w:rFonts w:asciiTheme="minorHAnsi" w:hAnsiTheme="minorHAnsi"/>
          <w:sz w:val="22"/>
          <w:szCs w:val="22"/>
        </w:rPr>
      </w:pPr>
      <w:r>
        <w:rPr>
          <w:rFonts w:asciiTheme="minorHAnsi" w:hAnsiTheme="minorHAnsi"/>
          <w:sz w:val="22"/>
          <w:szCs w:val="22"/>
        </w:rPr>
        <w:t>Yet the a</w:t>
      </w:r>
      <w:r w:rsidR="00363ED8" w:rsidRPr="00661BD2">
        <w:rPr>
          <w:rFonts w:asciiTheme="minorHAnsi" w:hAnsiTheme="minorHAnsi"/>
          <w:sz w:val="22"/>
          <w:szCs w:val="22"/>
        </w:rPr>
        <w:t xml:space="preserve">pplication of the NEIO </w:t>
      </w:r>
      <w:r w:rsidR="008C76AF">
        <w:rPr>
          <w:rFonts w:asciiTheme="minorHAnsi" w:hAnsiTheme="minorHAnsi"/>
          <w:sz w:val="22"/>
          <w:szCs w:val="22"/>
        </w:rPr>
        <w:t>f</w:t>
      </w:r>
      <w:r w:rsidR="00363ED8" w:rsidRPr="00661BD2">
        <w:rPr>
          <w:rFonts w:asciiTheme="minorHAnsi" w:hAnsiTheme="minorHAnsi"/>
          <w:sz w:val="22"/>
          <w:szCs w:val="22"/>
        </w:rPr>
        <w:t xml:space="preserve">ramework remains common and successful in the assessment of market power. There are numerous international case studies </w:t>
      </w:r>
      <w:r w:rsidR="00B964FF">
        <w:rPr>
          <w:rFonts w:asciiTheme="minorHAnsi" w:hAnsiTheme="minorHAnsi"/>
          <w:sz w:val="22"/>
          <w:szCs w:val="22"/>
        </w:rPr>
        <w:t xml:space="preserve">of </w:t>
      </w:r>
      <w:r w:rsidR="00363ED8" w:rsidRPr="00661BD2">
        <w:rPr>
          <w:rFonts w:asciiTheme="minorHAnsi" w:hAnsiTheme="minorHAnsi"/>
          <w:sz w:val="22"/>
          <w:szCs w:val="22"/>
        </w:rPr>
        <w:t>successful market power assessments</w:t>
      </w:r>
      <w:r w:rsidR="001E6AC4">
        <w:rPr>
          <w:rFonts w:asciiTheme="minorHAnsi" w:hAnsiTheme="minorHAnsi"/>
          <w:sz w:val="22"/>
          <w:szCs w:val="22"/>
        </w:rPr>
        <w:t xml:space="preserve"> using NEIO</w:t>
      </w:r>
      <w:r w:rsidR="00363ED8" w:rsidRPr="00661BD2">
        <w:rPr>
          <w:rFonts w:asciiTheme="minorHAnsi" w:hAnsiTheme="minorHAnsi"/>
          <w:spacing w:val="-1"/>
          <w:sz w:val="22"/>
          <w:szCs w:val="22"/>
        </w:rPr>
        <w:t xml:space="preserve"> </w:t>
      </w:r>
      <w:r w:rsidR="00363ED8" w:rsidRPr="00661BD2">
        <w:rPr>
          <w:rFonts w:asciiTheme="minorHAnsi" w:hAnsiTheme="minorHAnsi"/>
          <w:sz w:val="22"/>
          <w:szCs w:val="22"/>
        </w:rPr>
        <w:t xml:space="preserve">(Ahn </w:t>
      </w:r>
      <w:r w:rsidR="002B453B">
        <w:rPr>
          <w:rFonts w:asciiTheme="minorHAnsi" w:hAnsiTheme="minorHAnsi"/>
          <w:sz w:val="22"/>
          <w:szCs w:val="22"/>
        </w:rPr>
        <w:t>and</w:t>
      </w:r>
      <w:r w:rsidR="00363ED8" w:rsidRPr="00661BD2">
        <w:rPr>
          <w:rFonts w:asciiTheme="minorHAnsi" w:hAnsiTheme="minorHAnsi"/>
          <w:sz w:val="22"/>
          <w:szCs w:val="22"/>
        </w:rPr>
        <w:t xml:space="preserve"> </w:t>
      </w:r>
      <w:proofErr w:type="spellStart"/>
      <w:r w:rsidR="00363ED8" w:rsidRPr="00661BD2">
        <w:rPr>
          <w:rFonts w:asciiTheme="minorHAnsi" w:hAnsiTheme="minorHAnsi"/>
          <w:sz w:val="22"/>
          <w:szCs w:val="22"/>
        </w:rPr>
        <w:t>Nayga</w:t>
      </w:r>
      <w:proofErr w:type="spellEnd"/>
      <w:r w:rsidR="00363ED8" w:rsidRPr="00661BD2">
        <w:rPr>
          <w:rFonts w:asciiTheme="minorHAnsi" w:hAnsiTheme="minorHAnsi"/>
          <w:sz w:val="22"/>
          <w:szCs w:val="22"/>
        </w:rPr>
        <w:t xml:space="preserve">, 2016; Umar Muazu, Abidin Mohamed, Shamsuddin </w:t>
      </w:r>
      <w:r w:rsidR="002B453B">
        <w:rPr>
          <w:rFonts w:asciiTheme="minorHAnsi" w:hAnsiTheme="minorHAnsi"/>
          <w:sz w:val="22"/>
          <w:szCs w:val="22"/>
        </w:rPr>
        <w:t>and</w:t>
      </w:r>
      <w:r w:rsidR="00363ED8" w:rsidRPr="00661BD2">
        <w:rPr>
          <w:rFonts w:asciiTheme="minorHAnsi" w:hAnsiTheme="minorHAnsi"/>
          <w:sz w:val="22"/>
          <w:szCs w:val="22"/>
        </w:rPr>
        <w:t xml:space="preserve"> Abdulatif, 2016</w:t>
      </w:r>
      <w:r w:rsidR="00C76166">
        <w:rPr>
          <w:rFonts w:asciiTheme="minorHAnsi" w:hAnsiTheme="minorHAnsi"/>
          <w:sz w:val="22"/>
          <w:szCs w:val="22"/>
        </w:rPr>
        <w:t xml:space="preserve">; </w:t>
      </w:r>
      <w:r w:rsidR="00C76166" w:rsidRPr="00661BD2">
        <w:rPr>
          <w:rFonts w:asciiTheme="minorHAnsi" w:hAnsiTheme="minorHAnsi"/>
          <w:sz w:val="22"/>
          <w:szCs w:val="22"/>
        </w:rPr>
        <w:t>Sexton, 2013</w:t>
      </w:r>
      <w:r w:rsidR="00363ED8" w:rsidRPr="00661BD2">
        <w:rPr>
          <w:rFonts w:asciiTheme="minorHAnsi" w:hAnsiTheme="minorHAnsi"/>
          <w:sz w:val="22"/>
          <w:szCs w:val="22"/>
        </w:rPr>
        <w:t>).</w:t>
      </w:r>
      <w:r w:rsidR="00DE4012">
        <w:rPr>
          <w:rFonts w:asciiTheme="minorHAnsi" w:hAnsiTheme="minorHAnsi"/>
          <w:sz w:val="22"/>
          <w:szCs w:val="22"/>
        </w:rPr>
        <w:t xml:space="preserve"> </w:t>
      </w:r>
      <w:r w:rsidR="00D57F9B">
        <w:rPr>
          <w:rFonts w:asciiTheme="minorHAnsi" w:hAnsiTheme="minorHAnsi"/>
          <w:sz w:val="22"/>
          <w:szCs w:val="22"/>
        </w:rPr>
        <w:t>Also</w:t>
      </w:r>
      <w:r w:rsidR="00C76166" w:rsidRPr="00661BD2">
        <w:rPr>
          <w:rFonts w:asciiTheme="minorHAnsi" w:hAnsiTheme="minorHAnsi"/>
          <w:sz w:val="22"/>
          <w:szCs w:val="22"/>
        </w:rPr>
        <w:t>, it is worth noting that whilst</w:t>
      </w:r>
      <w:r w:rsidR="00C76166" w:rsidRPr="00661BD2">
        <w:rPr>
          <w:rFonts w:asciiTheme="minorHAnsi" w:hAnsiTheme="minorHAnsi"/>
          <w:spacing w:val="1"/>
          <w:sz w:val="22"/>
          <w:szCs w:val="22"/>
        </w:rPr>
        <w:t xml:space="preserve"> </w:t>
      </w:r>
      <w:r w:rsidR="00C76166" w:rsidRPr="00661BD2">
        <w:rPr>
          <w:rFonts w:asciiTheme="minorHAnsi" w:hAnsiTheme="minorHAnsi"/>
          <w:sz w:val="22"/>
          <w:szCs w:val="22"/>
        </w:rPr>
        <w:t>the</w:t>
      </w:r>
      <w:r w:rsidR="00C76166" w:rsidRPr="00661BD2">
        <w:rPr>
          <w:rFonts w:asciiTheme="minorHAnsi" w:hAnsiTheme="minorHAnsi"/>
          <w:w w:val="99"/>
          <w:sz w:val="22"/>
          <w:szCs w:val="22"/>
        </w:rPr>
        <w:t xml:space="preserve"> </w:t>
      </w:r>
      <w:r w:rsidR="00C76166" w:rsidRPr="00661BD2">
        <w:rPr>
          <w:rFonts w:asciiTheme="minorHAnsi" w:hAnsiTheme="minorHAnsi"/>
          <w:sz w:val="22"/>
          <w:szCs w:val="22"/>
        </w:rPr>
        <w:t xml:space="preserve">NEIO </w:t>
      </w:r>
      <w:r w:rsidR="00C76166">
        <w:rPr>
          <w:rFonts w:asciiTheme="minorHAnsi" w:hAnsiTheme="minorHAnsi"/>
          <w:sz w:val="22"/>
          <w:szCs w:val="22"/>
        </w:rPr>
        <w:t>f</w:t>
      </w:r>
      <w:r w:rsidR="00C76166" w:rsidRPr="00661BD2">
        <w:rPr>
          <w:rFonts w:asciiTheme="minorHAnsi" w:hAnsiTheme="minorHAnsi"/>
          <w:sz w:val="22"/>
          <w:szCs w:val="22"/>
        </w:rPr>
        <w:t xml:space="preserve">ramework can be successful in identifying </w:t>
      </w:r>
      <w:r w:rsidR="00D57F9B">
        <w:rPr>
          <w:rFonts w:asciiTheme="minorHAnsi" w:hAnsiTheme="minorHAnsi"/>
          <w:sz w:val="22"/>
          <w:szCs w:val="22"/>
        </w:rPr>
        <w:t xml:space="preserve">the </w:t>
      </w:r>
      <w:r w:rsidR="00D57F9B" w:rsidRPr="007A036E">
        <w:rPr>
          <w:rFonts w:asciiTheme="minorHAnsi" w:hAnsiTheme="minorHAnsi"/>
          <w:sz w:val="22"/>
          <w:szCs w:val="22"/>
        </w:rPr>
        <w:t xml:space="preserve">presence of </w:t>
      </w:r>
      <w:r w:rsidR="00C76166" w:rsidRPr="007A036E">
        <w:rPr>
          <w:rFonts w:asciiTheme="minorHAnsi" w:hAnsiTheme="minorHAnsi"/>
          <w:sz w:val="22"/>
          <w:szCs w:val="22"/>
        </w:rPr>
        <w:t>market power, it fails to identify the</w:t>
      </w:r>
      <w:r w:rsidR="00C76166" w:rsidRPr="007A036E">
        <w:rPr>
          <w:rFonts w:asciiTheme="minorHAnsi" w:hAnsiTheme="minorHAnsi"/>
          <w:w w:val="99"/>
          <w:sz w:val="22"/>
          <w:szCs w:val="22"/>
        </w:rPr>
        <w:t xml:space="preserve"> </w:t>
      </w:r>
      <w:r w:rsidR="00C76166" w:rsidRPr="007A036E">
        <w:rPr>
          <w:rFonts w:asciiTheme="minorHAnsi" w:hAnsiTheme="minorHAnsi"/>
          <w:sz w:val="22"/>
          <w:szCs w:val="22"/>
        </w:rPr>
        <w:t>source</w:t>
      </w:r>
      <w:r w:rsidR="00C76166" w:rsidRPr="00661BD2">
        <w:rPr>
          <w:rFonts w:asciiTheme="minorHAnsi" w:hAnsiTheme="minorHAnsi"/>
          <w:sz w:val="22"/>
          <w:szCs w:val="22"/>
        </w:rPr>
        <w:t xml:space="preserve"> of market power, forcing authors to speculate (Digal </w:t>
      </w:r>
      <w:r w:rsidR="00C76166">
        <w:rPr>
          <w:rFonts w:asciiTheme="minorHAnsi" w:hAnsiTheme="minorHAnsi"/>
          <w:sz w:val="22"/>
          <w:szCs w:val="22"/>
        </w:rPr>
        <w:t>and</w:t>
      </w:r>
      <w:r w:rsidR="00C76166" w:rsidRPr="00661BD2">
        <w:rPr>
          <w:rFonts w:asciiTheme="minorHAnsi" w:hAnsiTheme="minorHAnsi"/>
          <w:sz w:val="22"/>
          <w:szCs w:val="22"/>
        </w:rPr>
        <w:t xml:space="preserve"> Ahmadi–Esfahani,</w:t>
      </w:r>
      <w:r w:rsidR="00C76166" w:rsidRPr="00661BD2">
        <w:rPr>
          <w:rFonts w:asciiTheme="minorHAnsi" w:hAnsiTheme="minorHAnsi"/>
          <w:spacing w:val="-1"/>
          <w:sz w:val="22"/>
          <w:szCs w:val="22"/>
        </w:rPr>
        <w:t xml:space="preserve"> </w:t>
      </w:r>
      <w:r w:rsidR="00C76166" w:rsidRPr="00661BD2">
        <w:rPr>
          <w:rFonts w:asciiTheme="minorHAnsi" w:hAnsiTheme="minorHAnsi"/>
          <w:sz w:val="22"/>
          <w:szCs w:val="22"/>
        </w:rPr>
        <w:t>2002).</w:t>
      </w:r>
      <w:r w:rsidR="00C76166">
        <w:rPr>
          <w:rFonts w:asciiTheme="minorHAnsi" w:hAnsiTheme="minorHAnsi"/>
          <w:sz w:val="22"/>
          <w:szCs w:val="22"/>
        </w:rPr>
        <w:t xml:space="preserve"> </w:t>
      </w:r>
      <w:r w:rsidR="000B5071">
        <w:rPr>
          <w:rFonts w:asciiTheme="minorHAnsi" w:hAnsiTheme="minorHAnsi"/>
          <w:sz w:val="22"/>
          <w:szCs w:val="22"/>
        </w:rPr>
        <w:t>But,</w:t>
      </w:r>
      <w:r w:rsidR="00DE4012">
        <w:rPr>
          <w:rFonts w:asciiTheme="minorHAnsi" w:hAnsiTheme="minorHAnsi"/>
          <w:sz w:val="22"/>
          <w:szCs w:val="22"/>
        </w:rPr>
        <w:t xml:space="preserve"> if market power is fo</w:t>
      </w:r>
      <w:r w:rsidR="001E6AC4">
        <w:rPr>
          <w:rFonts w:asciiTheme="minorHAnsi" w:hAnsiTheme="minorHAnsi"/>
          <w:sz w:val="22"/>
          <w:szCs w:val="22"/>
        </w:rPr>
        <w:t xml:space="preserve">und using this simple framework, </w:t>
      </w:r>
      <w:r w:rsidR="00DE4012">
        <w:rPr>
          <w:rFonts w:asciiTheme="minorHAnsi" w:hAnsiTheme="minorHAnsi"/>
          <w:sz w:val="22"/>
          <w:szCs w:val="22"/>
        </w:rPr>
        <w:t>the option remains</w:t>
      </w:r>
      <w:r w:rsidR="001E6AC4">
        <w:rPr>
          <w:rFonts w:asciiTheme="minorHAnsi" w:hAnsiTheme="minorHAnsi"/>
          <w:sz w:val="22"/>
          <w:szCs w:val="22"/>
        </w:rPr>
        <w:t xml:space="preserve"> of re-examining the </w:t>
      </w:r>
      <w:proofErr w:type="gramStart"/>
      <w:r w:rsidR="001E6AC4">
        <w:rPr>
          <w:rFonts w:asciiTheme="minorHAnsi" w:hAnsiTheme="minorHAnsi"/>
          <w:sz w:val="22"/>
          <w:szCs w:val="22"/>
        </w:rPr>
        <w:t>particular case</w:t>
      </w:r>
      <w:proofErr w:type="gramEnd"/>
      <w:r w:rsidR="001E6AC4">
        <w:rPr>
          <w:rFonts w:asciiTheme="minorHAnsi" w:hAnsiTheme="minorHAnsi"/>
          <w:sz w:val="22"/>
          <w:szCs w:val="22"/>
        </w:rPr>
        <w:t xml:space="preserve"> using more sophisticated methods</w:t>
      </w:r>
      <w:r w:rsidR="00626F01">
        <w:rPr>
          <w:rFonts w:asciiTheme="minorHAnsi" w:hAnsiTheme="minorHAnsi"/>
          <w:sz w:val="22"/>
          <w:szCs w:val="22"/>
        </w:rPr>
        <w:t>. An</w:t>
      </w:r>
      <w:r w:rsidR="001E6AC4">
        <w:rPr>
          <w:rFonts w:asciiTheme="minorHAnsi" w:hAnsiTheme="minorHAnsi"/>
          <w:sz w:val="22"/>
          <w:szCs w:val="22"/>
        </w:rPr>
        <w:t xml:space="preserve"> example </w:t>
      </w:r>
      <w:r w:rsidR="00626F01">
        <w:rPr>
          <w:rFonts w:asciiTheme="minorHAnsi" w:hAnsiTheme="minorHAnsi"/>
          <w:sz w:val="22"/>
          <w:szCs w:val="22"/>
        </w:rPr>
        <w:t xml:space="preserve">is </w:t>
      </w:r>
      <w:r w:rsidR="001E6AC4">
        <w:rPr>
          <w:rFonts w:asciiTheme="minorHAnsi" w:hAnsiTheme="minorHAnsi"/>
          <w:sz w:val="22"/>
          <w:szCs w:val="22"/>
        </w:rPr>
        <w:t>the work of</w:t>
      </w:r>
      <w:r w:rsidR="00DE4012">
        <w:rPr>
          <w:rFonts w:asciiTheme="minorHAnsi" w:hAnsiTheme="minorHAnsi"/>
          <w:sz w:val="22"/>
          <w:szCs w:val="22"/>
        </w:rPr>
        <w:t xml:space="preserve"> </w:t>
      </w:r>
      <w:r w:rsidR="001E6AC4">
        <w:rPr>
          <w:rFonts w:asciiTheme="minorHAnsi" w:hAnsiTheme="minorHAnsi"/>
          <w:sz w:val="22"/>
          <w:szCs w:val="22"/>
        </w:rPr>
        <w:t xml:space="preserve">O’Donnell et al. (2007) as a </w:t>
      </w:r>
      <w:r w:rsidR="000B5071">
        <w:rPr>
          <w:rFonts w:asciiTheme="minorHAnsi" w:hAnsiTheme="minorHAnsi"/>
          <w:sz w:val="22"/>
          <w:szCs w:val="22"/>
        </w:rPr>
        <w:t xml:space="preserve">more detailed </w:t>
      </w:r>
      <w:r w:rsidR="001E6AC4">
        <w:rPr>
          <w:rFonts w:asciiTheme="minorHAnsi" w:hAnsiTheme="minorHAnsi"/>
          <w:sz w:val="22"/>
          <w:szCs w:val="22"/>
        </w:rPr>
        <w:t>follow</w:t>
      </w:r>
      <w:r w:rsidR="000B5071">
        <w:rPr>
          <w:rFonts w:asciiTheme="minorHAnsi" w:hAnsiTheme="minorHAnsi"/>
          <w:sz w:val="22"/>
          <w:szCs w:val="22"/>
        </w:rPr>
        <w:t>-</w:t>
      </w:r>
      <w:r w:rsidR="001E6AC4">
        <w:rPr>
          <w:rFonts w:asciiTheme="minorHAnsi" w:hAnsiTheme="minorHAnsi"/>
          <w:sz w:val="22"/>
          <w:szCs w:val="22"/>
        </w:rPr>
        <w:t xml:space="preserve">up to the initial </w:t>
      </w:r>
      <w:r w:rsidR="00626F01">
        <w:rPr>
          <w:rFonts w:asciiTheme="minorHAnsi" w:hAnsiTheme="minorHAnsi"/>
          <w:sz w:val="22"/>
          <w:szCs w:val="22"/>
        </w:rPr>
        <w:t xml:space="preserve">(NEIO-based) </w:t>
      </w:r>
      <w:r w:rsidR="001E6AC4">
        <w:rPr>
          <w:rFonts w:asciiTheme="minorHAnsi" w:hAnsiTheme="minorHAnsi"/>
          <w:sz w:val="22"/>
          <w:szCs w:val="22"/>
        </w:rPr>
        <w:t xml:space="preserve">results of </w:t>
      </w:r>
      <w:r w:rsidR="000B5071">
        <w:rPr>
          <w:rFonts w:asciiTheme="minorHAnsi" w:hAnsiTheme="minorHAnsi"/>
          <w:sz w:val="22"/>
          <w:szCs w:val="22"/>
        </w:rPr>
        <w:t xml:space="preserve">grains and oilseeds input buying market power found by </w:t>
      </w:r>
      <w:r w:rsidR="001E6AC4">
        <w:rPr>
          <w:rFonts w:asciiTheme="minorHAnsi" w:hAnsiTheme="minorHAnsi"/>
          <w:sz w:val="22"/>
          <w:szCs w:val="22"/>
        </w:rPr>
        <w:t>Griffith (2000).</w:t>
      </w:r>
    </w:p>
    <w:p w14:paraId="7638585A" w14:textId="77777777" w:rsidR="00D907AB" w:rsidRDefault="00D907AB" w:rsidP="00C61C20">
      <w:pPr>
        <w:pStyle w:val="Heading2"/>
        <w:tabs>
          <w:tab w:val="left" w:pos="460"/>
        </w:tabs>
        <w:ind w:left="0" w:firstLine="0"/>
        <w:jc w:val="both"/>
        <w:rPr>
          <w:rFonts w:asciiTheme="minorHAnsi" w:hAnsiTheme="minorHAnsi"/>
          <w:b/>
          <w:sz w:val="22"/>
          <w:szCs w:val="22"/>
        </w:rPr>
      </w:pPr>
    </w:p>
    <w:p w14:paraId="02FDA3F4" w14:textId="02FE70C1" w:rsidR="004806F6" w:rsidRPr="00814BDF" w:rsidRDefault="00D57F9B" w:rsidP="00C61C20">
      <w:pPr>
        <w:pStyle w:val="Heading2"/>
        <w:tabs>
          <w:tab w:val="left" w:pos="460"/>
        </w:tabs>
        <w:ind w:left="0" w:firstLine="0"/>
        <w:jc w:val="both"/>
        <w:rPr>
          <w:rFonts w:asciiTheme="minorHAnsi" w:hAnsiTheme="minorHAnsi"/>
          <w:b/>
          <w:sz w:val="22"/>
          <w:szCs w:val="22"/>
        </w:rPr>
      </w:pPr>
      <w:r>
        <w:rPr>
          <w:rFonts w:asciiTheme="minorHAnsi" w:hAnsiTheme="minorHAnsi"/>
          <w:b/>
          <w:sz w:val="22"/>
          <w:szCs w:val="22"/>
        </w:rPr>
        <w:t xml:space="preserve">The </w:t>
      </w:r>
      <w:r w:rsidR="00363ED8" w:rsidRPr="00814BDF">
        <w:rPr>
          <w:rFonts w:asciiTheme="minorHAnsi" w:hAnsiTheme="minorHAnsi"/>
          <w:b/>
          <w:sz w:val="22"/>
          <w:szCs w:val="22"/>
        </w:rPr>
        <w:t>NEIO</w:t>
      </w:r>
      <w:r w:rsidR="00363ED8" w:rsidRPr="00814BDF">
        <w:rPr>
          <w:rFonts w:asciiTheme="minorHAnsi" w:hAnsiTheme="minorHAnsi"/>
          <w:b/>
          <w:spacing w:val="-2"/>
          <w:sz w:val="22"/>
          <w:szCs w:val="22"/>
        </w:rPr>
        <w:t xml:space="preserve"> </w:t>
      </w:r>
      <w:r w:rsidR="00212F67">
        <w:rPr>
          <w:rFonts w:asciiTheme="minorHAnsi" w:hAnsiTheme="minorHAnsi"/>
          <w:b/>
          <w:spacing w:val="-2"/>
          <w:sz w:val="22"/>
          <w:szCs w:val="22"/>
        </w:rPr>
        <w:t>f</w:t>
      </w:r>
      <w:r w:rsidR="00363ED8" w:rsidRPr="00814BDF">
        <w:rPr>
          <w:rFonts w:asciiTheme="minorHAnsi" w:hAnsiTheme="minorHAnsi"/>
          <w:b/>
          <w:sz w:val="22"/>
          <w:szCs w:val="22"/>
        </w:rPr>
        <w:t>ramework</w:t>
      </w:r>
    </w:p>
    <w:p w14:paraId="57876BE8" w14:textId="77777777" w:rsidR="004806F6" w:rsidRPr="00661BD2" w:rsidRDefault="004806F6" w:rsidP="00661BD2">
      <w:pPr>
        <w:jc w:val="both"/>
        <w:rPr>
          <w:rFonts w:eastAsia="Calibri" w:cs="Calibri"/>
        </w:rPr>
      </w:pPr>
    </w:p>
    <w:p w14:paraId="014379D4" w14:textId="1AF7C9F4" w:rsidR="009F38ED" w:rsidRDefault="00363ED8" w:rsidP="00C76166">
      <w:pPr>
        <w:pStyle w:val="BodyText"/>
        <w:ind w:left="0"/>
        <w:jc w:val="both"/>
        <w:rPr>
          <w:rFonts w:asciiTheme="minorHAnsi" w:hAnsiTheme="minorHAnsi"/>
          <w:sz w:val="22"/>
          <w:szCs w:val="22"/>
        </w:rPr>
      </w:pPr>
      <w:r w:rsidRPr="00661BD2">
        <w:rPr>
          <w:rFonts w:asciiTheme="minorHAnsi" w:hAnsiTheme="minorHAnsi"/>
          <w:sz w:val="22"/>
          <w:szCs w:val="22"/>
        </w:rPr>
        <w:t xml:space="preserve">For consistency with previous </w:t>
      </w:r>
      <w:r w:rsidR="00D57F9B">
        <w:rPr>
          <w:rFonts w:asciiTheme="minorHAnsi" w:hAnsiTheme="minorHAnsi"/>
          <w:sz w:val="22"/>
          <w:szCs w:val="22"/>
        </w:rPr>
        <w:t xml:space="preserve">domestic market </w:t>
      </w:r>
      <w:r w:rsidRPr="00661BD2">
        <w:rPr>
          <w:rFonts w:asciiTheme="minorHAnsi" w:hAnsiTheme="minorHAnsi"/>
          <w:sz w:val="22"/>
          <w:szCs w:val="22"/>
        </w:rPr>
        <w:t>research (</w:t>
      </w:r>
      <w:r w:rsidR="001E6AC4" w:rsidRPr="00661BD2">
        <w:rPr>
          <w:rFonts w:asciiTheme="minorHAnsi" w:hAnsiTheme="minorHAnsi"/>
          <w:sz w:val="22"/>
          <w:szCs w:val="22"/>
        </w:rPr>
        <w:t>Griffith,</w:t>
      </w:r>
      <w:r w:rsidR="001E6AC4" w:rsidRPr="00661BD2">
        <w:rPr>
          <w:rFonts w:asciiTheme="minorHAnsi" w:hAnsiTheme="minorHAnsi"/>
          <w:w w:val="99"/>
          <w:sz w:val="22"/>
          <w:szCs w:val="22"/>
        </w:rPr>
        <w:t xml:space="preserve"> </w:t>
      </w:r>
      <w:r w:rsidR="001E6AC4" w:rsidRPr="00661BD2">
        <w:rPr>
          <w:rFonts w:asciiTheme="minorHAnsi" w:hAnsiTheme="minorHAnsi"/>
          <w:sz w:val="22"/>
          <w:szCs w:val="22"/>
        </w:rPr>
        <w:t>2000</w:t>
      </w:r>
      <w:r w:rsidR="001E6AC4">
        <w:rPr>
          <w:rFonts w:asciiTheme="minorHAnsi" w:hAnsiTheme="minorHAnsi"/>
          <w:sz w:val="22"/>
          <w:szCs w:val="22"/>
        </w:rPr>
        <w:t xml:space="preserve">; </w:t>
      </w:r>
      <w:r w:rsidR="00626F01">
        <w:rPr>
          <w:rFonts w:asciiTheme="minorHAnsi" w:hAnsiTheme="minorHAnsi"/>
          <w:sz w:val="22"/>
          <w:szCs w:val="22"/>
        </w:rPr>
        <w:t xml:space="preserve">and </w:t>
      </w:r>
      <w:r w:rsidRPr="00661BD2">
        <w:rPr>
          <w:rFonts w:asciiTheme="minorHAnsi" w:hAnsiTheme="minorHAnsi"/>
          <w:sz w:val="22"/>
          <w:szCs w:val="22"/>
        </w:rPr>
        <w:t xml:space="preserve">Chung </w:t>
      </w:r>
      <w:r w:rsidR="002B453B">
        <w:rPr>
          <w:rFonts w:asciiTheme="minorHAnsi" w:hAnsiTheme="minorHAnsi"/>
          <w:sz w:val="22"/>
          <w:szCs w:val="22"/>
        </w:rPr>
        <w:t>and</w:t>
      </w:r>
      <w:r w:rsidRPr="00661BD2">
        <w:rPr>
          <w:rFonts w:asciiTheme="minorHAnsi" w:hAnsiTheme="minorHAnsi"/>
          <w:sz w:val="22"/>
          <w:szCs w:val="22"/>
        </w:rPr>
        <w:t xml:space="preserve"> Griffith, 2009</w:t>
      </w:r>
      <w:r w:rsidR="00626F01">
        <w:rPr>
          <w:rFonts w:asciiTheme="minorHAnsi" w:hAnsiTheme="minorHAnsi"/>
          <w:sz w:val="22"/>
          <w:szCs w:val="22"/>
        </w:rPr>
        <w:t xml:space="preserve">) and more recently </w:t>
      </w:r>
      <w:r w:rsidR="001E6AC4">
        <w:rPr>
          <w:rFonts w:asciiTheme="minorHAnsi" w:hAnsiTheme="minorHAnsi"/>
          <w:sz w:val="22"/>
          <w:szCs w:val="22"/>
        </w:rPr>
        <w:t>Hilli and Griffith</w:t>
      </w:r>
      <w:r w:rsidR="00626F01">
        <w:rPr>
          <w:rFonts w:asciiTheme="minorHAnsi" w:hAnsiTheme="minorHAnsi"/>
          <w:sz w:val="22"/>
          <w:szCs w:val="22"/>
        </w:rPr>
        <w:t xml:space="preserve"> (</w:t>
      </w:r>
      <w:r w:rsidR="001E6AC4">
        <w:rPr>
          <w:rFonts w:asciiTheme="minorHAnsi" w:hAnsiTheme="minorHAnsi"/>
          <w:sz w:val="22"/>
          <w:szCs w:val="22"/>
        </w:rPr>
        <w:t>2022</w:t>
      </w:r>
      <w:r w:rsidR="00626F01">
        <w:rPr>
          <w:rFonts w:asciiTheme="minorHAnsi" w:hAnsiTheme="minorHAnsi"/>
          <w:sz w:val="22"/>
          <w:szCs w:val="22"/>
        </w:rPr>
        <w:t>)</w:t>
      </w:r>
      <w:r w:rsidR="001E6AC4">
        <w:rPr>
          <w:rFonts w:asciiTheme="minorHAnsi" w:hAnsiTheme="minorHAnsi"/>
          <w:sz w:val="22"/>
          <w:szCs w:val="22"/>
        </w:rPr>
        <w:t xml:space="preserve"> and </w:t>
      </w:r>
      <w:r w:rsidR="00C76166">
        <w:rPr>
          <w:rFonts w:asciiTheme="minorHAnsi" w:hAnsiTheme="minorHAnsi"/>
          <w:sz w:val="22"/>
          <w:szCs w:val="22"/>
        </w:rPr>
        <w:t>Dhakal and Griffith</w:t>
      </w:r>
      <w:r w:rsidR="00626F01">
        <w:rPr>
          <w:rFonts w:asciiTheme="minorHAnsi" w:hAnsiTheme="minorHAnsi"/>
          <w:sz w:val="22"/>
          <w:szCs w:val="22"/>
        </w:rPr>
        <w:t xml:space="preserve"> (</w:t>
      </w:r>
      <w:r w:rsidR="00C76166">
        <w:rPr>
          <w:rFonts w:asciiTheme="minorHAnsi" w:hAnsiTheme="minorHAnsi"/>
          <w:sz w:val="22"/>
          <w:szCs w:val="22"/>
        </w:rPr>
        <w:t>2023</w:t>
      </w:r>
      <w:r w:rsidRPr="00661BD2">
        <w:rPr>
          <w:rFonts w:asciiTheme="minorHAnsi" w:hAnsiTheme="minorHAnsi"/>
          <w:sz w:val="22"/>
          <w:szCs w:val="22"/>
        </w:rPr>
        <w:t>)</w:t>
      </w:r>
      <w:r w:rsidR="000B5071">
        <w:rPr>
          <w:rFonts w:asciiTheme="minorHAnsi" w:hAnsiTheme="minorHAnsi"/>
          <w:sz w:val="22"/>
          <w:szCs w:val="22"/>
        </w:rPr>
        <w:t>,</w:t>
      </w:r>
      <w:r w:rsidRPr="00661BD2">
        <w:rPr>
          <w:rFonts w:asciiTheme="minorHAnsi" w:hAnsiTheme="minorHAnsi"/>
          <w:sz w:val="22"/>
          <w:szCs w:val="22"/>
        </w:rPr>
        <w:t xml:space="preserve"> th</w:t>
      </w:r>
      <w:r w:rsidR="00626F01">
        <w:rPr>
          <w:rFonts w:asciiTheme="minorHAnsi" w:hAnsiTheme="minorHAnsi"/>
          <w:sz w:val="22"/>
          <w:szCs w:val="22"/>
        </w:rPr>
        <w:t>e present</w:t>
      </w:r>
      <w:r w:rsidRPr="00661BD2">
        <w:rPr>
          <w:rFonts w:asciiTheme="minorHAnsi" w:hAnsiTheme="minorHAnsi"/>
          <w:sz w:val="22"/>
          <w:szCs w:val="22"/>
        </w:rPr>
        <w:t xml:space="preserve"> </w:t>
      </w:r>
      <w:r w:rsidR="00152089">
        <w:rPr>
          <w:rFonts w:asciiTheme="minorHAnsi" w:hAnsiTheme="minorHAnsi"/>
          <w:sz w:val="22"/>
          <w:szCs w:val="22"/>
        </w:rPr>
        <w:t>study</w:t>
      </w:r>
      <w:r w:rsidRPr="00661BD2">
        <w:rPr>
          <w:rFonts w:asciiTheme="minorHAnsi" w:hAnsiTheme="minorHAnsi"/>
          <w:sz w:val="22"/>
          <w:szCs w:val="22"/>
        </w:rPr>
        <w:t xml:space="preserve"> use</w:t>
      </w:r>
      <w:r w:rsidR="009F38ED">
        <w:rPr>
          <w:rFonts w:asciiTheme="minorHAnsi" w:hAnsiTheme="minorHAnsi"/>
          <w:sz w:val="22"/>
          <w:szCs w:val="22"/>
        </w:rPr>
        <w:t>s</w:t>
      </w:r>
      <w:r w:rsidRPr="00661BD2">
        <w:rPr>
          <w:rFonts w:asciiTheme="minorHAnsi" w:hAnsiTheme="minorHAnsi"/>
          <w:sz w:val="22"/>
          <w:szCs w:val="22"/>
        </w:rPr>
        <w:t xml:space="preserve"> the </w:t>
      </w:r>
      <w:proofErr w:type="gramStart"/>
      <w:r w:rsidR="00D907AB">
        <w:rPr>
          <w:rFonts w:asciiTheme="minorHAnsi" w:hAnsiTheme="minorHAnsi"/>
          <w:sz w:val="22"/>
          <w:szCs w:val="22"/>
        </w:rPr>
        <w:t xml:space="preserve">particular </w:t>
      </w:r>
      <w:r w:rsidR="000B5071">
        <w:rPr>
          <w:rFonts w:asciiTheme="minorHAnsi" w:hAnsiTheme="minorHAnsi"/>
          <w:sz w:val="22"/>
          <w:szCs w:val="22"/>
        </w:rPr>
        <w:t>form</w:t>
      </w:r>
      <w:proofErr w:type="gramEnd"/>
      <w:r w:rsidR="000B5071">
        <w:rPr>
          <w:rFonts w:asciiTheme="minorHAnsi" w:hAnsiTheme="minorHAnsi"/>
          <w:sz w:val="22"/>
          <w:szCs w:val="22"/>
        </w:rPr>
        <w:t xml:space="preserve"> of the </w:t>
      </w:r>
      <w:r w:rsidRPr="00661BD2">
        <w:rPr>
          <w:rFonts w:asciiTheme="minorHAnsi" w:hAnsiTheme="minorHAnsi"/>
          <w:sz w:val="22"/>
          <w:szCs w:val="22"/>
        </w:rPr>
        <w:t xml:space="preserve">NEIO </w:t>
      </w:r>
      <w:r w:rsidR="009F38ED">
        <w:rPr>
          <w:rFonts w:asciiTheme="minorHAnsi" w:hAnsiTheme="minorHAnsi"/>
          <w:sz w:val="22"/>
          <w:szCs w:val="22"/>
        </w:rPr>
        <w:t>f</w:t>
      </w:r>
      <w:r w:rsidRPr="00661BD2">
        <w:rPr>
          <w:rFonts w:asciiTheme="minorHAnsi" w:hAnsiTheme="minorHAnsi"/>
          <w:sz w:val="22"/>
          <w:szCs w:val="22"/>
        </w:rPr>
        <w:t xml:space="preserve">ramework </w:t>
      </w:r>
      <w:r w:rsidR="00C76166">
        <w:rPr>
          <w:rFonts w:asciiTheme="minorHAnsi" w:hAnsiTheme="minorHAnsi"/>
          <w:sz w:val="22"/>
          <w:szCs w:val="22"/>
        </w:rPr>
        <w:t xml:space="preserve">specified and </w:t>
      </w:r>
      <w:r w:rsidRPr="00661BD2">
        <w:rPr>
          <w:rFonts w:asciiTheme="minorHAnsi" w:hAnsiTheme="minorHAnsi"/>
          <w:sz w:val="22"/>
          <w:szCs w:val="22"/>
        </w:rPr>
        <w:t>applied by O'Donnell (1999) to</w:t>
      </w:r>
      <w:r w:rsidRPr="00661BD2">
        <w:rPr>
          <w:rFonts w:asciiTheme="minorHAnsi" w:hAnsiTheme="minorHAnsi"/>
          <w:spacing w:val="-7"/>
          <w:sz w:val="22"/>
          <w:szCs w:val="22"/>
        </w:rPr>
        <w:t xml:space="preserve"> </w:t>
      </w:r>
      <w:r w:rsidRPr="00661BD2">
        <w:rPr>
          <w:rFonts w:asciiTheme="minorHAnsi" w:hAnsiTheme="minorHAnsi"/>
          <w:sz w:val="22"/>
          <w:szCs w:val="22"/>
        </w:rPr>
        <w:t xml:space="preserve">assess market power. </w:t>
      </w:r>
      <w:r w:rsidR="00D57F9B">
        <w:rPr>
          <w:rFonts w:asciiTheme="minorHAnsi" w:hAnsiTheme="minorHAnsi"/>
          <w:sz w:val="22"/>
          <w:szCs w:val="22"/>
        </w:rPr>
        <w:t>This formulation is also consistent with that used by Zhao et al. (1997) in the beef export market</w:t>
      </w:r>
      <w:r w:rsidR="00486BF6">
        <w:rPr>
          <w:rFonts w:asciiTheme="minorHAnsi" w:hAnsiTheme="minorHAnsi"/>
          <w:sz w:val="22"/>
          <w:szCs w:val="22"/>
        </w:rPr>
        <w:t>.</w:t>
      </w:r>
    </w:p>
    <w:p w14:paraId="3C967593" w14:textId="77777777" w:rsidR="00C76166" w:rsidRDefault="00C76166" w:rsidP="00C76166">
      <w:pPr>
        <w:pStyle w:val="BodyText"/>
        <w:ind w:left="0"/>
        <w:jc w:val="both"/>
        <w:rPr>
          <w:rFonts w:asciiTheme="minorHAnsi" w:hAnsiTheme="minorHAnsi"/>
          <w:sz w:val="22"/>
          <w:szCs w:val="22"/>
        </w:rPr>
      </w:pPr>
    </w:p>
    <w:p w14:paraId="535E55E7" w14:textId="7523EAF6" w:rsidR="00C76166" w:rsidRPr="00C76166" w:rsidRDefault="009F38ED" w:rsidP="00C76166">
      <w:pPr>
        <w:pStyle w:val="Default"/>
        <w:contextualSpacing/>
        <w:jc w:val="both"/>
        <w:rPr>
          <w:rFonts w:asciiTheme="minorHAnsi" w:hAnsiTheme="minorHAnsi" w:cstheme="minorHAnsi"/>
          <w:color w:val="000000" w:themeColor="text1"/>
          <w:sz w:val="22"/>
          <w:szCs w:val="22"/>
        </w:rPr>
      </w:pPr>
      <w:r w:rsidRPr="00661BD2">
        <w:rPr>
          <w:rFonts w:asciiTheme="minorHAnsi" w:hAnsiTheme="minorHAnsi"/>
          <w:sz w:val="22"/>
          <w:szCs w:val="22"/>
        </w:rPr>
        <w:t xml:space="preserve">Access to </w:t>
      </w:r>
      <w:r w:rsidR="00C76166">
        <w:rPr>
          <w:rFonts w:asciiTheme="minorHAnsi" w:hAnsiTheme="minorHAnsi"/>
          <w:sz w:val="22"/>
          <w:szCs w:val="22"/>
        </w:rPr>
        <w:t xml:space="preserve">disaggregated </w:t>
      </w:r>
      <w:r w:rsidRPr="00661BD2">
        <w:rPr>
          <w:rFonts w:asciiTheme="minorHAnsi" w:hAnsiTheme="minorHAnsi"/>
          <w:sz w:val="22"/>
          <w:szCs w:val="22"/>
        </w:rPr>
        <w:t xml:space="preserve">data has limited Australian empirical research </w:t>
      </w:r>
      <w:r w:rsidR="00AA5088">
        <w:rPr>
          <w:rFonts w:asciiTheme="minorHAnsi" w:hAnsiTheme="minorHAnsi"/>
          <w:sz w:val="22"/>
          <w:szCs w:val="22"/>
        </w:rPr>
        <w:t xml:space="preserve">into </w:t>
      </w:r>
      <w:r w:rsidRPr="00661BD2">
        <w:rPr>
          <w:rFonts w:asciiTheme="minorHAnsi" w:hAnsiTheme="minorHAnsi"/>
          <w:sz w:val="22"/>
          <w:szCs w:val="22"/>
        </w:rPr>
        <w:t>market</w:t>
      </w:r>
      <w:r w:rsidRPr="00661BD2">
        <w:rPr>
          <w:rFonts w:asciiTheme="minorHAnsi" w:hAnsiTheme="minorHAnsi"/>
          <w:spacing w:val="-2"/>
          <w:sz w:val="22"/>
          <w:szCs w:val="22"/>
        </w:rPr>
        <w:t xml:space="preserve"> </w:t>
      </w:r>
      <w:r w:rsidRPr="00661BD2">
        <w:rPr>
          <w:rFonts w:asciiTheme="minorHAnsi" w:hAnsiTheme="minorHAnsi"/>
          <w:sz w:val="22"/>
          <w:szCs w:val="22"/>
        </w:rPr>
        <w:t>power</w:t>
      </w:r>
      <w:r w:rsidR="00AA5088">
        <w:rPr>
          <w:rFonts w:asciiTheme="minorHAnsi" w:hAnsiTheme="minorHAnsi"/>
          <w:sz w:val="22"/>
          <w:szCs w:val="22"/>
        </w:rPr>
        <w:t xml:space="preserve"> in the markets for meat</w:t>
      </w:r>
      <w:r w:rsidR="000B5071">
        <w:rPr>
          <w:rFonts w:asciiTheme="minorHAnsi" w:hAnsiTheme="minorHAnsi"/>
          <w:sz w:val="22"/>
          <w:szCs w:val="22"/>
        </w:rPr>
        <w:t>, so studies done have had to take a very aggregated view</w:t>
      </w:r>
      <w:r w:rsidR="00D907AB">
        <w:rPr>
          <w:rFonts w:asciiTheme="minorHAnsi" w:hAnsiTheme="minorHAnsi"/>
          <w:sz w:val="22"/>
          <w:szCs w:val="22"/>
        </w:rPr>
        <w:t xml:space="preserve">. Several studies used data up until about the mid-1990s. </w:t>
      </w:r>
      <w:r w:rsidRPr="00661BD2">
        <w:rPr>
          <w:rFonts w:asciiTheme="minorHAnsi" w:hAnsiTheme="minorHAnsi"/>
          <w:sz w:val="22"/>
          <w:szCs w:val="22"/>
        </w:rPr>
        <w:t>Hyde and Perloff (1996) estimated market power in Australian retail fresh</w:t>
      </w:r>
      <w:r w:rsidRPr="00661BD2">
        <w:rPr>
          <w:rFonts w:asciiTheme="minorHAnsi" w:hAnsiTheme="minorHAnsi"/>
          <w:spacing w:val="-2"/>
          <w:sz w:val="22"/>
          <w:szCs w:val="22"/>
        </w:rPr>
        <w:t xml:space="preserve"> </w:t>
      </w:r>
      <w:r w:rsidRPr="00661BD2">
        <w:rPr>
          <w:rFonts w:asciiTheme="minorHAnsi" w:hAnsiTheme="minorHAnsi"/>
          <w:sz w:val="22"/>
          <w:szCs w:val="22"/>
        </w:rPr>
        <w:t>meat</w:t>
      </w:r>
      <w:r w:rsidR="00B964FF">
        <w:rPr>
          <w:rFonts w:asciiTheme="minorHAnsi" w:hAnsiTheme="minorHAnsi"/>
          <w:sz w:val="22"/>
          <w:szCs w:val="22"/>
        </w:rPr>
        <w:t xml:space="preserve"> markets</w:t>
      </w:r>
      <w:r w:rsidR="00AD67A5">
        <w:rPr>
          <w:rFonts w:asciiTheme="minorHAnsi" w:hAnsiTheme="minorHAnsi"/>
          <w:sz w:val="22"/>
          <w:szCs w:val="22"/>
        </w:rPr>
        <w:t xml:space="preserve"> using the NEIO framework</w:t>
      </w:r>
      <w:r w:rsidRPr="00661BD2">
        <w:rPr>
          <w:rFonts w:asciiTheme="minorHAnsi" w:hAnsiTheme="minorHAnsi"/>
          <w:sz w:val="22"/>
          <w:szCs w:val="22"/>
        </w:rPr>
        <w:t>,</w:t>
      </w:r>
      <w:r w:rsidRPr="00661BD2">
        <w:rPr>
          <w:rFonts w:asciiTheme="minorHAnsi" w:hAnsiTheme="minorHAnsi"/>
          <w:w w:val="99"/>
          <w:sz w:val="22"/>
          <w:szCs w:val="22"/>
        </w:rPr>
        <w:t xml:space="preserve"> </w:t>
      </w:r>
      <w:r w:rsidRPr="00661BD2">
        <w:rPr>
          <w:rFonts w:asciiTheme="minorHAnsi" w:hAnsiTheme="minorHAnsi"/>
          <w:sz w:val="22"/>
          <w:szCs w:val="22"/>
        </w:rPr>
        <w:t xml:space="preserve">finding </w:t>
      </w:r>
      <w:r w:rsidR="00C76166">
        <w:rPr>
          <w:rFonts w:asciiTheme="minorHAnsi" w:hAnsiTheme="minorHAnsi"/>
          <w:sz w:val="22"/>
          <w:szCs w:val="22"/>
        </w:rPr>
        <w:t xml:space="preserve">that the </w:t>
      </w:r>
      <w:r w:rsidRPr="00661BD2">
        <w:rPr>
          <w:rFonts w:asciiTheme="minorHAnsi" w:hAnsiTheme="minorHAnsi"/>
          <w:sz w:val="22"/>
          <w:szCs w:val="22"/>
        </w:rPr>
        <w:t>Australian retail</w:t>
      </w:r>
      <w:r w:rsidR="00C76166">
        <w:rPr>
          <w:rFonts w:asciiTheme="minorHAnsi" w:hAnsiTheme="minorHAnsi"/>
          <w:sz w:val="22"/>
          <w:szCs w:val="22"/>
        </w:rPr>
        <w:t xml:space="preserve"> meat market</w:t>
      </w:r>
      <w:r w:rsidRPr="00661BD2">
        <w:rPr>
          <w:rFonts w:asciiTheme="minorHAnsi" w:hAnsiTheme="minorHAnsi"/>
          <w:sz w:val="22"/>
          <w:szCs w:val="22"/>
        </w:rPr>
        <w:t xml:space="preserve"> </w:t>
      </w:r>
      <w:r w:rsidR="00C76166">
        <w:rPr>
          <w:rFonts w:asciiTheme="minorHAnsi" w:hAnsiTheme="minorHAnsi"/>
          <w:sz w:val="22"/>
          <w:szCs w:val="22"/>
        </w:rPr>
        <w:t>wa</w:t>
      </w:r>
      <w:r w:rsidRPr="00661BD2">
        <w:rPr>
          <w:rFonts w:asciiTheme="minorHAnsi" w:hAnsiTheme="minorHAnsi"/>
          <w:sz w:val="22"/>
          <w:szCs w:val="22"/>
        </w:rPr>
        <w:t xml:space="preserve">s </w:t>
      </w:r>
      <w:proofErr w:type="gramStart"/>
      <w:r w:rsidRPr="00661BD2">
        <w:rPr>
          <w:rFonts w:asciiTheme="minorHAnsi" w:hAnsiTheme="minorHAnsi"/>
          <w:sz w:val="22"/>
          <w:szCs w:val="22"/>
        </w:rPr>
        <w:lastRenderedPageBreak/>
        <w:t>competitive</w:t>
      </w:r>
      <w:proofErr w:type="gramEnd"/>
      <w:r w:rsidRPr="00661BD2">
        <w:rPr>
          <w:rFonts w:asciiTheme="minorHAnsi" w:hAnsiTheme="minorHAnsi"/>
          <w:sz w:val="22"/>
          <w:szCs w:val="22"/>
        </w:rPr>
        <w:t xml:space="preserve"> and that market power ha</w:t>
      </w:r>
      <w:r w:rsidR="00C76166">
        <w:rPr>
          <w:rFonts w:asciiTheme="minorHAnsi" w:hAnsiTheme="minorHAnsi"/>
          <w:sz w:val="22"/>
          <w:szCs w:val="22"/>
        </w:rPr>
        <w:t>d</w:t>
      </w:r>
      <w:r w:rsidRPr="00661BD2">
        <w:rPr>
          <w:rFonts w:asciiTheme="minorHAnsi" w:hAnsiTheme="minorHAnsi"/>
          <w:sz w:val="22"/>
          <w:szCs w:val="22"/>
        </w:rPr>
        <w:t xml:space="preserve"> not been increasing over time. </w:t>
      </w:r>
      <w:r w:rsidR="00C76166" w:rsidRPr="00C76166">
        <w:rPr>
          <w:rFonts w:asciiTheme="minorHAnsi" w:hAnsiTheme="minorHAnsi" w:cstheme="minorHAnsi"/>
          <w:color w:val="000000" w:themeColor="text1"/>
          <w:sz w:val="22"/>
          <w:szCs w:val="22"/>
        </w:rPr>
        <w:t xml:space="preserve">Zhao et al. (1997) modified the model developed by Holloway (1991) to account for trade and applied it to the Australian beef market. When the domestic and export markets were separated, there was no evidence found of non-competitive behaviour in the domestic beef market. </w:t>
      </w:r>
    </w:p>
    <w:p w14:paraId="65126A97" w14:textId="77777777" w:rsidR="00C76166" w:rsidRPr="00C76166" w:rsidRDefault="00C76166" w:rsidP="00C76166">
      <w:pPr>
        <w:pStyle w:val="Default"/>
        <w:contextualSpacing/>
        <w:jc w:val="both"/>
        <w:rPr>
          <w:rFonts w:asciiTheme="minorHAnsi" w:hAnsiTheme="minorHAnsi" w:cstheme="minorHAnsi"/>
          <w:color w:val="000000" w:themeColor="text1"/>
          <w:sz w:val="22"/>
          <w:szCs w:val="22"/>
        </w:rPr>
      </w:pPr>
    </w:p>
    <w:p w14:paraId="01B1A192" w14:textId="02AA3C4D" w:rsidR="00D907AB" w:rsidRDefault="00C76166" w:rsidP="00C76166">
      <w:pPr>
        <w:pStyle w:val="Default"/>
        <w:contextualSpacing/>
        <w:jc w:val="both"/>
        <w:rPr>
          <w:rFonts w:asciiTheme="minorHAnsi" w:hAnsiTheme="minorHAnsi" w:cstheme="minorHAnsi"/>
          <w:sz w:val="22"/>
          <w:szCs w:val="22"/>
        </w:rPr>
      </w:pPr>
      <w:r w:rsidRPr="00C76166">
        <w:rPr>
          <w:rFonts w:asciiTheme="minorHAnsi" w:hAnsiTheme="minorHAnsi" w:cstheme="minorHAnsi"/>
          <w:sz w:val="22"/>
          <w:szCs w:val="22"/>
        </w:rPr>
        <w:t xml:space="preserve">Using </w:t>
      </w:r>
      <w:r w:rsidR="000B5071">
        <w:rPr>
          <w:rFonts w:asciiTheme="minorHAnsi" w:hAnsiTheme="minorHAnsi" w:cstheme="minorHAnsi"/>
          <w:sz w:val="22"/>
          <w:szCs w:val="22"/>
        </w:rPr>
        <w:t>the O’Donnell (1999)</w:t>
      </w:r>
      <w:r w:rsidRPr="00C76166">
        <w:rPr>
          <w:rFonts w:asciiTheme="minorHAnsi" w:hAnsiTheme="minorHAnsi" w:cstheme="minorHAnsi"/>
          <w:sz w:val="22"/>
          <w:szCs w:val="22"/>
        </w:rPr>
        <w:t xml:space="preserve"> model and a highly aggregated data set, Griffith (2000) estimated the </w:t>
      </w:r>
      <w:r w:rsidR="00D57F9B">
        <w:rPr>
          <w:rFonts w:asciiTheme="minorHAnsi" w:hAnsiTheme="minorHAnsi" w:cstheme="minorHAnsi"/>
          <w:sz w:val="22"/>
          <w:szCs w:val="22"/>
        </w:rPr>
        <w:t xml:space="preserve">possibility of </w:t>
      </w:r>
      <w:r w:rsidRPr="00C76166">
        <w:rPr>
          <w:rFonts w:asciiTheme="minorHAnsi" w:hAnsiTheme="minorHAnsi" w:cstheme="minorHAnsi"/>
          <w:sz w:val="22"/>
          <w:szCs w:val="22"/>
        </w:rPr>
        <w:t xml:space="preserve">market power </w:t>
      </w:r>
      <w:r w:rsidR="00D57F9B">
        <w:rPr>
          <w:rFonts w:asciiTheme="minorHAnsi" w:hAnsiTheme="minorHAnsi" w:cstheme="minorHAnsi"/>
          <w:sz w:val="22"/>
          <w:szCs w:val="22"/>
        </w:rPr>
        <w:t>in</w:t>
      </w:r>
      <w:r w:rsidRPr="00C76166">
        <w:rPr>
          <w:rFonts w:asciiTheme="minorHAnsi" w:hAnsiTheme="minorHAnsi" w:cstheme="minorHAnsi"/>
          <w:sz w:val="22"/>
          <w:szCs w:val="22"/>
        </w:rPr>
        <w:t xml:space="preserve"> </w:t>
      </w:r>
      <w:r w:rsidR="000B5071">
        <w:rPr>
          <w:rFonts w:asciiTheme="minorHAnsi" w:hAnsiTheme="minorHAnsi" w:cstheme="minorHAnsi"/>
          <w:sz w:val="22"/>
          <w:szCs w:val="22"/>
        </w:rPr>
        <w:t xml:space="preserve">seven </w:t>
      </w:r>
      <w:r w:rsidRPr="00C76166">
        <w:rPr>
          <w:rFonts w:asciiTheme="minorHAnsi" w:hAnsiTheme="minorHAnsi" w:cstheme="minorHAnsi"/>
          <w:sz w:val="22"/>
          <w:szCs w:val="22"/>
        </w:rPr>
        <w:t xml:space="preserve">different Australian </w:t>
      </w:r>
      <w:r w:rsidR="000B5071">
        <w:rPr>
          <w:rFonts w:asciiTheme="minorHAnsi" w:hAnsiTheme="minorHAnsi" w:cstheme="minorHAnsi"/>
          <w:sz w:val="22"/>
          <w:szCs w:val="22"/>
        </w:rPr>
        <w:t xml:space="preserve">domestic </w:t>
      </w:r>
      <w:r w:rsidRPr="00C76166">
        <w:rPr>
          <w:rFonts w:asciiTheme="minorHAnsi" w:hAnsiTheme="minorHAnsi" w:cstheme="minorHAnsi"/>
          <w:sz w:val="22"/>
          <w:szCs w:val="22"/>
        </w:rPr>
        <w:t xml:space="preserve">food chains. </w:t>
      </w:r>
      <w:r w:rsidR="00F26E69">
        <w:rPr>
          <w:rFonts w:asciiTheme="minorHAnsi" w:hAnsiTheme="minorHAnsi" w:cstheme="minorHAnsi"/>
          <w:sz w:val="22"/>
          <w:szCs w:val="22"/>
        </w:rPr>
        <w:t>It was</w:t>
      </w:r>
      <w:r w:rsidRPr="00C76166">
        <w:rPr>
          <w:rFonts w:asciiTheme="minorHAnsi" w:hAnsiTheme="minorHAnsi" w:cstheme="minorHAnsi"/>
          <w:sz w:val="22"/>
          <w:szCs w:val="22"/>
        </w:rPr>
        <w:t xml:space="preserve"> found that the null hypothesis </w:t>
      </w:r>
      <w:r w:rsidR="000B5071">
        <w:rPr>
          <w:rFonts w:asciiTheme="minorHAnsi" w:hAnsiTheme="minorHAnsi" w:cstheme="minorHAnsi"/>
          <w:sz w:val="22"/>
          <w:szCs w:val="22"/>
        </w:rPr>
        <w:t>of</w:t>
      </w:r>
      <w:r w:rsidRPr="00C76166">
        <w:rPr>
          <w:rFonts w:asciiTheme="minorHAnsi" w:hAnsiTheme="minorHAnsi" w:cstheme="minorHAnsi"/>
          <w:sz w:val="22"/>
          <w:szCs w:val="22"/>
        </w:rPr>
        <w:t xml:space="preserve"> competitive behaviour of the various food products could not be rejected for </w:t>
      </w:r>
      <w:r w:rsidR="000B5071">
        <w:rPr>
          <w:rFonts w:asciiTheme="minorHAnsi" w:hAnsiTheme="minorHAnsi" w:cstheme="minorHAnsi"/>
          <w:sz w:val="22"/>
          <w:szCs w:val="22"/>
        </w:rPr>
        <w:t xml:space="preserve">any of </w:t>
      </w:r>
      <w:r w:rsidRPr="00C76166">
        <w:rPr>
          <w:rFonts w:asciiTheme="minorHAnsi" w:hAnsiTheme="minorHAnsi" w:cstheme="minorHAnsi"/>
          <w:sz w:val="22"/>
          <w:szCs w:val="22"/>
        </w:rPr>
        <w:t>the meat product group</w:t>
      </w:r>
      <w:r w:rsidR="007652E6">
        <w:rPr>
          <w:rFonts w:asciiTheme="minorHAnsi" w:hAnsiTheme="minorHAnsi" w:cstheme="minorHAnsi"/>
          <w:sz w:val="22"/>
          <w:szCs w:val="22"/>
        </w:rPr>
        <w:t xml:space="preserve"> (beef, lamb, pork and chicken)</w:t>
      </w:r>
      <w:r w:rsidRPr="00C76166">
        <w:rPr>
          <w:rFonts w:asciiTheme="minorHAnsi" w:hAnsiTheme="minorHAnsi" w:cstheme="minorHAnsi"/>
          <w:sz w:val="22"/>
          <w:szCs w:val="22"/>
        </w:rPr>
        <w:t xml:space="preserve">. </w:t>
      </w:r>
    </w:p>
    <w:p w14:paraId="2D50A569" w14:textId="77777777" w:rsidR="00D907AB" w:rsidRDefault="00D907AB" w:rsidP="00C76166">
      <w:pPr>
        <w:pStyle w:val="Default"/>
        <w:contextualSpacing/>
        <w:jc w:val="both"/>
        <w:rPr>
          <w:rFonts w:asciiTheme="minorHAnsi" w:hAnsiTheme="minorHAnsi" w:cstheme="minorHAnsi"/>
          <w:sz w:val="22"/>
          <w:szCs w:val="22"/>
        </w:rPr>
      </w:pPr>
    </w:p>
    <w:p w14:paraId="28FAA765" w14:textId="39ED90D7" w:rsidR="007652E6" w:rsidRDefault="00C76166" w:rsidP="007A036E">
      <w:pPr>
        <w:pStyle w:val="Default"/>
        <w:contextualSpacing/>
        <w:jc w:val="both"/>
        <w:rPr>
          <w:rFonts w:cs="Calibri"/>
          <w:sz w:val="22"/>
          <w:szCs w:val="22"/>
        </w:rPr>
      </w:pPr>
      <w:r w:rsidRPr="00C76166">
        <w:rPr>
          <w:rFonts w:asciiTheme="minorHAnsi" w:hAnsiTheme="minorHAnsi" w:cstheme="minorHAnsi"/>
          <w:sz w:val="22"/>
          <w:szCs w:val="22"/>
        </w:rPr>
        <w:t xml:space="preserve">This work was </w:t>
      </w:r>
      <w:r w:rsidRPr="00C76166">
        <w:rPr>
          <w:rFonts w:asciiTheme="minorHAnsi" w:hAnsiTheme="minorHAnsi" w:cstheme="minorHAnsi"/>
          <w:color w:val="000000" w:themeColor="text1"/>
          <w:sz w:val="22"/>
          <w:szCs w:val="22"/>
        </w:rPr>
        <w:t xml:space="preserve">subsequently updated </w:t>
      </w:r>
      <w:r w:rsidR="00C36EE3">
        <w:rPr>
          <w:rFonts w:asciiTheme="minorHAnsi" w:hAnsiTheme="minorHAnsi" w:cstheme="minorHAnsi"/>
          <w:color w:val="000000" w:themeColor="text1"/>
          <w:sz w:val="22"/>
          <w:szCs w:val="22"/>
        </w:rPr>
        <w:t xml:space="preserve">to 2007 </w:t>
      </w:r>
      <w:r w:rsidRPr="00C76166">
        <w:rPr>
          <w:rFonts w:asciiTheme="minorHAnsi" w:hAnsiTheme="minorHAnsi" w:cstheme="minorHAnsi"/>
          <w:color w:val="000000" w:themeColor="text1"/>
          <w:sz w:val="22"/>
          <w:szCs w:val="22"/>
        </w:rPr>
        <w:t xml:space="preserve">by Chung and Griffith (2009) and </w:t>
      </w:r>
      <w:r w:rsidR="007A036E">
        <w:rPr>
          <w:rFonts w:asciiTheme="minorHAnsi" w:hAnsiTheme="minorHAnsi" w:cstheme="minorHAnsi"/>
          <w:color w:val="000000" w:themeColor="text1"/>
          <w:sz w:val="22"/>
          <w:szCs w:val="22"/>
        </w:rPr>
        <w:t>then</w:t>
      </w:r>
      <w:r w:rsidRPr="00C76166">
        <w:rPr>
          <w:rFonts w:asciiTheme="minorHAnsi" w:hAnsiTheme="minorHAnsi" w:cstheme="minorHAnsi"/>
          <w:color w:val="000000" w:themeColor="text1"/>
          <w:sz w:val="22"/>
          <w:szCs w:val="22"/>
        </w:rPr>
        <w:t xml:space="preserve"> </w:t>
      </w:r>
      <w:r w:rsidR="00C36EE3">
        <w:rPr>
          <w:rFonts w:asciiTheme="minorHAnsi" w:hAnsiTheme="minorHAnsi" w:cstheme="minorHAnsi"/>
          <w:color w:val="000000" w:themeColor="text1"/>
          <w:sz w:val="22"/>
          <w:szCs w:val="22"/>
        </w:rPr>
        <w:t xml:space="preserve">to 2017 </w:t>
      </w:r>
      <w:r w:rsidRPr="00C76166">
        <w:rPr>
          <w:rFonts w:asciiTheme="minorHAnsi" w:hAnsiTheme="minorHAnsi" w:cstheme="minorHAnsi"/>
          <w:color w:val="000000" w:themeColor="text1"/>
          <w:sz w:val="22"/>
          <w:szCs w:val="22"/>
        </w:rPr>
        <w:t>by Hilli and Griffith (2022)</w:t>
      </w:r>
      <w:r w:rsidR="007652E6">
        <w:rPr>
          <w:rFonts w:asciiTheme="minorHAnsi" w:hAnsiTheme="minorHAnsi" w:cstheme="minorHAnsi"/>
          <w:color w:val="000000" w:themeColor="text1"/>
          <w:sz w:val="22"/>
          <w:szCs w:val="22"/>
        </w:rPr>
        <w:t>, for beef, lamb and pork</w:t>
      </w:r>
      <w:r w:rsidR="00F26E69">
        <w:rPr>
          <w:rFonts w:asciiTheme="minorHAnsi" w:hAnsiTheme="minorHAnsi" w:cstheme="minorHAnsi"/>
          <w:color w:val="000000" w:themeColor="text1"/>
          <w:sz w:val="22"/>
          <w:szCs w:val="22"/>
        </w:rPr>
        <w:t xml:space="preserve"> but with chicken excluded</w:t>
      </w:r>
      <w:r w:rsidRPr="00C76166">
        <w:rPr>
          <w:rFonts w:asciiTheme="minorHAnsi" w:hAnsiTheme="minorHAnsi" w:cstheme="minorHAnsi"/>
          <w:color w:val="000000" w:themeColor="text1"/>
          <w:sz w:val="22"/>
          <w:szCs w:val="22"/>
        </w:rPr>
        <w:t>. Both these studies used the same NEIO model with a successively updated data set and found no evidence of non-competitive behaviour in the beef and lamb markets.</w:t>
      </w:r>
      <w:r w:rsidR="007A036E">
        <w:rPr>
          <w:rFonts w:asciiTheme="minorHAnsi" w:hAnsiTheme="minorHAnsi" w:cstheme="minorHAnsi"/>
          <w:color w:val="000000" w:themeColor="text1"/>
          <w:sz w:val="22"/>
          <w:szCs w:val="22"/>
        </w:rPr>
        <w:t xml:space="preserve"> </w:t>
      </w:r>
      <w:r w:rsidRPr="007A036E">
        <w:rPr>
          <w:rFonts w:asciiTheme="minorHAnsi" w:hAnsiTheme="minorHAnsi" w:cstheme="minorHAnsi"/>
          <w:color w:val="000000" w:themeColor="text1"/>
          <w:sz w:val="22"/>
          <w:szCs w:val="22"/>
        </w:rPr>
        <w:t xml:space="preserve">However, contrary to the results of the previous studies, Hilli and Griffith (2022) found </w:t>
      </w:r>
      <w:r w:rsidR="00D907AB" w:rsidRPr="007A036E">
        <w:rPr>
          <w:rFonts w:asciiTheme="minorHAnsi" w:hAnsiTheme="minorHAnsi" w:cstheme="minorHAnsi"/>
          <w:color w:val="000000" w:themeColor="text1"/>
          <w:sz w:val="22"/>
          <w:szCs w:val="22"/>
        </w:rPr>
        <w:t xml:space="preserve">strong </w:t>
      </w:r>
      <w:r w:rsidRPr="007A036E">
        <w:rPr>
          <w:rFonts w:asciiTheme="minorHAnsi" w:hAnsiTheme="minorHAnsi" w:cstheme="minorHAnsi"/>
          <w:color w:val="000000" w:themeColor="text1"/>
          <w:sz w:val="22"/>
          <w:szCs w:val="22"/>
        </w:rPr>
        <w:t xml:space="preserve">evidence of </w:t>
      </w:r>
      <w:r w:rsidRPr="007A036E">
        <w:rPr>
          <w:rFonts w:asciiTheme="minorHAnsi" w:hAnsiTheme="minorHAnsi" w:cstheme="minorHAnsi"/>
          <w:sz w:val="22"/>
          <w:szCs w:val="22"/>
        </w:rPr>
        <w:t xml:space="preserve">market power in fresh pork input markets. Dhakal and Griffith (2023) found a similar result in the chicken </w:t>
      </w:r>
      <w:r w:rsidR="007652E6" w:rsidRPr="007A036E">
        <w:rPr>
          <w:rFonts w:asciiTheme="minorHAnsi" w:hAnsiTheme="minorHAnsi" w:cstheme="minorHAnsi"/>
          <w:sz w:val="22"/>
          <w:szCs w:val="22"/>
        </w:rPr>
        <w:t xml:space="preserve">input </w:t>
      </w:r>
      <w:r w:rsidRPr="007A036E">
        <w:rPr>
          <w:rFonts w:asciiTheme="minorHAnsi" w:hAnsiTheme="minorHAnsi" w:cstheme="minorHAnsi"/>
          <w:sz w:val="22"/>
          <w:szCs w:val="22"/>
        </w:rPr>
        <w:t xml:space="preserve">market. A feature of </w:t>
      </w:r>
      <w:proofErr w:type="gramStart"/>
      <w:r w:rsidR="00626F01" w:rsidRPr="007A036E">
        <w:rPr>
          <w:rFonts w:asciiTheme="minorHAnsi" w:hAnsiTheme="minorHAnsi" w:cstheme="minorHAnsi"/>
          <w:sz w:val="22"/>
          <w:szCs w:val="22"/>
        </w:rPr>
        <w:t xml:space="preserve">both of </w:t>
      </w:r>
      <w:r w:rsidRPr="007A036E">
        <w:rPr>
          <w:rFonts w:asciiTheme="minorHAnsi" w:hAnsiTheme="minorHAnsi" w:cstheme="minorHAnsi"/>
          <w:sz w:val="22"/>
          <w:szCs w:val="22"/>
        </w:rPr>
        <w:t>these</w:t>
      </w:r>
      <w:proofErr w:type="gramEnd"/>
      <w:r w:rsidRPr="007A036E">
        <w:rPr>
          <w:rFonts w:asciiTheme="minorHAnsi" w:hAnsiTheme="minorHAnsi" w:cstheme="minorHAnsi"/>
          <w:sz w:val="22"/>
          <w:szCs w:val="22"/>
        </w:rPr>
        <w:t xml:space="preserve"> studies was the inclusion of a detailed discussion of changes in industry structure and circumstances over time, and </w:t>
      </w:r>
      <w:proofErr w:type="gramStart"/>
      <w:r w:rsidRPr="007A036E">
        <w:rPr>
          <w:rFonts w:asciiTheme="minorHAnsi" w:hAnsiTheme="minorHAnsi" w:cstheme="minorHAnsi"/>
          <w:sz w:val="22"/>
          <w:szCs w:val="22"/>
        </w:rPr>
        <w:t>a number of</w:t>
      </w:r>
      <w:proofErr w:type="gramEnd"/>
      <w:r w:rsidRPr="007A036E">
        <w:rPr>
          <w:rFonts w:asciiTheme="minorHAnsi" w:hAnsiTheme="minorHAnsi" w:cstheme="minorHAnsi"/>
          <w:sz w:val="22"/>
          <w:szCs w:val="22"/>
        </w:rPr>
        <w:t xml:space="preserve"> dummy variables were formulated and introduced to account for policy or market shocks at different times over the data set.</w:t>
      </w:r>
      <w:r>
        <w:rPr>
          <w:rFonts w:cs="Calibri"/>
          <w:sz w:val="22"/>
          <w:szCs w:val="22"/>
        </w:rPr>
        <w:t xml:space="preserve"> </w:t>
      </w:r>
    </w:p>
    <w:p w14:paraId="6BA1428C" w14:textId="77777777" w:rsidR="007652E6" w:rsidRDefault="007652E6" w:rsidP="00C76166">
      <w:pPr>
        <w:pStyle w:val="BodyText"/>
        <w:ind w:left="0"/>
        <w:jc w:val="both"/>
        <w:rPr>
          <w:rFonts w:cs="Calibri"/>
          <w:sz w:val="22"/>
          <w:szCs w:val="22"/>
        </w:rPr>
      </w:pPr>
    </w:p>
    <w:p w14:paraId="2BAAF253" w14:textId="0D1159CC" w:rsidR="009F38ED" w:rsidRPr="00661BD2" w:rsidRDefault="007652E6" w:rsidP="00C76166">
      <w:pPr>
        <w:pStyle w:val="BodyText"/>
        <w:ind w:left="0"/>
        <w:jc w:val="both"/>
        <w:rPr>
          <w:rFonts w:asciiTheme="minorHAnsi" w:hAnsiTheme="minorHAnsi"/>
          <w:sz w:val="22"/>
          <w:szCs w:val="22"/>
        </w:rPr>
      </w:pPr>
      <w:r>
        <w:rPr>
          <w:rFonts w:cs="Calibri"/>
          <w:sz w:val="22"/>
          <w:szCs w:val="22"/>
        </w:rPr>
        <w:t xml:space="preserve">A related study </w:t>
      </w:r>
      <w:r w:rsidR="00D907AB">
        <w:rPr>
          <w:rFonts w:cs="Calibri"/>
          <w:sz w:val="22"/>
          <w:szCs w:val="22"/>
        </w:rPr>
        <w:t>wa</w:t>
      </w:r>
      <w:r>
        <w:rPr>
          <w:rFonts w:cs="Calibri"/>
          <w:sz w:val="22"/>
          <w:szCs w:val="22"/>
        </w:rPr>
        <w:t xml:space="preserve">s </w:t>
      </w:r>
      <w:r w:rsidR="00D907AB">
        <w:rPr>
          <w:rFonts w:cs="Calibri"/>
          <w:sz w:val="22"/>
          <w:szCs w:val="22"/>
        </w:rPr>
        <w:t xml:space="preserve">by </w:t>
      </w:r>
      <w:r w:rsidR="009F38ED" w:rsidRPr="00661BD2">
        <w:rPr>
          <w:rFonts w:asciiTheme="minorHAnsi" w:hAnsiTheme="minorHAnsi"/>
          <w:sz w:val="22"/>
          <w:szCs w:val="22"/>
        </w:rPr>
        <w:t>Freebairn (2018)</w:t>
      </w:r>
      <w:r w:rsidR="007A036E">
        <w:rPr>
          <w:rFonts w:asciiTheme="minorHAnsi" w:hAnsiTheme="minorHAnsi"/>
          <w:sz w:val="22"/>
          <w:szCs w:val="22"/>
        </w:rPr>
        <w:t>, who</w:t>
      </w:r>
      <w:r>
        <w:rPr>
          <w:rFonts w:asciiTheme="minorHAnsi" w:hAnsiTheme="minorHAnsi"/>
          <w:sz w:val="22"/>
          <w:szCs w:val="22"/>
        </w:rPr>
        <w:t xml:space="preserve"> </w:t>
      </w:r>
      <w:r w:rsidR="009F38ED" w:rsidRPr="00661BD2">
        <w:rPr>
          <w:rFonts w:asciiTheme="minorHAnsi" w:hAnsiTheme="minorHAnsi"/>
          <w:sz w:val="22"/>
          <w:szCs w:val="22"/>
        </w:rPr>
        <w:t>used a long run static</w:t>
      </w:r>
      <w:r w:rsidR="009F38ED" w:rsidRPr="00661BD2">
        <w:rPr>
          <w:rFonts w:asciiTheme="minorHAnsi" w:hAnsiTheme="minorHAnsi"/>
          <w:spacing w:val="-1"/>
          <w:sz w:val="22"/>
          <w:szCs w:val="22"/>
        </w:rPr>
        <w:t xml:space="preserve"> </w:t>
      </w:r>
      <w:r w:rsidR="009F38ED" w:rsidRPr="00661BD2">
        <w:rPr>
          <w:rFonts w:asciiTheme="minorHAnsi" w:hAnsiTheme="minorHAnsi"/>
          <w:sz w:val="22"/>
          <w:szCs w:val="22"/>
        </w:rPr>
        <w:t>equilibrium</w:t>
      </w:r>
      <w:r w:rsidR="009F38ED" w:rsidRPr="00661BD2">
        <w:rPr>
          <w:rFonts w:asciiTheme="minorHAnsi" w:hAnsiTheme="minorHAnsi"/>
          <w:w w:val="99"/>
          <w:sz w:val="22"/>
          <w:szCs w:val="22"/>
        </w:rPr>
        <w:t xml:space="preserve"> </w:t>
      </w:r>
      <w:r w:rsidR="009F38ED" w:rsidRPr="00661BD2">
        <w:rPr>
          <w:rFonts w:asciiTheme="minorHAnsi" w:hAnsiTheme="minorHAnsi"/>
          <w:sz w:val="22"/>
          <w:szCs w:val="22"/>
        </w:rPr>
        <w:t xml:space="preserve">model and showed </w:t>
      </w:r>
      <w:r w:rsidR="003D382C">
        <w:rPr>
          <w:rFonts w:asciiTheme="minorHAnsi" w:hAnsiTheme="minorHAnsi"/>
          <w:sz w:val="22"/>
          <w:szCs w:val="22"/>
        </w:rPr>
        <w:t xml:space="preserve">that </w:t>
      </w:r>
      <w:r w:rsidR="009F38ED" w:rsidRPr="00661BD2">
        <w:rPr>
          <w:rFonts w:asciiTheme="minorHAnsi" w:hAnsiTheme="minorHAnsi"/>
          <w:sz w:val="22"/>
          <w:szCs w:val="22"/>
        </w:rPr>
        <w:t xml:space="preserve">there is limited opportunity for monopsony </w:t>
      </w:r>
      <w:proofErr w:type="spellStart"/>
      <w:r w:rsidR="009F38ED" w:rsidRPr="00661BD2">
        <w:rPr>
          <w:rFonts w:asciiTheme="minorHAnsi" w:hAnsiTheme="minorHAnsi"/>
          <w:sz w:val="22"/>
          <w:szCs w:val="22"/>
        </w:rPr>
        <w:t>behaviour</w:t>
      </w:r>
      <w:proofErr w:type="spellEnd"/>
      <w:r>
        <w:rPr>
          <w:rFonts w:asciiTheme="minorHAnsi" w:hAnsiTheme="minorHAnsi"/>
          <w:sz w:val="22"/>
          <w:szCs w:val="22"/>
        </w:rPr>
        <w:t xml:space="preserve"> in </w:t>
      </w:r>
      <w:proofErr w:type="gramStart"/>
      <w:r>
        <w:rPr>
          <w:rFonts w:asciiTheme="minorHAnsi" w:hAnsiTheme="minorHAnsi"/>
          <w:sz w:val="22"/>
          <w:szCs w:val="22"/>
        </w:rPr>
        <w:t>the large majority of</w:t>
      </w:r>
      <w:proofErr w:type="gramEnd"/>
      <w:r>
        <w:rPr>
          <w:rFonts w:asciiTheme="minorHAnsi" w:hAnsiTheme="minorHAnsi"/>
          <w:sz w:val="22"/>
          <w:szCs w:val="22"/>
        </w:rPr>
        <w:t xml:space="preserve"> Australian agricultural industries</w:t>
      </w:r>
      <w:r w:rsidR="009F38ED" w:rsidRPr="00661BD2">
        <w:rPr>
          <w:rFonts w:asciiTheme="minorHAnsi" w:hAnsiTheme="minorHAnsi"/>
          <w:sz w:val="22"/>
          <w:szCs w:val="22"/>
        </w:rPr>
        <w:t xml:space="preserve">, </w:t>
      </w:r>
      <w:r>
        <w:rPr>
          <w:rFonts w:asciiTheme="minorHAnsi" w:hAnsiTheme="minorHAnsi"/>
          <w:sz w:val="22"/>
          <w:szCs w:val="22"/>
        </w:rPr>
        <w:t xml:space="preserve">such as cattle and sheep, </w:t>
      </w:r>
      <w:r w:rsidR="009F38ED" w:rsidRPr="00661BD2">
        <w:rPr>
          <w:rFonts w:asciiTheme="minorHAnsi" w:hAnsiTheme="minorHAnsi"/>
          <w:sz w:val="22"/>
          <w:szCs w:val="22"/>
        </w:rPr>
        <w:t>largely due to the</w:t>
      </w:r>
      <w:r w:rsidR="009F38ED" w:rsidRPr="00661BD2">
        <w:rPr>
          <w:rFonts w:asciiTheme="minorHAnsi" w:hAnsiTheme="minorHAnsi"/>
          <w:w w:val="99"/>
          <w:sz w:val="22"/>
          <w:szCs w:val="22"/>
        </w:rPr>
        <w:t xml:space="preserve"> </w:t>
      </w:r>
      <w:r w:rsidR="009F38ED" w:rsidRPr="00661BD2">
        <w:rPr>
          <w:rFonts w:asciiTheme="minorHAnsi" w:hAnsiTheme="minorHAnsi"/>
          <w:sz w:val="22"/>
          <w:szCs w:val="22"/>
        </w:rPr>
        <w:t>elasticity of the farm input supply curve.</w:t>
      </w:r>
      <w:r>
        <w:rPr>
          <w:rFonts w:asciiTheme="minorHAnsi" w:hAnsiTheme="minorHAnsi"/>
          <w:sz w:val="22"/>
          <w:szCs w:val="22"/>
        </w:rPr>
        <w:t xml:space="preserve"> Of course</w:t>
      </w:r>
      <w:r w:rsidR="003D382C">
        <w:rPr>
          <w:rFonts w:asciiTheme="minorHAnsi" w:hAnsiTheme="minorHAnsi"/>
          <w:sz w:val="22"/>
          <w:szCs w:val="22"/>
        </w:rPr>
        <w:t>,</w:t>
      </w:r>
      <w:r>
        <w:rPr>
          <w:rFonts w:asciiTheme="minorHAnsi" w:hAnsiTheme="minorHAnsi"/>
          <w:sz w:val="22"/>
          <w:szCs w:val="22"/>
        </w:rPr>
        <w:t xml:space="preserve"> this condition does not apply to modern pigmeat and chicken production systems.</w:t>
      </w:r>
    </w:p>
    <w:p w14:paraId="581F2438" w14:textId="77777777" w:rsidR="009F38ED" w:rsidRDefault="009F38ED" w:rsidP="00661BD2">
      <w:pPr>
        <w:pStyle w:val="BodyText"/>
        <w:ind w:left="0"/>
        <w:jc w:val="both"/>
        <w:rPr>
          <w:rFonts w:asciiTheme="minorHAnsi" w:hAnsiTheme="minorHAnsi"/>
          <w:sz w:val="22"/>
          <w:szCs w:val="22"/>
        </w:rPr>
      </w:pPr>
    </w:p>
    <w:p w14:paraId="06176D8B" w14:textId="4DB9872B" w:rsidR="004806F6" w:rsidRPr="00BE1B1A" w:rsidRDefault="004606CA" w:rsidP="00C61C20">
      <w:pPr>
        <w:pStyle w:val="Heading2"/>
        <w:tabs>
          <w:tab w:val="left" w:pos="488"/>
        </w:tabs>
        <w:ind w:left="0" w:firstLine="0"/>
        <w:jc w:val="both"/>
        <w:rPr>
          <w:rFonts w:asciiTheme="minorHAnsi" w:hAnsiTheme="minorHAnsi"/>
          <w:b/>
          <w:sz w:val="24"/>
          <w:szCs w:val="24"/>
        </w:rPr>
      </w:pPr>
      <w:r w:rsidRPr="00BE1B1A">
        <w:rPr>
          <w:rFonts w:asciiTheme="minorHAnsi" w:hAnsiTheme="minorHAnsi"/>
          <w:b/>
          <w:sz w:val="24"/>
          <w:szCs w:val="24"/>
        </w:rPr>
        <w:t>Applying t</w:t>
      </w:r>
      <w:r w:rsidR="00814BDF" w:rsidRPr="00BE1B1A">
        <w:rPr>
          <w:rFonts w:asciiTheme="minorHAnsi" w:hAnsiTheme="minorHAnsi"/>
          <w:b/>
          <w:sz w:val="24"/>
          <w:szCs w:val="24"/>
        </w:rPr>
        <w:t xml:space="preserve">he </w:t>
      </w:r>
      <w:r w:rsidR="00363ED8" w:rsidRPr="00BE1B1A">
        <w:rPr>
          <w:rFonts w:asciiTheme="minorHAnsi" w:hAnsiTheme="minorHAnsi"/>
          <w:b/>
          <w:sz w:val="24"/>
          <w:szCs w:val="24"/>
        </w:rPr>
        <w:t>NEIO</w:t>
      </w:r>
      <w:r w:rsidR="00363ED8" w:rsidRPr="00BE1B1A">
        <w:rPr>
          <w:rFonts w:asciiTheme="minorHAnsi" w:hAnsiTheme="minorHAnsi"/>
          <w:b/>
          <w:spacing w:val="-1"/>
          <w:sz w:val="24"/>
          <w:szCs w:val="24"/>
        </w:rPr>
        <w:t xml:space="preserve"> </w:t>
      </w:r>
      <w:r w:rsidR="00BE1B1A" w:rsidRPr="00BE1B1A">
        <w:rPr>
          <w:rFonts w:asciiTheme="minorHAnsi" w:hAnsiTheme="minorHAnsi"/>
          <w:b/>
          <w:spacing w:val="-1"/>
          <w:sz w:val="24"/>
          <w:szCs w:val="24"/>
        </w:rPr>
        <w:t>F</w:t>
      </w:r>
      <w:r w:rsidR="00363ED8" w:rsidRPr="00BE1B1A">
        <w:rPr>
          <w:rFonts w:asciiTheme="minorHAnsi" w:hAnsiTheme="minorHAnsi"/>
          <w:b/>
          <w:sz w:val="24"/>
          <w:szCs w:val="24"/>
        </w:rPr>
        <w:t>ramework</w:t>
      </w:r>
      <w:r w:rsidR="002008D5" w:rsidRPr="00BE1B1A">
        <w:rPr>
          <w:rFonts w:asciiTheme="minorHAnsi" w:hAnsiTheme="minorHAnsi"/>
          <w:b/>
          <w:sz w:val="24"/>
          <w:szCs w:val="24"/>
        </w:rPr>
        <w:t xml:space="preserve"> to the </w:t>
      </w:r>
      <w:r w:rsidR="00BE1B1A" w:rsidRPr="00BE1B1A">
        <w:rPr>
          <w:rFonts w:asciiTheme="minorHAnsi" w:hAnsiTheme="minorHAnsi"/>
          <w:b/>
          <w:sz w:val="24"/>
          <w:szCs w:val="24"/>
        </w:rPr>
        <w:t>D</w:t>
      </w:r>
      <w:r w:rsidR="002008D5" w:rsidRPr="00BE1B1A">
        <w:rPr>
          <w:rFonts w:asciiTheme="minorHAnsi" w:hAnsiTheme="minorHAnsi"/>
          <w:b/>
          <w:sz w:val="24"/>
          <w:szCs w:val="24"/>
        </w:rPr>
        <w:t xml:space="preserve">omestic </w:t>
      </w:r>
      <w:r w:rsidR="00BE1B1A" w:rsidRPr="00BE1B1A">
        <w:rPr>
          <w:rFonts w:asciiTheme="minorHAnsi" w:hAnsiTheme="minorHAnsi"/>
          <w:b/>
          <w:sz w:val="24"/>
          <w:szCs w:val="24"/>
        </w:rPr>
        <w:t>F</w:t>
      </w:r>
      <w:r w:rsidR="002008D5" w:rsidRPr="00BE1B1A">
        <w:rPr>
          <w:rFonts w:asciiTheme="minorHAnsi" w:hAnsiTheme="minorHAnsi"/>
          <w:b/>
          <w:sz w:val="24"/>
          <w:szCs w:val="24"/>
        </w:rPr>
        <w:t xml:space="preserve">resh </w:t>
      </w:r>
      <w:r w:rsidR="00BE1B1A" w:rsidRPr="00BE1B1A">
        <w:rPr>
          <w:rFonts w:asciiTheme="minorHAnsi" w:hAnsiTheme="minorHAnsi"/>
          <w:b/>
          <w:sz w:val="24"/>
          <w:szCs w:val="24"/>
        </w:rPr>
        <w:t>M</w:t>
      </w:r>
      <w:r w:rsidR="002008D5" w:rsidRPr="00BE1B1A">
        <w:rPr>
          <w:rFonts w:asciiTheme="minorHAnsi" w:hAnsiTheme="minorHAnsi"/>
          <w:b/>
          <w:sz w:val="24"/>
          <w:szCs w:val="24"/>
        </w:rPr>
        <w:t xml:space="preserve">eat </w:t>
      </w:r>
      <w:r w:rsidR="00BE1B1A" w:rsidRPr="00BE1B1A">
        <w:rPr>
          <w:rFonts w:asciiTheme="minorHAnsi" w:hAnsiTheme="minorHAnsi"/>
          <w:b/>
          <w:sz w:val="24"/>
          <w:szCs w:val="24"/>
        </w:rPr>
        <w:t>M</w:t>
      </w:r>
      <w:r w:rsidR="002008D5" w:rsidRPr="00BE1B1A">
        <w:rPr>
          <w:rFonts w:asciiTheme="minorHAnsi" w:hAnsiTheme="minorHAnsi"/>
          <w:b/>
          <w:sz w:val="24"/>
          <w:szCs w:val="24"/>
        </w:rPr>
        <w:t>arket</w:t>
      </w:r>
    </w:p>
    <w:p w14:paraId="248B719A" w14:textId="77777777" w:rsidR="00BE1B1A" w:rsidRDefault="00BE1B1A" w:rsidP="00BE1B1A">
      <w:pPr>
        <w:pStyle w:val="BodyText"/>
        <w:ind w:left="0"/>
        <w:jc w:val="both"/>
        <w:rPr>
          <w:rFonts w:asciiTheme="minorHAnsi" w:hAnsiTheme="minorHAnsi"/>
          <w:sz w:val="22"/>
          <w:szCs w:val="22"/>
        </w:rPr>
      </w:pPr>
    </w:p>
    <w:p w14:paraId="57112496" w14:textId="4AC17605" w:rsidR="004806F6" w:rsidRPr="00661BD2" w:rsidRDefault="00363ED8" w:rsidP="00661BD2">
      <w:pPr>
        <w:pStyle w:val="BodyText"/>
        <w:ind w:left="0"/>
        <w:jc w:val="both"/>
        <w:rPr>
          <w:rFonts w:asciiTheme="minorHAnsi" w:hAnsiTheme="minorHAnsi"/>
          <w:sz w:val="22"/>
          <w:szCs w:val="22"/>
        </w:rPr>
      </w:pPr>
      <w:r w:rsidRPr="00661BD2">
        <w:rPr>
          <w:rFonts w:asciiTheme="minorHAnsi" w:hAnsiTheme="minorHAnsi"/>
          <w:sz w:val="22"/>
          <w:szCs w:val="22"/>
        </w:rPr>
        <w:t>T</w:t>
      </w:r>
      <w:r w:rsidR="007652E6">
        <w:rPr>
          <w:rFonts w:asciiTheme="minorHAnsi" w:hAnsiTheme="minorHAnsi"/>
          <w:sz w:val="22"/>
          <w:szCs w:val="22"/>
        </w:rPr>
        <w:t>o reiterate, t</w:t>
      </w:r>
      <w:r w:rsidRPr="00661BD2">
        <w:rPr>
          <w:rFonts w:asciiTheme="minorHAnsi" w:hAnsiTheme="minorHAnsi"/>
          <w:sz w:val="22"/>
          <w:szCs w:val="22"/>
        </w:rPr>
        <w:t xml:space="preserve">he NEIO </w:t>
      </w:r>
      <w:r w:rsidR="008C76AF">
        <w:rPr>
          <w:rFonts w:asciiTheme="minorHAnsi" w:hAnsiTheme="minorHAnsi"/>
          <w:sz w:val="22"/>
          <w:szCs w:val="22"/>
        </w:rPr>
        <w:t>f</w:t>
      </w:r>
      <w:r w:rsidRPr="00661BD2">
        <w:rPr>
          <w:rFonts w:asciiTheme="minorHAnsi" w:hAnsiTheme="minorHAnsi"/>
          <w:sz w:val="22"/>
          <w:szCs w:val="22"/>
        </w:rPr>
        <w:t>ramework is a</w:t>
      </w:r>
      <w:r w:rsidR="00152089">
        <w:rPr>
          <w:rFonts w:asciiTheme="minorHAnsi" w:hAnsiTheme="minorHAnsi"/>
          <w:sz w:val="22"/>
          <w:szCs w:val="22"/>
        </w:rPr>
        <w:t>n approach based on</w:t>
      </w:r>
      <w:r w:rsidRPr="00661BD2">
        <w:rPr>
          <w:rFonts w:asciiTheme="minorHAnsi" w:hAnsiTheme="minorHAnsi"/>
          <w:sz w:val="22"/>
          <w:szCs w:val="22"/>
        </w:rPr>
        <w:t xml:space="preserve"> real marketing margin</w:t>
      </w:r>
      <w:r w:rsidR="00152089">
        <w:rPr>
          <w:rFonts w:asciiTheme="minorHAnsi" w:hAnsiTheme="minorHAnsi"/>
          <w:sz w:val="22"/>
          <w:szCs w:val="22"/>
        </w:rPr>
        <w:t>s</w:t>
      </w:r>
      <w:r w:rsidR="007652E6">
        <w:rPr>
          <w:rFonts w:asciiTheme="minorHAnsi" w:hAnsiTheme="minorHAnsi"/>
          <w:sz w:val="22"/>
          <w:szCs w:val="22"/>
        </w:rPr>
        <w:t xml:space="preserve"> (marketing margins adjusted for the effects of general costs in the economy over time)</w:t>
      </w:r>
      <w:r w:rsidRPr="00661BD2">
        <w:rPr>
          <w:rFonts w:asciiTheme="minorHAnsi" w:hAnsiTheme="minorHAnsi"/>
          <w:sz w:val="22"/>
          <w:szCs w:val="22"/>
        </w:rPr>
        <w:t>. In equation 1</w:t>
      </w:r>
      <w:r w:rsidR="00CB6C68">
        <w:rPr>
          <w:rFonts w:asciiTheme="minorHAnsi" w:hAnsiTheme="minorHAnsi"/>
          <w:sz w:val="22"/>
          <w:szCs w:val="22"/>
        </w:rPr>
        <w:t xml:space="preserve"> below</w:t>
      </w:r>
      <w:r w:rsidR="003D382C">
        <w:rPr>
          <w:rFonts w:asciiTheme="minorHAnsi" w:hAnsiTheme="minorHAnsi"/>
          <w:sz w:val="22"/>
          <w:szCs w:val="22"/>
        </w:rPr>
        <w:t xml:space="preserve"> referring to the domestic meat market</w:t>
      </w:r>
      <w:r w:rsidRPr="00661BD2">
        <w:rPr>
          <w:rFonts w:asciiTheme="minorHAnsi" w:hAnsiTheme="minorHAnsi"/>
          <w:sz w:val="22"/>
          <w:szCs w:val="22"/>
        </w:rPr>
        <w:t xml:space="preserve">, the </w:t>
      </w:r>
      <w:r w:rsidR="003D382C">
        <w:rPr>
          <w:rFonts w:asciiTheme="minorHAnsi" w:hAnsiTheme="minorHAnsi"/>
          <w:sz w:val="22"/>
          <w:szCs w:val="22"/>
        </w:rPr>
        <w:t xml:space="preserve">possible </w:t>
      </w:r>
      <w:r w:rsidRPr="00661BD2">
        <w:rPr>
          <w:rFonts w:asciiTheme="minorHAnsi" w:hAnsiTheme="minorHAnsi"/>
          <w:sz w:val="22"/>
          <w:szCs w:val="22"/>
        </w:rPr>
        <w:t>contributors to the marketing</w:t>
      </w:r>
      <w:r w:rsidRPr="00661BD2">
        <w:rPr>
          <w:rFonts w:asciiTheme="minorHAnsi" w:hAnsiTheme="minorHAnsi"/>
          <w:w w:val="99"/>
          <w:sz w:val="22"/>
          <w:szCs w:val="22"/>
        </w:rPr>
        <w:t xml:space="preserve"> </w:t>
      </w:r>
      <w:r w:rsidRPr="00661BD2">
        <w:rPr>
          <w:rFonts w:asciiTheme="minorHAnsi" w:hAnsiTheme="minorHAnsi"/>
          <w:sz w:val="22"/>
          <w:szCs w:val="22"/>
        </w:rPr>
        <w:t xml:space="preserve">margin can be broken down into the following </w:t>
      </w:r>
      <w:r w:rsidR="00CB6C68">
        <w:rPr>
          <w:rFonts w:asciiTheme="minorHAnsi" w:hAnsiTheme="minorHAnsi"/>
          <w:sz w:val="22"/>
          <w:szCs w:val="22"/>
        </w:rPr>
        <w:t xml:space="preserve">three </w:t>
      </w:r>
      <w:r w:rsidRPr="00661BD2">
        <w:rPr>
          <w:rFonts w:asciiTheme="minorHAnsi" w:hAnsiTheme="minorHAnsi"/>
          <w:sz w:val="22"/>
          <w:szCs w:val="22"/>
        </w:rPr>
        <w:t>key components (O'Donnell, 1999)</w:t>
      </w:r>
      <w:r w:rsidR="009F38ED">
        <w:rPr>
          <w:rFonts w:asciiTheme="minorHAnsi" w:hAnsiTheme="minorHAnsi"/>
          <w:sz w:val="22"/>
          <w:szCs w:val="22"/>
        </w:rPr>
        <w:t>:</w:t>
      </w:r>
      <w:r w:rsidRPr="00661BD2">
        <w:rPr>
          <w:rFonts w:asciiTheme="minorHAnsi" w:hAnsiTheme="minorHAnsi"/>
          <w:sz w:val="22"/>
          <w:szCs w:val="22"/>
        </w:rPr>
        <w:t xml:space="preserve"> the marketing services cost, referring to the cost of transitioning the product from</w:t>
      </w:r>
      <w:r w:rsidRPr="00661BD2">
        <w:rPr>
          <w:rFonts w:asciiTheme="minorHAnsi" w:hAnsiTheme="minorHAnsi"/>
          <w:spacing w:val="-1"/>
          <w:sz w:val="22"/>
          <w:szCs w:val="22"/>
        </w:rPr>
        <w:t xml:space="preserve"> </w:t>
      </w:r>
      <w:r w:rsidRPr="00661BD2">
        <w:rPr>
          <w:rFonts w:asciiTheme="minorHAnsi" w:hAnsiTheme="minorHAnsi"/>
          <w:sz w:val="22"/>
          <w:szCs w:val="22"/>
        </w:rPr>
        <w:t>raw</w:t>
      </w:r>
      <w:r w:rsidRPr="00661BD2">
        <w:rPr>
          <w:rFonts w:asciiTheme="minorHAnsi" w:hAnsiTheme="minorHAnsi"/>
          <w:w w:val="99"/>
          <w:sz w:val="22"/>
          <w:szCs w:val="22"/>
        </w:rPr>
        <w:t xml:space="preserve"> </w:t>
      </w:r>
      <w:r w:rsidRPr="00661BD2">
        <w:rPr>
          <w:rFonts w:asciiTheme="minorHAnsi" w:hAnsiTheme="minorHAnsi"/>
          <w:sz w:val="22"/>
          <w:szCs w:val="22"/>
        </w:rPr>
        <w:t>commodity into saleable retail product</w:t>
      </w:r>
      <w:r w:rsidR="009F38ED">
        <w:rPr>
          <w:rFonts w:asciiTheme="minorHAnsi" w:hAnsiTheme="minorHAnsi"/>
          <w:sz w:val="22"/>
          <w:szCs w:val="22"/>
        </w:rPr>
        <w:t>;</w:t>
      </w:r>
      <w:r w:rsidRPr="00661BD2">
        <w:rPr>
          <w:rFonts w:asciiTheme="minorHAnsi" w:hAnsiTheme="minorHAnsi"/>
          <w:sz w:val="22"/>
          <w:szCs w:val="22"/>
        </w:rPr>
        <w:t xml:space="preserve"> any </w:t>
      </w:r>
      <w:r w:rsidR="00D907AB">
        <w:rPr>
          <w:rFonts w:asciiTheme="minorHAnsi" w:hAnsiTheme="minorHAnsi"/>
          <w:sz w:val="22"/>
          <w:szCs w:val="22"/>
        </w:rPr>
        <w:t xml:space="preserve">potential </w:t>
      </w:r>
      <w:r w:rsidRPr="00661BD2">
        <w:rPr>
          <w:rFonts w:asciiTheme="minorHAnsi" w:hAnsiTheme="minorHAnsi"/>
          <w:sz w:val="22"/>
          <w:szCs w:val="22"/>
        </w:rPr>
        <w:t>financial benefits</w:t>
      </w:r>
      <w:r w:rsidRPr="00661BD2">
        <w:rPr>
          <w:rFonts w:asciiTheme="minorHAnsi" w:hAnsiTheme="minorHAnsi"/>
          <w:spacing w:val="-2"/>
          <w:sz w:val="22"/>
          <w:szCs w:val="22"/>
        </w:rPr>
        <w:t xml:space="preserve"> </w:t>
      </w:r>
      <w:r w:rsidR="00E9719A" w:rsidRPr="00661BD2">
        <w:rPr>
          <w:rFonts w:asciiTheme="minorHAnsi" w:hAnsiTheme="minorHAnsi"/>
          <w:sz w:val="22"/>
          <w:szCs w:val="22"/>
        </w:rPr>
        <w:t xml:space="preserve">from non-competitive </w:t>
      </w:r>
      <w:proofErr w:type="spellStart"/>
      <w:r w:rsidR="00E9719A" w:rsidRPr="00661BD2">
        <w:rPr>
          <w:rFonts w:asciiTheme="minorHAnsi" w:hAnsiTheme="minorHAnsi"/>
          <w:sz w:val="22"/>
          <w:szCs w:val="22"/>
        </w:rPr>
        <w:t>behaviour</w:t>
      </w:r>
      <w:proofErr w:type="spellEnd"/>
      <w:r w:rsidR="00E9719A" w:rsidRPr="00661BD2">
        <w:rPr>
          <w:rFonts w:asciiTheme="minorHAnsi" w:hAnsiTheme="minorHAnsi"/>
          <w:sz w:val="22"/>
          <w:szCs w:val="22"/>
        </w:rPr>
        <w:t xml:space="preserve"> </w:t>
      </w:r>
      <w:r w:rsidRPr="00661BD2">
        <w:rPr>
          <w:rFonts w:asciiTheme="minorHAnsi" w:hAnsiTheme="minorHAnsi"/>
          <w:sz w:val="22"/>
          <w:szCs w:val="22"/>
        </w:rPr>
        <w:t>in the output market</w:t>
      </w:r>
      <w:r w:rsidR="009F38ED">
        <w:rPr>
          <w:rFonts w:asciiTheme="minorHAnsi" w:hAnsiTheme="minorHAnsi"/>
          <w:sz w:val="22"/>
          <w:szCs w:val="22"/>
        </w:rPr>
        <w:t>;</w:t>
      </w:r>
      <w:r w:rsidRPr="00661BD2">
        <w:rPr>
          <w:rFonts w:asciiTheme="minorHAnsi" w:hAnsiTheme="minorHAnsi"/>
          <w:sz w:val="22"/>
          <w:szCs w:val="22"/>
        </w:rPr>
        <w:t xml:space="preserve"> and </w:t>
      </w:r>
      <w:r w:rsidR="009F38ED">
        <w:rPr>
          <w:rFonts w:asciiTheme="minorHAnsi" w:hAnsiTheme="minorHAnsi"/>
          <w:sz w:val="22"/>
          <w:szCs w:val="22"/>
        </w:rPr>
        <w:t xml:space="preserve">any </w:t>
      </w:r>
      <w:r w:rsidR="00D907AB">
        <w:rPr>
          <w:rFonts w:asciiTheme="minorHAnsi" w:hAnsiTheme="minorHAnsi"/>
          <w:sz w:val="22"/>
          <w:szCs w:val="22"/>
        </w:rPr>
        <w:t xml:space="preserve">potential </w:t>
      </w:r>
      <w:r w:rsidRPr="00661BD2">
        <w:rPr>
          <w:rFonts w:asciiTheme="minorHAnsi" w:hAnsiTheme="minorHAnsi"/>
          <w:sz w:val="22"/>
          <w:szCs w:val="22"/>
        </w:rPr>
        <w:t>financial</w:t>
      </w:r>
      <w:r w:rsidRPr="00661BD2">
        <w:rPr>
          <w:rFonts w:asciiTheme="minorHAnsi" w:hAnsiTheme="minorHAnsi"/>
          <w:spacing w:val="-2"/>
          <w:sz w:val="22"/>
          <w:szCs w:val="22"/>
        </w:rPr>
        <w:t xml:space="preserve"> </w:t>
      </w:r>
      <w:r w:rsidRPr="00661BD2">
        <w:rPr>
          <w:rFonts w:asciiTheme="minorHAnsi" w:hAnsiTheme="minorHAnsi"/>
          <w:sz w:val="22"/>
          <w:szCs w:val="22"/>
        </w:rPr>
        <w:t xml:space="preserve">benefits from non-competitive </w:t>
      </w:r>
      <w:proofErr w:type="spellStart"/>
      <w:r w:rsidRPr="00661BD2">
        <w:rPr>
          <w:rFonts w:asciiTheme="minorHAnsi" w:hAnsiTheme="minorHAnsi"/>
          <w:sz w:val="22"/>
          <w:szCs w:val="22"/>
        </w:rPr>
        <w:t>behaviour</w:t>
      </w:r>
      <w:proofErr w:type="spellEnd"/>
      <w:r w:rsidRPr="00661BD2">
        <w:rPr>
          <w:rFonts w:asciiTheme="minorHAnsi" w:hAnsiTheme="minorHAnsi"/>
          <w:sz w:val="22"/>
          <w:szCs w:val="22"/>
        </w:rPr>
        <w:t xml:space="preserve"> in the input</w:t>
      </w:r>
      <w:r w:rsidRPr="00661BD2">
        <w:rPr>
          <w:rFonts w:asciiTheme="minorHAnsi" w:hAnsiTheme="minorHAnsi"/>
          <w:spacing w:val="-1"/>
          <w:sz w:val="22"/>
          <w:szCs w:val="22"/>
        </w:rPr>
        <w:t xml:space="preserve"> </w:t>
      </w:r>
      <w:r w:rsidRPr="00661BD2">
        <w:rPr>
          <w:rFonts w:asciiTheme="minorHAnsi" w:hAnsiTheme="minorHAnsi"/>
          <w:sz w:val="22"/>
          <w:szCs w:val="22"/>
        </w:rPr>
        <w:t>market.</w:t>
      </w:r>
    </w:p>
    <w:p w14:paraId="396A0FA2" w14:textId="77777777" w:rsidR="00665597" w:rsidRDefault="00665597" w:rsidP="00661BD2">
      <w:pPr>
        <w:pStyle w:val="BodyText"/>
        <w:ind w:left="0"/>
        <w:jc w:val="both"/>
        <w:rPr>
          <w:rFonts w:asciiTheme="minorHAnsi" w:hAnsiTheme="minorHAnsi"/>
          <w:sz w:val="22"/>
          <w:szCs w:val="22"/>
        </w:rPr>
      </w:pPr>
    </w:p>
    <w:p w14:paraId="159B749D" w14:textId="0EF2EB30" w:rsidR="004806F6" w:rsidRPr="00661BD2" w:rsidRDefault="00363ED8" w:rsidP="00661BD2">
      <w:pPr>
        <w:pStyle w:val="BodyText"/>
        <w:ind w:left="0"/>
        <w:jc w:val="both"/>
        <w:rPr>
          <w:rFonts w:asciiTheme="minorHAnsi" w:hAnsiTheme="minorHAnsi"/>
          <w:sz w:val="22"/>
          <w:szCs w:val="22"/>
        </w:rPr>
      </w:pPr>
      <w:r w:rsidRPr="00661BD2">
        <w:rPr>
          <w:rFonts w:asciiTheme="minorHAnsi" w:hAnsiTheme="minorHAnsi"/>
          <w:sz w:val="22"/>
          <w:szCs w:val="22"/>
        </w:rPr>
        <w:t xml:space="preserve">The equation for this </w:t>
      </w:r>
      <w:r w:rsidR="00BC1793">
        <w:rPr>
          <w:rFonts w:asciiTheme="minorHAnsi" w:hAnsiTheme="minorHAnsi"/>
          <w:sz w:val="22"/>
          <w:szCs w:val="22"/>
        </w:rPr>
        <w:t xml:space="preserve">domestic market </w:t>
      </w:r>
      <w:r w:rsidRPr="00661BD2">
        <w:rPr>
          <w:rFonts w:asciiTheme="minorHAnsi" w:hAnsiTheme="minorHAnsi"/>
          <w:sz w:val="22"/>
          <w:szCs w:val="22"/>
        </w:rPr>
        <w:t>model as presented by Chung and Griffith (2009</w:t>
      </w:r>
      <w:r w:rsidR="009F38ED">
        <w:rPr>
          <w:rFonts w:asciiTheme="minorHAnsi" w:hAnsiTheme="minorHAnsi"/>
          <w:sz w:val="22"/>
          <w:szCs w:val="22"/>
        </w:rPr>
        <w:t>, p.222</w:t>
      </w:r>
      <w:r w:rsidR="003D382C">
        <w:rPr>
          <w:rFonts w:asciiTheme="minorHAnsi" w:hAnsiTheme="minorHAnsi"/>
          <w:sz w:val="22"/>
          <w:szCs w:val="22"/>
        </w:rPr>
        <w:t>,</w:t>
      </w:r>
      <w:r w:rsidRPr="00661BD2">
        <w:rPr>
          <w:rFonts w:asciiTheme="minorHAnsi" w:hAnsiTheme="minorHAnsi"/>
          <w:sz w:val="22"/>
          <w:szCs w:val="22"/>
        </w:rPr>
        <w:t xml:space="preserve"> from</w:t>
      </w:r>
      <w:r w:rsidRPr="00661BD2">
        <w:rPr>
          <w:rFonts w:asciiTheme="minorHAnsi" w:hAnsiTheme="minorHAnsi"/>
          <w:spacing w:val="-5"/>
          <w:sz w:val="22"/>
          <w:szCs w:val="22"/>
        </w:rPr>
        <w:t xml:space="preserve"> </w:t>
      </w:r>
      <w:r w:rsidRPr="00661BD2">
        <w:rPr>
          <w:rFonts w:asciiTheme="minorHAnsi" w:hAnsiTheme="minorHAnsi"/>
          <w:sz w:val="22"/>
          <w:szCs w:val="22"/>
        </w:rPr>
        <w:t>O'Donnell</w:t>
      </w:r>
      <w:r w:rsidRPr="00661BD2">
        <w:rPr>
          <w:rFonts w:asciiTheme="minorHAnsi" w:hAnsiTheme="minorHAnsi"/>
          <w:spacing w:val="-1"/>
          <w:sz w:val="22"/>
          <w:szCs w:val="22"/>
        </w:rPr>
        <w:t xml:space="preserve"> </w:t>
      </w:r>
      <w:r w:rsidRPr="00661BD2">
        <w:rPr>
          <w:rFonts w:asciiTheme="minorHAnsi" w:hAnsiTheme="minorHAnsi"/>
          <w:sz w:val="22"/>
          <w:szCs w:val="22"/>
        </w:rPr>
        <w:t>(1999</w:t>
      </w:r>
      <w:r w:rsidR="003D382C">
        <w:rPr>
          <w:rFonts w:asciiTheme="minorHAnsi" w:hAnsiTheme="minorHAnsi"/>
          <w:sz w:val="22"/>
          <w:szCs w:val="22"/>
        </w:rPr>
        <w:t>)</w:t>
      </w:r>
      <w:r w:rsidRPr="00661BD2">
        <w:rPr>
          <w:rFonts w:asciiTheme="minorHAnsi" w:hAnsiTheme="minorHAnsi"/>
          <w:sz w:val="22"/>
          <w:szCs w:val="22"/>
        </w:rPr>
        <w:t>)</w:t>
      </w:r>
      <w:r w:rsidR="00152089">
        <w:rPr>
          <w:rFonts w:asciiTheme="minorHAnsi" w:hAnsiTheme="minorHAnsi"/>
          <w:sz w:val="22"/>
          <w:szCs w:val="22"/>
        </w:rPr>
        <w:t xml:space="preserve"> is as follows</w:t>
      </w:r>
      <w:r w:rsidRPr="00661BD2">
        <w:rPr>
          <w:rFonts w:asciiTheme="minorHAnsi" w:hAnsiTheme="minorHAnsi"/>
          <w:sz w:val="22"/>
          <w:szCs w:val="22"/>
        </w:rPr>
        <w:t>:</w:t>
      </w:r>
    </w:p>
    <w:p w14:paraId="07D56CFA" w14:textId="77777777" w:rsidR="004806F6" w:rsidRPr="00661BD2" w:rsidRDefault="00363ED8" w:rsidP="00661BD2">
      <w:pPr>
        <w:jc w:val="both"/>
        <w:rPr>
          <w:rFonts w:eastAsia="Calibri" w:cs="Calibri"/>
        </w:rPr>
      </w:pPr>
      <w:r w:rsidRPr="00661BD2">
        <w:rPr>
          <w:noProof/>
          <w:position w:val="-15"/>
          <w:lang w:val="en-AU" w:eastAsia="en-AU"/>
        </w:rPr>
        <w:drawing>
          <wp:inline distT="0" distB="0" distL="0" distR="0" wp14:anchorId="1CE6C5C9" wp14:editId="7BFECD7D">
            <wp:extent cx="3213100" cy="361950"/>
            <wp:effectExtent l="0" t="0" r="635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213100" cy="361950"/>
                    </a:xfrm>
                    <a:prstGeom prst="rect">
                      <a:avLst/>
                    </a:prstGeom>
                  </pic:spPr>
                </pic:pic>
              </a:graphicData>
            </a:graphic>
          </wp:inline>
        </w:drawing>
      </w:r>
      <w:r w:rsidRPr="00661BD2">
        <w:t xml:space="preserve">   (1)</w:t>
      </w:r>
    </w:p>
    <w:p w14:paraId="21C2604E" w14:textId="5555F3A7" w:rsidR="004806F6" w:rsidRPr="00661BD2" w:rsidRDefault="00211FC1" w:rsidP="00661BD2">
      <w:pPr>
        <w:pStyle w:val="BodyText"/>
        <w:ind w:left="0"/>
        <w:jc w:val="both"/>
        <w:rPr>
          <w:rFonts w:asciiTheme="minorHAnsi" w:hAnsiTheme="minorHAnsi"/>
          <w:sz w:val="22"/>
          <w:szCs w:val="22"/>
        </w:rPr>
      </w:pPr>
      <w:proofErr w:type="gramStart"/>
      <w:r>
        <w:rPr>
          <w:rFonts w:asciiTheme="minorHAnsi" w:hAnsiTheme="minorHAnsi"/>
          <w:sz w:val="22"/>
          <w:szCs w:val="22"/>
        </w:rPr>
        <w:t>w</w:t>
      </w:r>
      <w:r w:rsidR="00363ED8" w:rsidRPr="00661BD2">
        <w:rPr>
          <w:rFonts w:asciiTheme="minorHAnsi" w:hAnsiTheme="minorHAnsi"/>
          <w:sz w:val="22"/>
          <w:szCs w:val="22"/>
        </w:rPr>
        <w:t>here</w:t>
      </w:r>
      <w:proofErr w:type="gramEnd"/>
      <w:r w:rsidR="00363ED8" w:rsidRPr="00661BD2">
        <w:rPr>
          <w:rFonts w:asciiTheme="minorHAnsi" w:hAnsiTheme="minorHAnsi"/>
          <w:sz w:val="22"/>
          <w:szCs w:val="22"/>
        </w:rPr>
        <w:t>, for any product</w:t>
      </w:r>
      <w:r w:rsidR="00363ED8" w:rsidRPr="00661BD2">
        <w:rPr>
          <w:rFonts w:asciiTheme="minorHAnsi" w:hAnsiTheme="minorHAnsi"/>
          <w:spacing w:val="-1"/>
          <w:sz w:val="22"/>
          <w:szCs w:val="22"/>
        </w:rPr>
        <w:t xml:space="preserve"> </w:t>
      </w:r>
      <w:r w:rsidR="00363ED8" w:rsidRPr="00661BD2">
        <w:rPr>
          <w:rFonts w:asciiTheme="minorHAnsi" w:hAnsiTheme="minorHAnsi"/>
          <w:sz w:val="22"/>
          <w:szCs w:val="22"/>
        </w:rPr>
        <w:t>j</w:t>
      </w:r>
      <w:r w:rsidR="00CB6C68">
        <w:rPr>
          <w:rFonts w:asciiTheme="minorHAnsi" w:hAnsiTheme="minorHAnsi"/>
          <w:sz w:val="22"/>
          <w:szCs w:val="22"/>
        </w:rPr>
        <w:t xml:space="preserve"> (</w:t>
      </w:r>
      <w:r w:rsidR="003D382C">
        <w:rPr>
          <w:rFonts w:asciiTheme="minorHAnsi" w:hAnsiTheme="minorHAnsi"/>
          <w:sz w:val="22"/>
          <w:szCs w:val="22"/>
        </w:rPr>
        <w:t xml:space="preserve">for this study </w:t>
      </w:r>
      <w:r w:rsidR="00CB6C68">
        <w:rPr>
          <w:rFonts w:asciiTheme="minorHAnsi" w:hAnsiTheme="minorHAnsi"/>
          <w:sz w:val="22"/>
          <w:szCs w:val="22"/>
        </w:rPr>
        <w:t>j could be beef, lamb, pork or chicken</w:t>
      </w:r>
      <w:proofErr w:type="gramStart"/>
      <w:r w:rsidR="00CB6C68">
        <w:rPr>
          <w:rFonts w:asciiTheme="minorHAnsi" w:hAnsiTheme="minorHAnsi"/>
          <w:sz w:val="22"/>
          <w:szCs w:val="22"/>
        </w:rPr>
        <w:t>)</w:t>
      </w:r>
      <w:r w:rsidR="00363ED8" w:rsidRPr="00661BD2">
        <w:rPr>
          <w:rFonts w:asciiTheme="minorHAnsi" w:hAnsiTheme="minorHAnsi"/>
          <w:sz w:val="22"/>
          <w:szCs w:val="22"/>
        </w:rPr>
        <w:t>;</w:t>
      </w:r>
      <w:proofErr w:type="gramEnd"/>
    </w:p>
    <w:p w14:paraId="38F54DA1" w14:textId="116328B7" w:rsidR="009F38ED" w:rsidRDefault="00363ED8" w:rsidP="00661BD2">
      <w:pPr>
        <w:pStyle w:val="BodyText"/>
        <w:ind w:left="0"/>
        <w:jc w:val="both"/>
        <w:rPr>
          <w:rFonts w:asciiTheme="minorHAnsi" w:hAnsiTheme="minorHAnsi"/>
          <w:w w:val="99"/>
          <w:position w:val="2"/>
          <w:sz w:val="22"/>
          <w:szCs w:val="22"/>
        </w:rPr>
      </w:pPr>
      <w:r w:rsidRPr="00661BD2">
        <w:rPr>
          <w:rFonts w:asciiTheme="minorHAnsi" w:hAnsiTheme="minorHAnsi"/>
          <w:position w:val="2"/>
          <w:sz w:val="22"/>
          <w:szCs w:val="22"/>
        </w:rPr>
        <w:t>m</w:t>
      </w:r>
      <w:r w:rsidRPr="00661BD2">
        <w:rPr>
          <w:rFonts w:asciiTheme="minorHAnsi" w:hAnsiTheme="minorHAnsi"/>
          <w:sz w:val="22"/>
          <w:szCs w:val="22"/>
        </w:rPr>
        <w:t xml:space="preserve">j </w:t>
      </w:r>
      <w:r w:rsidRPr="00661BD2">
        <w:rPr>
          <w:rFonts w:asciiTheme="minorHAnsi" w:hAnsiTheme="minorHAnsi"/>
          <w:position w:val="2"/>
          <w:sz w:val="22"/>
          <w:szCs w:val="22"/>
        </w:rPr>
        <w:t xml:space="preserve">= </w:t>
      </w:r>
      <w:r w:rsidR="009F38ED">
        <w:rPr>
          <w:rFonts w:asciiTheme="minorHAnsi" w:hAnsiTheme="minorHAnsi"/>
          <w:position w:val="2"/>
          <w:sz w:val="22"/>
          <w:szCs w:val="22"/>
        </w:rPr>
        <w:t>i</w:t>
      </w:r>
      <w:r w:rsidRPr="00661BD2">
        <w:rPr>
          <w:rFonts w:asciiTheme="minorHAnsi" w:hAnsiTheme="minorHAnsi"/>
          <w:position w:val="2"/>
          <w:sz w:val="22"/>
          <w:szCs w:val="22"/>
        </w:rPr>
        <w:t xml:space="preserve">ndustry </w:t>
      </w:r>
      <w:r w:rsidR="00D907AB">
        <w:rPr>
          <w:rFonts w:asciiTheme="minorHAnsi" w:hAnsiTheme="minorHAnsi"/>
          <w:position w:val="2"/>
          <w:sz w:val="22"/>
          <w:szCs w:val="22"/>
        </w:rPr>
        <w:t xml:space="preserve">(whole-of-chain) </w:t>
      </w:r>
      <w:r w:rsidRPr="00661BD2">
        <w:rPr>
          <w:rFonts w:asciiTheme="minorHAnsi" w:hAnsiTheme="minorHAnsi"/>
          <w:position w:val="2"/>
          <w:sz w:val="22"/>
          <w:szCs w:val="22"/>
        </w:rPr>
        <w:t>marketing margin, p</w:t>
      </w:r>
      <w:r w:rsidRPr="00661BD2">
        <w:rPr>
          <w:rFonts w:asciiTheme="minorHAnsi" w:hAnsiTheme="minorHAnsi"/>
          <w:sz w:val="22"/>
          <w:szCs w:val="22"/>
        </w:rPr>
        <w:t>j</w:t>
      </w:r>
      <w:r w:rsidRPr="00661BD2">
        <w:rPr>
          <w:rFonts w:asciiTheme="minorHAnsi" w:hAnsiTheme="minorHAnsi"/>
          <w:position w:val="2"/>
          <w:sz w:val="22"/>
          <w:szCs w:val="22"/>
        </w:rPr>
        <w:t>–w</w:t>
      </w:r>
      <w:r w:rsidRPr="00661BD2">
        <w:rPr>
          <w:rFonts w:asciiTheme="minorHAnsi" w:hAnsiTheme="minorHAnsi"/>
          <w:sz w:val="22"/>
          <w:szCs w:val="22"/>
        </w:rPr>
        <w:t>j</w:t>
      </w:r>
      <w:r w:rsidRPr="00661BD2">
        <w:rPr>
          <w:rFonts w:asciiTheme="minorHAnsi" w:hAnsiTheme="minorHAnsi"/>
          <w:position w:val="2"/>
          <w:sz w:val="22"/>
          <w:szCs w:val="22"/>
        </w:rPr>
        <w:t>;</w:t>
      </w:r>
      <w:r w:rsidR="00665597">
        <w:rPr>
          <w:rStyle w:val="FootnoteReference"/>
          <w:rFonts w:asciiTheme="minorHAnsi" w:hAnsiTheme="minorHAnsi"/>
          <w:position w:val="2"/>
          <w:sz w:val="22"/>
          <w:szCs w:val="22"/>
        </w:rPr>
        <w:footnoteReference w:id="3"/>
      </w:r>
      <w:r w:rsidRPr="00661BD2">
        <w:rPr>
          <w:rFonts w:asciiTheme="minorHAnsi" w:hAnsiTheme="minorHAnsi"/>
          <w:w w:val="99"/>
          <w:position w:val="2"/>
          <w:sz w:val="22"/>
          <w:szCs w:val="22"/>
        </w:rPr>
        <w:t xml:space="preserve"> </w:t>
      </w:r>
    </w:p>
    <w:p w14:paraId="35AFE34B" w14:textId="4FD77D23" w:rsidR="004806F6" w:rsidRPr="00661BD2" w:rsidRDefault="00363ED8" w:rsidP="00661BD2">
      <w:pPr>
        <w:pStyle w:val="BodyText"/>
        <w:ind w:left="0"/>
        <w:jc w:val="both"/>
        <w:rPr>
          <w:rFonts w:asciiTheme="minorHAnsi" w:hAnsiTheme="minorHAnsi"/>
          <w:sz w:val="22"/>
          <w:szCs w:val="22"/>
        </w:rPr>
      </w:pPr>
      <w:r w:rsidRPr="00661BD2">
        <w:rPr>
          <w:rFonts w:asciiTheme="minorHAnsi" w:hAnsiTheme="minorHAnsi"/>
          <w:position w:val="2"/>
          <w:sz w:val="22"/>
          <w:szCs w:val="22"/>
        </w:rPr>
        <w:t>p</w:t>
      </w:r>
      <w:r w:rsidRPr="00661BD2">
        <w:rPr>
          <w:rFonts w:asciiTheme="minorHAnsi" w:hAnsiTheme="minorHAnsi"/>
          <w:sz w:val="22"/>
          <w:szCs w:val="22"/>
        </w:rPr>
        <w:t xml:space="preserve">j </w:t>
      </w:r>
      <w:r w:rsidRPr="00661BD2">
        <w:rPr>
          <w:rFonts w:asciiTheme="minorHAnsi" w:hAnsiTheme="minorHAnsi"/>
          <w:position w:val="2"/>
          <w:sz w:val="22"/>
          <w:szCs w:val="22"/>
        </w:rPr>
        <w:t xml:space="preserve">= </w:t>
      </w:r>
      <w:r w:rsidR="007F648C">
        <w:rPr>
          <w:rFonts w:asciiTheme="minorHAnsi" w:hAnsiTheme="minorHAnsi"/>
          <w:position w:val="2"/>
          <w:sz w:val="22"/>
          <w:szCs w:val="22"/>
        </w:rPr>
        <w:t>p</w:t>
      </w:r>
      <w:r w:rsidRPr="00661BD2">
        <w:rPr>
          <w:rFonts w:asciiTheme="minorHAnsi" w:hAnsiTheme="minorHAnsi"/>
          <w:position w:val="2"/>
          <w:sz w:val="22"/>
          <w:szCs w:val="22"/>
        </w:rPr>
        <w:t>rice of the food output</w:t>
      </w:r>
      <w:r w:rsidRPr="00661BD2">
        <w:rPr>
          <w:rFonts w:asciiTheme="minorHAnsi" w:hAnsiTheme="minorHAnsi"/>
          <w:spacing w:val="-18"/>
          <w:position w:val="2"/>
          <w:sz w:val="22"/>
          <w:szCs w:val="22"/>
        </w:rPr>
        <w:t xml:space="preserve"> </w:t>
      </w:r>
      <w:r w:rsidRPr="00661BD2">
        <w:rPr>
          <w:rFonts w:asciiTheme="minorHAnsi" w:hAnsiTheme="minorHAnsi"/>
          <w:position w:val="2"/>
          <w:sz w:val="22"/>
          <w:szCs w:val="22"/>
        </w:rPr>
        <w:t>j</w:t>
      </w:r>
      <w:r w:rsidR="00CB6C68">
        <w:rPr>
          <w:rFonts w:asciiTheme="minorHAnsi" w:hAnsiTheme="minorHAnsi"/>
          <w:position w:val="2"/>
          <w:sz w:val="22"/>
          <w:szCs w:val="22"/>
        </w:rPr>
        <w:t xml:space="preserve"> (the retail price</w:t>
      </w:r>
      <w:proofErr w:type="gramStart"/>
      <w:r w:rsidR="00CB6C68">
        <w:rPr>
          <w:rFonts w:asciiTheme="minorHAnsi" w:hAnsiTheme="minorHAnsi"/>
          <w:position w:val="2"/>
          <w:sz w:val="22"/>
          <w:szCs w:val="22"/>
        </w:rPr>
        <w:t>)</w:t>
      </w:r>
      <w:r w:rsidRPr="00661BD2">
        <w:rPr>
          <w:rFonts w:asciiTheme="minorHAnsi" w:hAnsiTheme="minorHAnsi"/>
          <w:position w:val="2"/>
          <w:sz w:val="22"/>
          <w:szCs w:val="22"/>
        </w:rPr>
        <w:t>;</w:t>
      </w:r>
      <w:proofErr w:type="gramEnd"/>
    </w:p>
    <w:p w14:paraId="37AF8ADD" w14:textId="227FCEBE" w:rsidR="004806F6" w:rsidRDefault="00363ED8" w:rsidP="00661BD2">
      <w:pPr>
        <w:pStyle w:val="BodyText"/>
        <w:ind w:left="0"/>
        <w:jc w:val="both"/>
        <w:rPr>
          <w:rFonts w:asciiTheme="minorHAnsi" w:hAnsiTheme="minorHAnsi"/>
          <w:position w:val="2"/>
          <w:sz w:val="22"/>
          <w:szCs w:val="22"/>
        </w:rPr>
      </w:pPr>
      <w:r w:rsidRPr="00661BD2">
        <w:rPr>
          <w:rFonts w:asciiTheme="minorHAnsi" w:hAnsiTheme="minorHAnsi"/>
          <w:position w:val="2"/>
          <w:sz w:val="22"/>
          <w:szCs w:val="22"/>
        </w:rPr>
        <w:t>w</w:t>
      </w:r>
      <w:r w:rsidRPr="00661BD2">
        <w:rPr>
          <w:rFonts w:asciiTheme="minorHAnsi" w:hAnsiTheme="minorHAnsi"/>
          <w:sz w:val="22"/>
          <w:szCs w:val="22"/>
        </w:rPr>
        <w:t xml:space="preserve">j </w:t>
      </w:r>
      <w:r w:rsidRPr="00661BD2">
        <w:rPr>
          <w:rFonts w:asciiTheme="minorHAnsi" w:hAnsiTheme="minorHAnsi"/>
          <w:position w:val="2"/>
          <w:sz w:val="22"/>
          <w:szCs w:val="22"/>
        </w:rPr>
        <w:t xml:space="preserve">= </w:t>
      </w:r>
      <w:r w:rsidR="007F648C">
        <w:rPr>
          <w:rFonts w:asciiTheme="minorHAnsi" w:hAnsiTheme="minorHAnsi"/>
          <w:position w:val="2"/>
          <w:sz w:val="22"/>
          <w:szCs w:val="22"/>
        </w:rPr>
        <w:t>p</w:t>
      </w:r>
      <w:r w:rsidRPr="00661BD2">
        <w:rPr>
          <w:rFonts w:asciiTheme="minorHAnsi" w:hAnsiTheme="minorHAnsi"/>
          <w:position w:val="2"/>
          <w:sz w:val="22"/>
          <w:szCs w:val="22"/>
        </w:rPr>
        <w:t>rice of the agricultural input</w:t>
      </w:r>
      <w:r w:rsidRPr="00661BD2">
        <w:rPr>
          <w:rFonts w:asciiTheme="minorHAnsi" w:hAnsiTheme="minorHAnsi"/>
          <w:spacing w:val="-18"/>
          <w:position w:val="2"/>
          <w:sz w:val="22"/>
          <w:szCs w:val="22"/>
        </w:rPr>
        <w:t xml:space="preserve"> </w:t>
      </w:r>
      <w:r w:rsidRPr="00661BD2">
        <w:rPr>
          <w:rFonts w:asciiTheme="minorHAnsi" w:hAnsiTheme="minorHAnsi"/>
          <w:position w:val="2"/>
          <w:sz w:val="22"/>
          <w:szCs w:val="22"/>
        </w:rPr>
        <w:t>j</w:t>
      </w:r>
      <w:r w:rsidR="00CB6C68">
        <w:rPr>
          <w:rFonts w:asciiTheme="minorHAnsi" w:hAnsiTheme="minorHAnsi"/>
          <w:position w:val="2"/>
          <w:sz w:val="22"/>
          <w:szCs w:val="22"/>
        </w:rPr>
        <w:t xml:space="preserve"> (the farm price</w:t>
      </w:r>
      <w:proofErr w:type="gramStart"/>
      <w:r w:rsidR="00CB6C68">
        <w:rPr>
          <w:rFonts w:asciiTheme="minorHAnsi" w:hAnsiTheme="minorHAnsi"/>
          <w:position w:val="2"/>
          <w:sz w:val="22"/>
          <w:szCs w:val="22"/>
        </w:rPr>
        <w:t>)</w:t>
      </w:r>
      <w:r w:rsidRPr="00661BD2">
        <w:rPr>
          <w:rFonts w:asciiTheme="minorHAnsi" w:hAnsiTheme="minorHAnsi"/>
          <w:position w:val="2"/>
          <w:sz w:val="22"/>
          <w:szCs w:val="22"/>
        </w:rPr>
        <w:t>;</w:t>
      </w:r>
      <w:proofErr w:type="gramEnd"/>
    </w:p>
    <w:p w14:paraId="646F1939" w14:textId="77777777" w:rsidR="009F38ED" w:rsidRPr="00661BD2" w:rsidRDefault="009F38ED" w:rsidP="00661BD2">
      <w:pPr>
        <w:pStyle w:val="BodyText"/>
        <w:ind w:left="0"/>
        <w:jc w:val="both"/>
        <w:rPr>
          <w:rFonts w:asciiTheme="minorHAnsi" w:hAnsiTheme="minorHAnsi"/>
          <w:sz w:val="22"/>
          <w:szCs w:val="22"/>
        </w:rPr>
      </w:pPr>
      <w:proofErr w:type="spellStart"/>
      <w:r>
        <w:rPr>
          <w:rFonts w:asciiTheme="minorHAnsi" w:hAnsiTheme="minorHAnsi"/>
          <w:position w:val="2"/>
          <w:sz w:val="22"/>
          <w:szCs w:val="22"/>
        </w:rPr>
        <w:t>aj</w:t>
      </w:r>
      <w:proofErr w:type="spellEnd"/>
      <w:r>
        <w:rPr>
          <w:rFonts w:asciiTheme="minorHAnsi" w:hAnsiTheme="minorHAnsi"/>
          <w:position w:val="2"/>
          <w:sz w:val="22"/>
          <w:szCs w:val="22"/>
        </w:rPr>
        <w:t xml:space="preserve"> = </w:t>
      </w:r>
      <w:r w:rsidR="007F648C">
        <w:rPr>
          <w:rFonts w:asciiTheme="minorHAnsi" w:hAnsiTheme="minorHAnsi"/>
          <w:position w:val="2"/>
          <w:sz w:val="22"/>
          <w:szCs w:val="22"/>
        </w:rPr>
        <w:t>c</w:t>
      </w:r>
      <w:r>
        <w:rPr>
          <w:rFonts w:asciiTheme="minorHAnsi" w:hAnsiTheme="minorHAnsi"/>
          <w:position w:val="2"/>
          <w:sz w:val="22"/>
          <w:szCs w:val="22"/>
        </w:rPr>
        <w:t xml:space="preserve">onstant </w:t>
      </w:r>
      <w:proofErr w:type="gramStart"/>
      <w:r>
        <w:rPr>
          <w:rFonts w:asciiTheme="minorHAnsi" w:hAnsiTheme="minorHAnsi"/>
          <w:position w:val="2"/>
          <w:sz w:val="22"/>
          <w:szCs w:val="22"/>
        </w:rPr>
        <w:t>term;</w:t>
      </w:r>
      <w:proofErr w:type="gramEnd"/>
    </w:p>
    <w:p w14:paraId="152790DA" w14:textId="241DB944" w:rsidR="00814BDF" w:rsidRDefault="00363ED8" w:rsidP="00661BD2">
      <w:pPr>
        <w:pStyle w:val="BodyText"/>
        <w:ind w:left="0"/>
        <w:jc w:val="both"/>
        <w:rPr>
          <w:rFonts w:asciiTheme="minorHAnsi" w:hAnsiTheme="minorHAnsi"/>
          <w:w w:val="99"/>
          <w:position w:val="2"/>
          <w:sz w:val="22"/>
          <w:szCs w:val="22"/>
        </w:rPr>
      </w:pPr>
      <w:r w:rsidRPr="00661BD2">
        <w:rPr>
          <w:rFonts w:asciiTheme="minorHAnsi" w:hAnsiTheme="minorHAnsi"/>
          <w:position w:val="2"/>
          <w:sz w:val="22"/>
          <w:szCs w:val="22"/>
        </w:rPr>
        <w:t>c</w:t>
      </w:r>
      <w:proofErr w:type="spellStart"/>
      <w:r w:rsidRPr="00661BD2">
        <w:rPr>
          <w:rFonts w:asciiTheme="minorHAnsi" w:hAnsiTheme="minorHAnsi"/>
          <w:sz w:val="22"/>
          <w:szCs w:val="22"/>
        </w:rPr>
        <w:t>jk</w:t>
      </w:r>
      <w:proofErr w:type="spellEnd"/>
      <w:r w:rsidRPr="00661BD2">
        <w:rPr>
          <w:rFonts w:asciiTheme="minorHAnsi" w:hAnsiTheme="minorHAnsi"/>
          <w:sz w:val="22"/>
          <w:szCs w:val="22"/>
        </w:rPr>
        <w:t xml:space="preserve"> </w:t>
      </w:r>
      <w:r w:rsidRPr="00661BD2">
        <w:rPr>
          <w:rFonts w:asciiTheme="minorHAnsi" w:hAnsiTheme="minorHAnsi"/>
          <w:position w:val="2"/>
          <w:sz w:val="22"/>
          <w:szCs w:val="22"/>
        </w:rPr>
        <w:t xml:space="preserve">= </w:t>
      </w:r>
      <w:r w:rsidR="007F648C">
        <w:rPr>
          <w:rFonts w:asciiTheme="minorHAnsi" w:hAnsiTheme="minorHAnsi"/>
          <w:position w:val="2"/>
          <w:sz w:val="22"/>
          <w:szCs w:val="22"/>
        </w:rPr>
        <w:t>c</w:t>
      </w:r>
      <w:r w:rsidRPr="00661BD2">
        <w:rPr>
          <w:rFonts w:asciiTheme="minorHAnsi" w:hAnsiTheme="minorHAnsi"/>
          <w:position w:val="2"/>
          <w:sz w:val="22"/>
          <w:szCs w:val="22"/>
        </w:rPr>
        <w:t xml:space="preserve">oefficient of the price of </w:t>
      </w:r>
      <w:r w:rsidR="004606CA">
        <w:rPr>
          <w:rFonts w:asciiTheme="minorHAnsi" w:hAnsiTheme="minorHAnsi"/>
          <w:position w:val="2"/>
          <w:sz w:val="22"/>
          <w:szCs w:val="22"/>
        </w:rPr>
        <w:t>non-agricultural inputs (</w:t>
      </w:r>
      <w:r w:rsidRPr="00661BD2">
        <w:rPr>
          <w:rFonts w:asciiTheme="minorHAnsi" w:hAnsiTheme="minorHAnsi"/>
          <w:position w:val="2"/>
          <w:sz w:val="22"/>
          <w:szCs w:val="22"/>
        </w:rPr>
        <w:t>marketing service</w:t>
      </w:r>
      <w:r w:rsidR="004606CA">
        <w:rPr>
          <w:rFonts w:asciiTheme="minorHAnsi" w:hAnsiTheme="minorHAnsi"/>
          <w:position w:val="2"/>
          <w:sz w:val="22"/>
          <w:szCs w:val="22"/>
        </w:rPr>
        <w:t>s</w:t>
      </w:r>
      <w:proofErr w:type="gramStart"/>
      <w:r w:rsidR="004606CA">
        <w:rPr>
          <w:rFonts w:asciiTheme="minorHAnsi" w:hAnsiTheme="minorHAnsi"/>
          <w:position w:val="2"/>
          <w:sz w:val="22"/>
          <w:szCs w:val="22"/>
        </w:rPr>
        <w:t>)</w:t>
      </w:r>
      <w:r w:rsidRPr="00661BD2">
        <w:rPr>
          <w:rFonts w:asciiTheme="minorHAnsi" w:hAnsiTheme="minorHAnsi"/>
          <w:position w:val="2"/>
          <w:sz w:val="22"/>
          <w:szCs w:val="22"/>
        </w:rPr>
        <w:t xml:space="preserve"> k</w:t>
      </w:r>
      <w:proofErr w:type="gramEnd"/>
      <w:r w:rsidRPr="00661BD2">
        <w:rPr>
          <w:rFonts w:asciiTheme="minorHAnsi" w:hAnsiTheme="minorHAnsi"/>
          <w:position w:val="2"/>
          <w:sz w:val="22"/>
          <w:szCs w:val="22"/>
        </w:rPr>
        <w:t xml:space="preserve"> that contribute to food </w:t>
      </w:r>
      <w:r w:rsidRPr="00661BD2">
        <w:rPr>
          <w:rFonts w:asciiTheme="minorHAnsi" w:hAnsiTheme="minorHAnsi"/>
          <w:position w:val="2"/>
          <w:sz w:val="22"/>
          <w:szCs w:val="22"/>
        </w:rPr>
        <w:lastRenderedPageBreak/>
        <w:t xml:space="preserve">output </w:t>
      </w:r>
      <w:proofErr w:type="gramStart"/>
      <w:r w:rsidRPr="00661BD2">
        <w:rPr>
          <w:rFonts w:asciiTheme="minorHAnsi" w:hAnsiTheme="minorHAnsi"/>
          <w:position w:val="2"/>
          <w:sz w:val="22"/>
          <w:szCs w:val="22"/>
        </w:rPr>
        <w:t>j;</w:t>
      </w:r>
      <w:proofErr w:type="gramEnd"/>
      <w:r w:rsidRPr="00661BD2">
        <w:rPr>
          <w:rFonts w:asciiTheme="minorHAnsi" w:hAnsiTheme="minorHAnsi"/>
          <w:w w:val="99"/>
          <w:position w:val="2"/>
          <w:sz w:val="22"/>
          <w:szCs w:val="22"/>
        </w:rPr>
        <w:t xml:space="preserve">  </w:t>
      </w:r>
    </w:p>
    <w:p w14:paraId="29ECB950" w14:textId="1C764CDE" w:rsidR="00814BDF" w:rsidRDefault="00363ED8" w:rsidP="00661BD2">
      <w:pPr>
        <w:pStyle w:val="BodyText"/>
        <w:ind w:left="0"/>
        <w:jc w:val="both"/>
        <w:rPr>
          <w:rFonts w:asciiTheme="minorHAnsi" w:hAnsiTheme="minorHAnsi"/>
          <w:w w:val="99"/>
          <w:sz w:val="22"/>
          <w:szCs w:val="22"/>
        </w:rPr>
      </w:pPr>
      <w:proofErr w:type="spellStart"/>
      <w:r w:rsidRPr="00661BD2">
        <w:rPr>
          <w:rFonts w:asciiTheme="minorHAnsi" w:hAnsiTheme="minorHAnsi"/>
          <w:sz w:val="22"/>
          <w:szCs w:val="22"/>
        </w:rPr>
        <w:t>zk</w:t>
      </w:r>
      <w:proofErr w:type="spellEnd"/>
      <w:r w:rsidRPr="00661BD2">
        <w:rPr>
          <w:rFonts w:asciiTheme="minorHAnsi" w:hAnsiTheme="minorHAnsi"/>
          <w:sz w:val="22"/>
          <w:szCs w:val="22"/>
        </w:rPr>
        <w:t xml:space="preserve"> = </w:t>
      </w:r>
      <w:r w:rsidR="007F648C">
        <w:rPr>
          <w:rFonts w:asciiTheme="minorHAnsi" w:hAnsiTheme="minorHAnsi"/>
          <w:sz w:val="22"/>
          <w:szCs w:val="22"/>
        </w:rPr>
        <w:t>p</w:t>
      </w:r>
      <w:r w:rsidRPr="00661BD2">
        <w:rPr>
          <w:rFonts w:asciiTheme="minorHAnsi" w:hAnsiTheme="minorHAnsi"/>
          <w:sz w:val="22"/>
          <w:szCs w:val="22"/>
        </w:rPr>
        <w:t xml:space="preserve">rice of </w:t>
      </w:r>
      <w:r w:rsidR="00CB6C68">
        <w:rPr>
          <w:rFonts w:asciiTheme="minorHAnsi" w:hAnsiTheme="minorHAnsi"/>
          <w:sz w:val="22"/>
          <w:szCs w:val="22"/>
        </w:rPr>
        <w:t xml:space="preserve">the </w:t>
      </w:r>
      <w:r w:rsidRPr="00661BD2">
        <w:rPr>
          <w:rFonts w:asciiTheme="minorHAnsi" w:hAnsiTheme="minorHAnsi"/>
          <w:sz w:val="22"/>
          <w:szCs w:val="22"/>
        </w:rPr>
        <w:t xml:space="preserve">non-agricultural inputs k </w:t>
      </w:r>
      <w:r w:rsidR="007F648C">
        <w:rPr>
          <w:rFonts w:asciiTheme="minorHAnsi" w:hAnsiTheme="minorHAnsi"/>
          <w:sz w:val="22"/>
          <w:szCs w:val="22"/>
        </w:rPr>
        <w:t>(</w:t>
      </w:r>
      <w:r w:rsidR="00BC1793">
        <w:rPr>
          <w:rFonts w:asciiTheme="minorHAnsi" w:hAnsiTheme="minorHAnsi"/>
          <w:sz w:val="22"/>
          <w:szCs w:val="22"/>
        </w:rPr>
        <w:t xml:space="preserve">k could be </w:t>
      </w:r>
      <w:proofErr w:type="spellStart"/>
      <w:r w:rsidR="00AF508C">
        <w:rPr>
          <w:rFonts w:asciiTheme="minorHAnsi" w:hAnsiTheme="minorHAnsi"/>
          <w:sz w:val="22"/>
          <w:szCs w:val="22"/>
        </w:rPr>
        <w:t>labour</w:t>
      </w:r>
      <w:proofErr w:type="spellEnd"/>
      <w:r w:rsidR="00AF508C">
        <w:rPr>
          <w:rFonts w:asciiTheme="minorHAnsi" w:hAnsiTheme="minorHAnsi"/>
          <w:sz w:val="22"/>
          <w:szCs w:val="22"/>
        </w:rPr>
        <w:t xml:space="preserve"> costs</w:t>
      </w:r>
      <w:r w:rsidR="00CB6C68">
        <w:rPr>
          <w:rFonts w:asciiTheme="minorHAnsi" w:hAnsiTheme="minorHAnsi"/>
          <w:sz w:val="22"/>
          <w:szCs w:val="22"/>
        </w:rPr>
        <w:t>, energy</w:t>
      </w:r>
      <w:r w:rsidR="007A036E">
        <w:rPr>
          <w:rFonts w:asciiTheme="minorHAnsi" w:hAnsiTheme="minorHAnsi"/>
          <w:sz w:val="22"/>
          <w:szCs w:val="22"/>
        </w:rPr>
        <w:t xml:space="preserve"> costs</w:t>
      </w:r>
      <w:r w:rsidR="00CB6C68">
        <w:rPr>
          <w:rFonts w:asciiTheme="minorHAnsi" w:hAnsiTheme="minorHAnsi"/>
          <w:sz w:val="22"/>
          <w:szCs w:val="22"/>
        </w:rPr>
        <w:t>,</w:t>
      </w:r>
      <w:r w:rsidR="007A036E">
        <w:rPr>
          <w:rFonts w:asciiTheme="minorHAnsi" w:hAnsiTheme="minorHAnsi"/>
          <w:sz w:val="22"/>
          <w:szCs w:val="22"/>
        </w:rPr>
        <w:t xml:space="preserve"> capital costs,</w:t>
      </w:r>
      <w:r w:rsidR="00CB6C68">
        <w:rPr>
          <w:rFonts w:asciiTheme="minorHAnsi" w:hAnsiTheme="minorHAnsi"/>
          <w:sz w:val="22"/>
          <w:szCs w:val="22"/>
        </w:rPr>
        <w:t xml:space="preserve"> etc</w:t>
      </w:r>
      <w:r w:rsidR="007A036E">
        <w:rPr>
          <w:rFonts w:asciiTheme="minorHAnsi" w:hAnsiTheme="minorHAnsi"/>
          <w:sz w:val="22"/>
          <w:szCs w:val="22"/>
        </w:rPr>
        <w:t>.</w:t>
      </w:r>
      <w:r w:rsidR="00CB6C68">
        <w:rPr>
          <w:rFonts w:asciiTheme="minorHAnsi" w:hAnsiTheme="minorHAnsi"/>
          <w:sz w:val="22"/>
          <w:szCs w:val="22"/>
        </w:rPr>
        <w:t xml:space="preserve">) </w:t>
      </w:r>
      <w:r w:rsidR="00BC1793">
        <w:rPr>
          <w:rFonts w:asciiTheme="minorHAnsi" w:hAnsiTheme="minorHAnsi"/>
          <w:sz w:val="22"/>
          <w:szCs w:val="22"/>
        </w:rPr>
        <w:t>plus</w:t>
      </w:r>
      <w:r w:rsidRPr="00661BD2">
        <w:rPr>
          <w:rFonts w:asciiTheme="minorHAnsi" w:hAnsiTheme="minorHAnsi"/>
          <w:sz w:val="22"/>
          <w:szCs w:val="22"/>
        </w:rPr>
        <w:t xml:space="preserve"> </w:t>
      </w:r>
      <w:r w:rsidR="00CB6C68">
        <w:rPr>
          <w:rFonts w:asciiTheme="minorHAnsi" w:hAnsiTheme="minorHAnsi"/>
          <w:sz w:val="22"/>
          <w:szCs w:val="22"/>
        </w:rPr>
        <w:t xml:space="preserve">any </w:t>
      </w:r>
      <w:r w:rsidRPr="00661BD2">
        <w:rPr>
          <w:rFonts w:asciiTheme="minorHAnsi" w:hAnsiTheme="minorHAnsi"/>
          <w:sz w:val="22"/>
          <w:szCs w:val="22"/>
        </w:rPr>
        <w:t xml:space="preserve">trend </w:t>
      </w:r>
      <w:r w:rsidR="007F648C">
        <w:rPr>
          <w:rFonts w:asciiTheme="minorHAnsi" w:hAnsiTheme="minorHAnsi"/>
          <w:sz w:val="22"/>
          <w:szCs w:val="22"/>
        </w:rPr>
        <w:t xml:space="preserve">and dummy </w:t>
      </w:r>
      <w:r w:rsidRPr="00661BD2">
        <w:rPr>
          <w:rFonts w:asciiTheme="minorHAnsi" w:hAnsiTheme="minorHAnsi"/>
          <w:sz w:val="22"/>
          <w:szCs w:val="22"/>
        </w:rPr>
        <w:t xml:space="preserve">variables </w:t>
      </w:r>
      <w:r w:rsidR="00CB6C68">
        <w:rPr>
          <w:rFonts w:asciiTheme="minorHAnsi" w:hAnsiTheme="minorHAnsi"/>
          <w:sz w:val="22"/>
          <w:szCs w:val="22"/>
        </w:rPr>
        <w:t>if</w:t>
      </w:r>
      <w:r w:rsidRPr="00661BD2">
        <w:rPr>
          <w:rFonts w:asciiTheme="minorHAnsi" w:hAnsiTheme="minorHAnsi"/>
          <w:spacing w:val="-1"/>
          <w:sz w:val="22"/>
          <w:szCs w:val="22"/>
        </w:rPr>
        <w:t xml:space="preserve"> </w:t>
      </w:r>
      <w:proofErr w:type="gramStart"/>
      <w:r w:rsidRPr="00661BD2">
        <w:rPr>
          <w:rFonts w:asciiTheme="minorHAnsi" w:hAnsiTheme="minorHAnsi"/>
          <w:sz w:val="22"/>
          <w:szCs w:val="22"/>
        </w:rPr>
        <w:t>required;</w:t>
      </w:r>
      <w:proofErr w:type="gramEnd"/>
      <w:r w:rsidRPr="00661BD2">
        <w:rPr>
          <w:rFonts w:asciiTheme="minorHAnsi" w:hAnsiTheme="minorHAnsi"/>
          <w:w w:val="99"/>
          <w:sz w:val="22"/>
          <w:szCs w:val="22"/>
        </w:rPr>
        <w:t xml:space="preserve"> </w:t>
      </w:r>
    </w:p>
    <w:p w14:paraId="798DFBCA" w14:textId="2C498B99" w:rsidR="004806F6" w:rsidRPr="00661BD2" w:rsidRDefault="00363ED8" w:rsidP="00661BD2">
      <w:pPr>
        <w:pStyle w:val="BodyText"/>
        <w:ind w:left="0"/>
        <w:jc w:val="both"/>
        <w:rPr>
          <w:rFonts w:asciiTheme="minorHAnsi" w:hAnsiTheme="minorHAnsi"/>
          <w:sz w:val="22"/>
          <w:szCs w:val="22"/>
        </w:rPr>
      </w:pPr>
      <w:r w:rsidRPr="00661BD2">
        <w:rPr>
          <w:rFonts w:asciiTheme="minorHAnsi" w:hAnsiTheme="minorHAnsi"/>
          <w:position w:val="2"/>
          <w:sz w:val="22"/>
          <w:szCs w:val="22"/>
        </w:rPr>
        <w:t>q</w:t>
      </w:r>
      <w:r w:rsidRPr="00661BD2">
        <w:rPr>
          <w:rFonts w:asciiTheme="minorHAnsi" w:hAnsiTheme="minorHAnsi"/>
          <w:sz w:val="22"/>
          <w:szCs w:val="22"/>
        </w:rPr>
        <w:t xml:space="preserve">j </w:t>
      </w:r>
      <w:r w:rsidRPr="00661BD2">
        <w:rPr>
          <w:rFonts w:asciiTheme="minorHAnsi" w:hAnsiTheme="minorHAnsi"/>
          <w:position w:val="2"/>
          <w:sz w:val="22"/>
          <w:szCs w:val="22"/>
        </w:rPr>
        <w:t xml:space="preserve">= </w:t>
      </w:r>
      <w:r w:rsidR="007F648C">
        <w:rPr>
          <w:rFonts w:asciiTheme="minorHAnsi" w:hAnsiTheme="minorHAnsi"/>
          <w:position w:val="2"/>
          <w:sz w:val="22"/>
          <w:szCs w:val="22"/>
        </w:rPr>
        <w:t>q</w:t>
      </w:r>
      <w:r w:rsidRPr="00661BD2">
        <w:rPr>
          <w:rFonts w:asciiTheme="minorHAnsi" w:hAnsiTheme="minorHAnsi"/>
          <w:position w:val="2"/>
          <w:sz w:val="22"/>
          <w:szCs w:val="22"/>
        </w:rPr>
        <w:t xml:space="preserve">uantity of the food </w:t>
      </w:r>
      <w:proofErr w:type="gramStart"/>
      <w:r w:rsidRPr="00661BD2">
        <w:rPr>
          <w:rFonts w:asciiTheme="minorHAnsi" w:hAnsiTheme="minorHAnsi"/>
          <w:position w:val="2"/>
          <w:sz w:val="22"/>
          <w:szCs w:val="22"/>
        </w:rPr>
        <w:t>output</w:t>
      </w:r>
      <w:r w:rsidRPr="00661BD2">
        <w:rPr>
          <w:rFonts w:asciiTheme="minorHAnsi" w:hAnsiTheme="minorHAnsi"/>
          <w:spacing w:val="-18"/>
          <w:position w:val="2"/>
          <w:sz w:val="22"/>
          <w:szCs w:val="22"/>
        </w:rPr>
        <w:t xml:space="preserve"> </w:t>
      </w:r>
      <w:r w:rsidRPr="00661BD2">
        <w:rPr>
          <w:rFonts w:asciiTheme="minorHAnsi" w:hAnsiTheme="minorHAnsi"/>
          <w:position w:val="2"/>
          <w:sz w:val="22"/>
          <w:szCs w:val="22"/>
        </w:rPr>
        <w:t>j</w:t>
      </w:r>
      <w:proofErr w:type="gramEnd"/>
      <w:r w:rsidR="00CB6C68">
        <w:rPr>
          <w:rFonts w:asciiTheme="minorHAnsi" w:hAnsiTheme="minorHAnsi"/>
          <w:position w:val="2"/>
          <w:sz w:val="22"/>
          <w:szCs w:val="22"/>
        </w:rPr>
        <w:t xml:space="preserve"> going to the domestic </w:t>
      </w:r>
      <w:proofErr w:type="gramStart"/>
      <w:r w:rsidR="00CB6C68">
        <w:rPr>
          <w:rFonts w:asciiTheme="minorHAnsi" w:hAnsiTheme="minorHAnsi"/>
          <w:position w:val="2"/>
          <w:sz w:val="22"/>
          <w:szCs w:val="22"/>
        </w:rPr>
        <w:t>market</w:t>
      </w:r>
      <w:r w:rsidRPr="00661BD2">
        <w:rPr>
          <w:rFonts w:asciiTheme="minorHAnsi" w:hAnsiTheme="minorHAnsi"/>
          <w:position w:val="2"/>
          <w:sz w:val="22"/>
          <w:szCs w:val="22"/>
        </w:rPr>
        <w:t>;</w:t>
      </w:r>
      <w:proofErr w:type="gramEnd"/>
    </w:p>
    <w:p w14:paraId="57016A65" w14:textId="3CD17466" w:rsidR="004806F6" w:rsidRPr="00B73A45" w:rsidRDefault="00363ED8" w:rsidP="00661BD2">
      <w:pPr>
        <w:pStyle w:val="BodyText"/>
        <w:ind w:left="0"/>
        <w:jc w:val="both"/>
        <w:rPr>
          <w:rFonts w:asciiTheme="minorHAnsi" w:hAnsiTheme="minorHAnsi"/>
          <w:sz w:val="22"/>
          <w:szCs w:val="22"/>
        </w:rPr>
      </w:pPr>
      <w:r w:rsidRPr="00B73A45">
        <w:rPr>
          <w:rFonts w:asciiTheme="minorHAnsi" w:hAnsiTheme="minorHAnsi"/>
          <w:position w:val="2"/>
          <w:sz w:val="22"/>
          <w:szCs w:val="22"/>
        </w:rPr>
        <w:t>β</w:t>
      </w:r>
      <w:r w:rsidRPr="00B73A45">
        <w:rPr>
          <w:rFonts w:asciiTheme="minorHAnsi" w:hAnsiTheme="minorHAnsi"/>
          <w:sz w:val="22"/>
          <w:szCs w:val="22"/>
        </w:rPr>
        <w:t xml:space="preserve">j </w:t>
      </w:r>
      <w:r w:rsidRPr="00B73A45">
        <w:rPr>
          <w:rFonts w:asciiTheme="minorHAnsi" w:hAnsiTheme="minorHAnsi"/>
          <w:position w:val="2"/>
          <w:sz w:val="22"/>
          <w:szCs w:val="22"/>
        </w:rPr>
        <w:t xml:space="preserve">= </w:t>
      </w:r>
      <w:r w:rsidR="009B6413" w:rsidRPr="00B73A45">
        <w:rPr>
          <w:rFonts w:asciiTheme="minorHAnsi" w:hAnsiTheme="minorHAnsi"/>
          <w:position w:val="2"/>
          <w:sz w:val="22"/>
          <w:szCs w:val="22"/>
        </w:rPr>
        <w:t xml:space="preserve">coefficient of a term which includes the </w:t>
      </w:r>
      <w:r w:rsidR="007F648C" w:rsidRPr="00B73A45">
        <w:rPr>
          <w:rFonts w:asciiTheme="minorHAnsi" w:hAnsiTheme="minorHAnsi"/>
          <w:position w:val="2"/>
          <w:sz w:val="22"/>
          <w:szCs w:val="22"/>
        </w:rPr>
        <w:t>o</w:t>
      </w:r>
      <w:r w:rsidRPr="00B73A45">
        <w:rPr>
          <w:rFonts w:asciiTheme="minorHAnsi" w:hAnsiTheme="minorHAnsi"/>
          <w:position w:val="2"/>
          <w:sz w:val="22"/>
          <w:szCs w:val="22"/>
        </w:rPr>
        <w:t xml:space="preserve">utput conjectural </w:t>
      </w:r>
      <w:r w:rsidR="009B6413" w:rsidRPr="00B73A45">
        <w:rPr>
          <w:rFonts w:asciiTheme="minorHAnsi" w:hAnsiTheme="minorHAnsi"/>
          <w:position w:val="2"/>
          <w:sz w:val="22"/>
          <w:szCs w:val="22"/>
        </w:rPr>
        <w:t>elasticity</w:t>
      </w:r>
      <w:r w:rsidR="003D382C">
        <w:rPr>
          <w:rFonts w:asciiTheme="minorHAnsi" w:hAnsiTheme="minorHAnsi"/>
          <w:position w:val="2"/>
          <w:sz w:val="22"/>
          <w:szCs w:val="22"/>
        </w:rPr>
        <w:t xml:space="preserve"> (a measure of market power in output markets</w:t>
      </w:r>
      <w:proofErr w:type="gramStart"/>
      <w:r w:rsidR="003D382C">
        <w:rPr>
          <w:rFonts w:asciiTheme="minorHAnsi" w:hAnsiTheme="minorHAnsi"/>
          <w:position w:val="2"/>
          <w:sz w:val="22"/>
          <w:szCs w:val="22"/>
        </w:rPr>
        <w:t>)</w:t>
      </w:r>
      <w:r w:rsidRPr="00B73A45">
        <w:rPr>
          <w:rFonts w:asciiTheme="minorHAnsi" w:hAnsiTheme="minorHAnsi"/>
          <w:position w:val="2"/>
          <w:sz w:val="22"/>
          <w:szCs w:val="22"/>
        </w:rPr>
        <w:t>;</w:t>
      </w:r>
      <w:proofErr w:type="gramEnd"/>
    </w:p>
    <w:p w14:paraId="6C5B81D3" w14:textId="2DE97944" w:rsidR="004806F6" w:rsidRPr="00D907AB" w:rsidRDefault="00363ED8" w:rsidP="00661BD2">
      <w:pPr>
        <w:pStyle w:val="BodyText"/>
        <w:ind w:left="0"/>
        <w:jc w:val="both"/>
        <w:rPr>
          <w:sz w:val="22"/>
          <w:szCs w:val="22"/>
        </w:rPr>
      </w:pPr>
      <w:r w:rsidRPr="00B73A45">
        <w:rPr>
          <w:rFonts w:asciiTheme="minorHAnsi" w:hAnsiTheme="minorHAnsi"/>
          <w:position w:val="2"/>
          <w:sz w:val="22"/>
          <w:szCs w:val="22"/>
        </w:rPr>
        <w:t>γ</w:t>
      </w:r>
      <w:proofErr w:type="spellStart"/>
      <w:r w:rsidRPr="00B73A45">
        <w:rPr>
          <w:rFonts w:asciiTheme="minorHAnsi" w:hAnsiTheme="minorHAnsi"/>
          <w:sz w:val="22"/>
          <w:szCs w:val="22"/>
        </w:rPr>
        <w:t>jm</w:t>
      </w:r>
      <w:proofErr w:type="spellEnd"/>
      <w:r w:rsidRPr="00B73A45">
        <w:rPr>
          <w:rFonts w:asciiTheme="minorHAnsi" w:hAnsiTheme="minorHAnsi"/>
          <w:sz w:val="22"/>
          <w:szCs w:val="22"/>
        </w:rPr>
        <w:t xml:space="preserve"> </w:t>
      </w:r>
      <w:r w:rsidRPr="00B73A45">
        <w:rPr>
          <w:rFonts w:asciiTheme="minorHAnsi" w:hAnsiTheme="minorHAnsi"/>
          <w:position w:val="2"/>
          <w:sz w:val="22"/>
          <w:szCs w:val="22"/>
        </w:rPr>
        <w:t xml:space="preserve">= </w:t>
      </w:r>
      <w:r w:rsidR="009B6413" w:rsidRPr="00B73A45">
        <w:rPr>
          <w:rFonts w:asciiTheme="minorHAnsi" w:hAnsiTheme="minorHAnsi"/>
          <w:position w:val="2"/>
          <w:sz w:val="22"/>
          <w:szCs w:val="22"/>
        </w:rPr>
        <w:t xml:space="preserve">coefficient of a term which includes the </w:t>
      </w:r>
      <w:r w:rsidR="007F648C" w:rsidRPr="00B73A45">
        <w:rPr>
          <w:rFonts w:asciiTheme="minorHAnsi" w:hAnsiTheme="minorHAnsi"/>
          <w:position w:val="2"/>
          <w:sz w:val="22"/>
          <w:szCs w:val="22"/>
        </w:rPr>
        <w:t>i</w:t>
      </w:r>
      <w:r w:rsidRPr="00B73A45">
        <w:rPr>
          <w:rFonts w:asciiTheme="minorHAnsi" w:hAnsiTheme="minorHAnsi"/>
          <w:position w:val="2"/>
          <w:sz w:val="22"/>
          <w:szCs w:val="22"/>
        </w:rPr>
        <w:t>nput conjectural</w:t>
      </w:r>
      <w:r w:rsidRPr="00B73A45">
        <w:rPr>
          <w:rFonts w:asciiTheme="minorHAnsi" w:hAnsiTheme="minorHAnsi"/>
          <w:spacing w:val="-19"/>
          <w:position w:val="2"/>
          <w:sz w:val="22"/>
          <w:szCs w:val="22"/>
        </w:rPr>
        <w:t xml:space="preserve"> </w:t>
      </w:r>
      <w:r w:rsidR="009B6413" w:rsidRPr="00D907AB">
        <w:rPr>
          <w:sz w:val="22"/>
          <w:szCs w:val="22"/>
        </w:rPr>
        <w:t>elasticity</w:t>
      </w:r>
      <w:r w:rsidR="003D382C" w:rsidRPr="00D907AB">
        <w:rPr>
          <w:sz w:val="22"/>
          <w:szCs w:val="22"/>
        </w:rPr>
        <w:t xml:space="preserve"> (a measure of market power in input markets)</w:t>
      </w:r>
      <w:r w:rsidR="009F38ED" w:rsidRPr="00D907AB">
        <w:rPr>
          <w:sz w:val="22"/>
          <w:szCs w:val="22"/>
        </w:rPr>
        <w:t>;</w:t>
      </w:r>
      <w:r w:rsidR="003D382C" w:rsidRPr="00D907AB">
        <w:rPr>
          <w:sz w:val="22"/>
          <w:szCs w:val="22"/>
        </w:rPr>
        <w:t xml:space="preserve"> and</w:t>
      </w:r>
    </w:p>
    <w:p w14:paraId="0D907364" w14:textId="20A55C9F" w:rsidR="009F38ED" w:rsidRDefault="00363ED8" w:rsidP="00661BD2">
      <w:pPr>
        <w:pStyle w:val="BodyText"/>
        <w:ind w:left="0"/>
        <w:jc w:val="both"/>
        <w:rPr>
          <w:rFonts w:asciiTheme="minorHAnsi" w:hAnsiTheme="minorHAnsi"/>
          <w:position w:val="2"/>
          <w:sz w:val="22"/>
          <w:szCs w:val="22"/>
        </w:rPr>
      </w:pPr>
      <w:r w:rsidRPr="00661BD2">
        <w:rPr>
          <w:rFonts w:asciiTheme="minorHAnsi" w:hAnsiTheme="minorHAnsi"/>
          <w:position w:val="2"/>
          <w:sz w:val="22"/>
          <w:szCs w:val="22"/>
        </w:rPr>
        <w:t>x</w:t>
      </w:r>
      <w:r w:rsidRPr="00661BD2">
        <w:rPr>
          <w:rFonts w:asciiTheme="minorHAnsi" w:hAnsiTheme="minorHAnsi"/>
          <w:sz w:val="22"/>
          <w:szCs w:val="22"/>
        </w:rPr>
        <w:t xml:space="preserve">m </w:t>
      </w:r>
      <w:r w:rsidR="007F648C">
        <w:rPr>
          <w:rFonts w:asciiTheme="minorHAnsi" w:hAnsiTheme="minorHAnsi"/>
          <w:sz w:val="22"/>
          <w:szCs w:val="22"/>
        </w:rPr>
        <w:t xml:space="preserve">= </w:t>
      </w:r>
      <w:r w:rsidRPr="00661BD2">
        <w:rPr>
          <w:rFonts w:asciiTheme="minorHAnsi" w:hAnsiTheme="minorHAnsi"/>
          <w:position w:val="2"/>
          <w:sz w:val="22"/>
          <w:szCs w:val="22"/>
        </w:rPr>
        <w:t xml:space="preserve">quantity of </w:t>
      </w:r>
      <w:r w:rsidR="007F648C">
        <w:rPr>
          <w:rFonts w:asciiTheme="minorHAnsi" w:hAnsiTheme="minorHAnsi"/>
          <w:position w:val="2"/>
          <w:sz w:val="22"/>
          <w:szCs w:val="22"/>
        </w:rPr>
        <w:t xml:space="preserve">agricultural </w:t>
      </w:r>
      <w:r w:rsidRPr="00661BD2">
        <w:rPr>
          <w:rFonts w:asciiTheme="minorHAnsi" w:hAnsiTheme="minorHAnsi"/>
          <w:position w:val="2"/>
          <w:sz w:val="22"/>
          <w:szCs w:val="22"/>
        </w:rPr>
        <w:t>input</w:t>
      </w:r>
      <w:r w:rsidR="007F648C">
        <w:rPr>
          <w:rFonts w:asciiTheme="minorHAnsi" w:hAnsiTheme="minorHAnsi"/>
          <w:position w:val="2"/>
          <w:sz w:val="22"/>
          <w:szCs w:val="22"/>
        </w:rPr>
        <w:t xml:space="preserve"> </w:t>
      </w:r>
      <w:r w:rsidRPr="00661BD2">
        <w:rPr>
          <w:rFonts w:asciiTheme="minorHAnsi" w:hAnsiTheme="minorHAnsi"/>
          <w:position w:val="2"/>
          <w:sz w:val="22"/>
          <w:szCs w:val="22"/>
        </w:rPr>
        <w:t>m</w:t>
      </w:r>
      <w:r w:rsidR="007F648C">
        <w:rPr>
          <w:rFonts w:asciiTheme="minorHAnsi" w:hAnsiTheme="minorHAnsi"/>
          <w:position w:val="2"/>
          <w:sz w:val="22"/>
          <w:szCs w:val="22"/>
        </w:rPr>
        <w:t>.</w:t>
      </w:r>
      <w:r w:rsidRPr="00661BD2">
        <w:rPr>
          <w:rFonts w:asciiTheme="minorHAnsi" w:hAnsiTheme="minorHAnsi"/>
          <w:position w:val="2"/>
          <w:sz w:val="22"/>
          <w:szCs w:val="22"/>
        </w:rPr>
        <w:t xml:space="preserve"> </w:t>
      </w:r>
    </w:p>
    <w:p w14:paraId="65590575" w14:textId="77777777" w:rsidR="00F936C9" w:rsidRDefault="00F936C9" w:rsidP="00661BD2">
      <w:pPr>
        <w:pStyle w:val="BodyText"/>
        <w:ind w:left="0"/>
        <w:jc w:val="both"/>
        <w:rPr>
          <w:rFonts w:asciiTheme="minorHAnsi" w:hAnsiTheme="minorHAnsi"/>
          <w:sz w:val="22"/>
          <w:szCs w:val="22"/>
        </w:rPr>
      </w:pPr>
    </w:p>
    <w:p w14:paraId="2A0C7CEC" w14:textId="1CBB4261" w:rsidR="004806F6" w:rsidRPr="00661BD2" w:rsidRDefault="00AF508C" w:rsidP="00661BD2">
      <w:pPr>
        <w:pStyle w:val="BodyText"/>
        <w:ind w:left="0"/>
        <w:jc w:val="both"/>
        <w:rPr>
          <w:rFonts w:asciiTheme="minorHAnsi" w:hAnsiTheme="minorHAnsi"/>
          <w:sz w:val="22"/>
          <w:szCs w:val="22"/>
        </w:rPr>
      </w:pPr>
      <w:r>
        <w:rPr>
          <w:rFonts w:asciiTheme="minorHAnsi" w:hAnsiTheme="minorHAnsi"/>
          <w:position w:val="2"/>
          <w:sz w:val="22"/>
          <w:szCs w:val="22"/>
        </w:rPr>
        <w:t>I</w:t>
      </w:r>
      <w:r>
        <w:rPr>
          <w:rFonts w:asciiTheme="minorHAnsi" w:hAnsiTheme="minorHAnsi"/>
          <w:position w:val="2"/>
          <w:sz w:val="22"/>
          <w:szCs w:val="22"/>
        </w:rPr>
        <w:t>n this case</w:t>
      </w:r>
      <w:r>
        <w:rPr>
          <w:rFonts w:asciiTheme="minorHAnsi" w:hAnsiTheme="minorHAnsi"/>
          <w:position w:val="2"/>
          <w:sz w:val="22"/>
          <w:szCs w:val="22"/>
        </w:rPr>
        <w:t>,</w:t>
      </w:r>
      <w:r>
        <w:rPr>
          <w:rFonts w:asciiTheme="minorHAnsi" w:hAnsiTheme="minorHAnsi"/>
          <w:position w:val="2"/>
          <w:sz w:val="22"/>
          <w:szCs w:val="22"/>
        </w:rPr>
        <w:t xml:space="preserve"> q=x and j=m</w:t>
      </w:r>
      <w:r>
        <w:rPr>
          <w:rFonts w:asciiTheme="minorHAnsi" w:hAnsiTheme="minorHAnsi"/>
          <w:position w:val="2"/>
          <w:sz w:val="22"/>
          <w:szCs w:val="22"/>
        </w:rPr>
        <w:t>.</w:t>
      </w:r>
      <w:r>
        <w:rPr>
          <w:rFonts w:asciiTheme="minorHAnsi" w:hAnsiTheme="minorHAnsi"/>
          <w:sz w:val="22"/>
          <w:szCs w:val="22"/>
        </w:rPr>
        <w:t xml:space="preserve">  </w:t>
      </w:r>
      <w:r w:rsidR="007A036E">
        <w:rPr>
          <w:rFonts w:asciiTheme="minorHAnsi" w:hAnsiTheme="minorHAnsi"/>
          <w:sz w:val="22"/>
          <w:szCs w:val="22"/>
        </w:rPr>
        <w:t>As</w:t>
      </w:r>
      <w:r w:rsidR="003D382C">
        <w:rPr>
          <w:rFonts w:asciiTheme="minorHAnsi" w:hAnsiTheme="minorHAnsi"/>
          <w:sz w:val="22"/>
          <w:szCs w:val="22"/>
        </w:rPr>
        <w:t xml:space="preserve"> all prices and costs are defined in real terms</w:t>
      </w:r>
      <w:r w:rsidR="007A036E">
        <w:rPr>
          <w:rFonts w:asciiTheme="minorHAnsi" w:hAnsiTheme="minorHAnsi"/>
          <w:sz w:val="22"/>
          <w:szCs w:val="22"/>
        </w:rPr>
        <w:t xml:space="preserve">, </w:t>
      </w:r>
      <w:r w:rsidR="003D382C">
        <w:rPr>
          <w:rFonts w:asciiTheme="minorHAnsi" w:hAnsiTheme="minorHAnsi"/>
          <w:sz w:val="22"/>
          <w:szCs w:val="22"/>
        </w:rPr>
        <w:t>t</w:t>
      </w:r>
      <w:r w:rsidR="00363ED8" w:rsidRPr="00661BD2">
        <w:rPr>
          <w:rFonts w:asciiTheme="minorHAnsi" w:hAnsiTheme="minorHAnsi"/>
          <w:sz w:val="22"/>
          <w:szCs w:val="22"/>
        </w:rPr>
        <w:t xml:space="preserve">his </w:t>
      </w:r>
      <w:r w:rsidR="00193B37">
        <w:rPr>
          <w:rFonts w:asciiTheme="minorHAnsi" w:hAnsiTheme="minorHAnsi"/>
          <w:sz w:val="22"/>
          <w:szCs w:val="22"/>
        </w:rPr>
        <w:t xml:space="preserve">equation </w:t>
      </w:r>
      <w:r w:rsidR="00363ED8" w:rsidRPr="00661BD2">
        <w:rPr>
          <w:rFonts w:asciiTheme="minorHAnsi" w:hAnsiTheme="minorHAnsi"/>
          <w:sz w:val="22"/>
          <w:szCs w:val="22"/>
        </w:rPr>
        <w:t>measures the factors explaining variation in the</w:t>
      </w:r>
      <w:r w:rsidR="003D382C">
        <w:rPr>
          <w:rFonts w:asciiTheme="minorHAnsi" w:hAnsiTheme="minorHAnsi"/>
          <w:sz w:val="22"/>
          <w:szCs w:val="22"/>
        </w:rPr>
        <w:t xml:space="preserve"> real (adjusted for inflation)</w:t>
      </w:r>
      <w:r w:rsidR="00363ED8" w:rsidRPr="00661BD2">
        <w:rPr>
          <w:rFonts w:asciiTheme="minorHAnsi" w:hAnsiTheme="minorHAnsi"/>
          <w:sz w:val="22"/>
          <w:szCs w:val="22"/>
        </w:rPr>
        <w:t xml:space="preserve"> industry</w:t>
      </w:r>
      <w:r w:rsidR="00363ED8" w:rsidRPr="00661BD2">
        <w:rPr>
          <w:rFonts w:asciiTheme="minorHAnsi" w:hAnsiTheme="minorHAnsi"/>
          <w:spacing w:val="-1"/>
          <w:sz w:val="22"/>
          <w:szCs w:val="22"/>
        </w:rPr>
        <w:t xml:space="preserve"> </w:t>
      </w:r>
      <w:r w:rsidR="003D382C">
        <w:rPr>
          <w:rFonts w:asciiTheme="minorHAnsi" w:hAnsiTheme="minorHAnsi"/>
          <w:spacing w:val="-1"/>
          <w:sz w:val="22"/>
          <w:szCs w:val="22"/>
        </w:rPr>
        <w:t xml:space="preserve">(farm-retail) </w:t>
      </w:r>
      <w:r w:rsidR="00363ED8" w:rsidRPr="00661BD2">
        <w:rPr>
          <w:rFonts w:asciiTheme="minorHAnsi" w:hAnsiTheme="minorHAnsi"/>
          <w:sz w:val="22"/>
          <w:szCs w:val="22"/>
        </w:rPr>
        <w:t>marketing</w:t>
      </w:r>
      <w:r w:rsidR="00363ED8" w:rsidRPr="00661BD2">
        <w:rPr>
          <w:rFonts w:asciiTheme="minorHAnsi" w:hAnsiTheme="minorHAnsi"/>
          <w:w w:val="99"/>
          <w:sz w:val="22"/>
          <w:szCs w:val="22"/>
        </w:rPr>
        <w:t xml:space="preserve"> </w:t>
      </w:r>
      <w:r w:rsidR="00363ED8" w:rsidRPr="00661BD2">
        <w:rPr>
          <w:rFonts w:asciiTheme="minorHAnsi" w:hAnsiTheme="minorHAnsi"/>
          <w:position w:val="2"/>
          <w:sz w:val="22"/>
          <w:szCs w:val="22"/>
        </w:rPr>
        <w:t>margin, m</w:t>
      </w:r>
      <w:r w:rsidR="00363ED8" w:rsidRPr="00661BD2">
        <w:rPr>
          <w:rFonts w:asciiTheme="minorHAnsi" w:hAnsiTheme="minorHAnsi"/>
          <w:sz w:val="22"/>
          <w:szCs w:val="22"/>
        </w:rPr>
        <w:t>j</w:t>
      </w:r>
      <w:r w:rsidR="00363ED8" w:rsidRPr="00661BD2">
        <w:rPr>
          <w:rFonts w:asciiTheme="minorHAnsi" w:hAnsiTheme="minorHAnsi"/>
          <w:position w:val="2"/>
          <w:sz w:val="22"/>
          <w:szCs w:val="22"/>
        </w:rPr>
        <w:t xml:space="preserve">. </w:t>
      </w:r>
      <w:r w:rsidR="00CB6C68">
        <w:rPr>
          <w:rFonts w:asciiTheme="minorHAnsi" w:hAnsiTheme="minorHAnsi"/>
          <w:position w:val="2"/>
          <w:sz w:val="22"/>
          <w:szCs w:val="22"/>
        </w:rPr>
        <w:t xml:space="preserve">The key relationship is the link between the costs of providing the required market services and the resulting marketing margin. </w:t>
      </w:r>
      <w:r w:rsidR="007F648C">
        <w:rPr>
          <w:rFonts w:asciiTheme="minorHAnsi" w:hAnsiTheme="minorHAnsi"/>
          <w:position w:val="2"/>
          <w:sz w:val="22"/>
          <w:szCs w:val="22"/>
        </w:rPr>
        <w:t xml:space="preserve">The terms </w:t>
      </w:r>
      <w:r w:rsidR="00363ED8" w:rsidRPr="00661BD2">
        <w:rPr>
          <w:rFonts w:asciiTheme="minorHAnsi" w:hAnsiTheme="minorHAnsi"/>
          <w:position w:val="2"/>
          <w:sz w:val="22"/>
          <w:szCs w:val="22"/>
        </w:rPr>
        <w:t>β</w:t>
      </w:r>
      <w:r w:rsidR="00363ED8" w:rsidRPr="00661BD2">
        <w:rPr>
          <w:rFonts w:asciiTheme="minorHAnsi" w:hAnsiTheme="minorHAnsi"/>
          <w:sz w:val="22"/>
          <w:szCs w:val="22"/>
        </w:rPr>
        <w:t xml:space="preserve">j </w:t>
      </w:r>
      <w:r w:rsidR="00363ED8" w:rsidRPr="00661BD2">
        <w:rPr>
          <w:rFonts w:asciiTheme="minorHAnsi" w:hAnsiTheme="minorHAnsi"/>
          <w:position w:val="2"/>
          <w:sz w:val="22"/>
          <w:szCs w:val="22"/>
        </w:rPr>
        <w:t>(</w:t>
      </w:r>
      <w:r w:rsidR="00CB6C68">
        <w:rPr>
          <w:rFonts w:asciiTheme="minorHAnsi" w:hAnsiTheme="minorHAnsi"/>
          <w:position w:val="2"/>
          <w:sz w:val="22"/>
          <w:szCs w:val="22"/>
        </w:rPr>
        <w:t xml:space="preserve">the </w:t>
      </w:r>
      <w:r w:rsidR="00363ED8" w:rsidRPr="00661BD2">
        <w:rPr>
          <w:rFonts w:asciiTheme="minorHAnsi" w:hAnsiTheme="minorHAnsi"/>
          <w:position w:val="2"/>
          <w:sz w:val="22"/>
          <w:szCs w:val="22"/>
        </w:rPr>
        <w:t>output conjectural coefficient) and γ</w:t>
      </w:r>
      <w:proofErr w:type="spellStart"/>
      <w:r w:rsidR="00363ED8" w:rsidRPr="00661BD2">
        <w:rPr>
          <w:rFonts w:asciiTheme="minorHAnsi" w:hAnsiTheme="minorHAnsi"/>
          <w:sz w:val="22"/>
          <w:szCs w:val="22"/>
        </w:rPr>
        <w:t>jm</w:t>
      </w:r>
      <w:proofErr w:type="spellEnd"/>
      <w:r w:rsidR="00363ED8" w:rsidRPr="00661BD2">
        <w:rPr>
          <w:rFonts w:asciiTheme="minorHAnsi" w:hAnsiTheme="minorHAnsi"/>
          <w:sz w:val="22"/>
          <w:szCs w:val="22"/>
        </w:rPr>
        <w:t xml:space="preserve"> </w:t>
      </w:r>
      <w:r w:rsidR="00363ED8" w:rsidRPr="00661BD2">
        <w:rPr>
          <w:rFonts w:asciiTheme="minorHAnsi" w:hAnsiTheme="minorHAnsi"/>
          <w:position w:val="2"/>
          <w:sz w:val="22"/>
          <w:szCs w:val="22"/>
        </w:rPr>
        <w:t>(</w:t>
      </w:r>
      <w:r w:rsidR="00CB6C68">
        <w:rPr>
          <w:rFonts w:asciiTheme="minorHAnsi" w:hAnsiTheme="minorHAnsi"/>
          <w:position w:val="2"/>
          <w:sz w:val="22"/>
          <w:szCs w:val="22"/>
        </w:rPr>
        <w:t xml:space="preserve">the </w:t>
      </w:r>
      <w:r w:rsidR="00363ED8" w:rsidRPr="00661BD2">
        <w:rPr>
          <w:rFonts w:asciiTheme="minorHAnsi" w:hAnsiTheme="minorHAnsi"/>
          <w:position w:val="2"/>
          <w:sz w:val="22"/>
          <w:szCs w:val="22"/>
        </w:rPr>
        <w:t>input conjectural</w:t>
      </w:r>
      <w:r w:rsidR="00363ED8" w:rsidRPr="00661BD2">
        <w:rPr>
          <w:rFonts w:asciiTheme="minorHAnsi" w:hAnsiTheme="minorHAnsi"/>
          <w:spacing w:val="-20"/>
          <w:position w:val="2"/>
          <w:sz w:val="22"/>
          <w:szCs w:val="22"/>
        </w:rPr>
        <w:t xml:space="preserve"> </w:t>
      </w:r>
      <w:r w:rsidR="00363ED8" w:rsidRPr="00661BD2">
        <w:rPr>
          <w:rFonts w:asciiTheme="minorHAnsi" w:hAnsiTheme="minorHAnsi"/>
          <w:position w:val="2"/>
          <w:sz w:val="22"/>
          <w:szCs w:val="22"/>
        </w:rPr>
        <w:t xml:space="preserve">coefficient) </w:t>
      </w:r>
      <w:r w:rsidR="007F648C">
        <w:rPr>
          <w:rFonts w:asciiTheme="minorHAnsi" w:hAnsiTheme="minorHAnsi"/>
          <w:position w:val="2"/>
          <w:sz w:val="22"/>
          <w:szCs w:val="22"/>
        </w:rPr>
        <w:t xml:space="preserve">represent the possibility of </w:t>
      </w:r>
      <w:r w:rsidR="00363ED8" w:rsidRPr="00661BD2">
        <w:rPr>
          <w:rFonts w:asciiTheme="minorHAnsi" w:hAnsiTheme="minorHAnsi"/>
          <w:sz w:val="22"/>
          <w:szCs w:val="22"/>
        </w:rPr>
        <w:t>market power in the output and input markets</w:t>
      </w:r>
      <w:r w:rsidR="007F648C">
        <w:rPr>
          <w:rFonts w:asciiTheme="minorHAnsi" w:hAnsiTheme="minorHAnsi"/>
          <w:sz w:val="22"/>
          <w:szCs w:val="22"/>
        </w:rPr>
        <w:t>, respectively</w:t>
      </w:r>
      <w:r w:rsidR="00363ED8" w:rsidRPr="00661BD2">
        <w:rPr>
          <w:rFonts w:asciiTheme="minorHAnsi" w:hAnsiTheme="minorHAnsi"/>
          <w:sz w:val="22"/>
          <w:szCs w:val="22"/>
        </w:rPr>
        <w:t xml:space="preserve">. These two coefficients measure the extent to which firms change their </w:t>
      </w:r>
      <w:r>
        <w:rPr>
          <w:rFonts w:asciiTheme="minorHAnsi" w:hAnsiTheme="minorHAnsi"/>
          <w:sz w:val="22"/>
          <w:szCs w:val="22"/>
        </w:rPr>
        <w:t xml:space="preserve">quantities of </w:t>
      </w:r>
      <w:r w:rsidR="00363ED8" w:rsidRPr="00661BD2">
        <w:rPr>
          <w:rFonts w:asciiTheme="minorHAnsi" w:hAnsiTheme="minorHAnsi"/>
          <w:sz w:val="22"/>
          <w:szCs w:val="22"/>
        </w:rPr>
        <w:t xml:space="preserve">outputs or inputs depending on perceived </w:t>
      </w:r>
      <w:r w:rsidR="00363ED8" w:rsidRPr="00661BD2">
        <w:rPr>
          <w:rFonts w:asciiTheme="minorHAnsi" w:hAnsiTheme="minorHAnsi"/>
          <w:position w:val="2"/>
          <w:sz w:val="22"/>
          <w:szCs w:val="22"/>
        </w:rPr>
        <w:t xml:space="preserve">supply or demand </w:t>
      </w:r>
      <w:r w:rsidR="007A036E">
        <w:rPr>
          <w:rFonts w:asciiTheme="minorHAnsi" w:hAnsiTheme="minorHAnsi"/>
          <w:position w:val="2"/>
          <w:sz w:val="22"/>
          <w:szCs w:val="22"/>
        </w:rPr>
        <w:t xml:space="preserve">conditions </w:t>
      </w:r>
      <w:r w:rsidR="00363ED8" w:rsidRPr="00661BD2">
        <w:rPr>
          <w:rFonts w:asciiTheme="minorHAnsi" w:hAnsiTheme="minorHAnsi"/>
          <w:position w:val="2"/>
          <w:sz w:val="22"/>
          <w:szCs w:val="22"/>
        </w:rPr>
        <w:t>in their market. These coefficients</w:t>
      </w:r>
      <w:r w:rsidR="00363ED8" w:rsidRPr="00661BD2">
        <w:rPr>
          <w:rFonts w:asciiTheme="minorHAnsi" w:hAnsiTheme="minorHAnsi"/>
          <w:sz w:val="22"/>
          <w:szCs w:val="22"/>
        </w:rPr>
        <w:t xml:space="preserve"> </w:t>
      </w:r>
      <w:r w:rsidR="00363ED8" w:rsidRPr="00661BD2">
        <w:rPr>
          <w:rFonts w:asciiTheme="minorHAnsi" w:hAnsiTheme="minorHAnsi"/>
          <w:position w:val="2"/>
          <w:sz w:val="22"/>
          <w:szCs w:val="22"/>
        </w:rPr>
        <w:t>must be non-negative</w:t>
      </w:r>
      <w:r w:rsidR="00363ED8" w:rsidRPr="00661BD2">
        <w:rPr>
          <w:rFonts w:asciiTheme="minorHAnsi" w:hAnsiTheme="minorHAnsi"/>
          <w:spacing w:val="-5"/>
          <w:position w:val="2"/>
          <w:sz w:val="22"/>
          <w:szCs w:val="22"/>
        </w:rPr>
        <w:t xml:space="preserve"> </w:t>
      </w:r>
      <w:r w:rsidR="00363ED8" w:rsidRPr="00661BD2">
        <w:rPr>
          <w:rFonts w:asciiTheme="minorHAnsi" w:hAnsiTheme="minorHAnsi"/>
          <w:position w:val="2"/>
          <w:sz w:val="22"/>
          <w:szCs w:val="22"/>
        </w:rPr>
        <w:t>if</w:t>
      </w:r>
      <w:r w:rsidR="00363ED8" w:rsidRPr="00661BD2">
        <w:rPr>
          <w:rFonts w:asciiTheme="minorHAnsi" w:hAnsiTheme="minorHAnsi"/>
          <w:spacing w:val="-1"/>
          <w:position w:val="2"/>
          <w:sz w:val="22"/>
          <w:szCs w:val="22"/>
        </w:rPr>
        <w:t xml:space="preserve"> </w:t>
      </w:r>
      <w:r w:rsidR="00363ED8" w:rsidRPr="00661BD2">
        <w:rPr>
          <w:rFonts w:asciiTheme="minorHAnsi" w:hAnsiTheme="minorHAnsi"/>
          <w:sz w:val="22"/>
          <w:szCs w:val="22"/>
        </w:rPr>
        <w:t>market power is present</w:t>
      </w:r>
      <w:r w:rsidR="009B6413">
        <w:rPr>
          <w:rStyle w:val="FootnoteReference"/>
          <w:rFonts w:asciiTheme="minorHAnsi" w:hAnsiTheme="minorHAnsi"/>
          <w:sz w:val="22"/>
          <w:szCs w:val="22"/>
        </w:rPr>
        <w:footnoteReference w:id="4"/>
      </w:r>
      <w:r w:rsidR="00363ED8" w:rsidRPr="00661BD2">
        <w:rPr>
          <w:rFonts w:asciiTheme="minorHAnsi" w:hAnsiTheme="minorHAnsi"/>
          <w:sz w:val="22"/>
          <w:szCs w:val="22"/>
        </w:rPr>
        <w:t xml:space="preserve">. </w:t>
      </w:r>
      <w:r>
        <w:rPr>
          <w:rFonts w:asciiTheme="minorHAnsi" w:hAnsiTheme="minorHAnsi"/>
          <w:sz w:val="22"/>
          <w:szCs w:val="22"/>
        </w:rPr>
        <w:t>In empirical estimation, r</w:t>
      </w:r>
      <w:r w:rsidR="00363ED8" w:rsidRPr="00661BD2">
        <w:rPr>
          <w:rFonts w:asciiTheme="minorHAnsi" w:hAnsiTheme="minorHAnsi"/>
          <w:sz w:val="22"/>
          <w:szCs w:val="22"/>
        </w:rPr>
        <w:t>estrictions may be necessary to constrain the signs of these</w:t>
      </w:r>
      <w:r w:rsidR="00363ED8" w:rsidRPr="00661BD2">
        <w:rPr>
          <w:rFonts w:asciiTheme="minorHAnsi" w:hAnsiTheme="minorHAnsi"/>
          <w:w w:val="99"/>
          <w:sz w:val="22"/>
          <w:szCs w:val="22"/>
        </w:rPr>
        <w:t xml:space="preserve"> </w:t>
      </w:r>
      <w:r w:rsidR="00363ED8" w:rsidRPr="00661BD2">
        <w:rPr>
          <w:rFonts w:asciiTheme="minorHAnsi" w:hAnsiTheme="minorHAnsi"/>
          <w:sz w:val="22"/>
          <w:szCs w:val="22"/>
        </w:rPr>
        <w:t>coefficients to be</w:t>
      </w:r>
      <w:r w:rsidR="00363ED8" w:rsidRPr="00661BD2">
        <w:rPr>
          <w:rFonts w:asciiTheme="minorHAnsi" w:hAnsiTheme="minorHAnsi"/>
          <w:spacing w:val="-2"/>
          <w:sz w:val="22"/>
          <w:szCs w:val="22"/>
        </w:rPr>
        <w:t xml:space="preserve"> </w:t>
      </w:r>
      <w:r w:rsidR="00363ED8" w:rsidRPr="00661BD2">
        <w:rPr>
          <w:rFonts w:asciiTheme="minorHAnsi" w:hAnsiTheme="minorHAnsi"/>
          <w:sz w:val="22"/>
          <w:szCs w:val="22"/>
        </w:rPr>
        <w:t>non-negative.</w:t>
      </w:r>
      <w:r w:rsidR="007F648C">
        <w:rPr>
          <w:rFonts w:asciiTheme="minorHAnsi" w:hAnsiTheme="minorHAnsi"/>
          <w:sz w:val="22"/>
          <w:szCs w:val="22"/>
        </w:rPr>
        <w:t xml:space="preserve"> </w:t>
      </w:r>
    </w:p>
    <w:p w14:paraId="3C212BE6" w14:textId="77777777" w:rsidR="004806F6" w:rsidRPr="00661BD2" w:rsidRDefault="004806F6" w:rsidP="00661BD2">
      <w:pPr>
        <w:jc w:val="both"/>
        <w:rPr>
          <w:rFonts w:eastAsia="Calibri" w:cs="Calibri"/>
        </w:rPr>
      </w:pPr>
    </w:p>
    <w:p w14:paraId="5F9DD8F1" w14:textId="01096522" w:rsidR="004806F6" w:rsidRPr="00661BD2" w:rsidRDefault="00363ED8" w:rsidP="00661BD2">
      <w:pPr>
        <w:pStyle w:val="BodyText"/>
        <w:ind w:left="0"/>
        <w:jc w:val="both"/>
        <w:rPr>
          <w:rFonts w:asciiTheme="minorHAnsi" w:hAnsiTheme="minorHAnsi"/>
          <w:sz w:val="22"/>
          <w:szCs w:val="22"/>
        </w:rPr>
      </w:pPr>
      <w:r w:rsidRPr="00661BD2">
        <w:rPr>
          <w:rFonts w:asciiTheme="minorHAnsi" w:hAnsiTheme="minorHAnsi"/>
          <w:sz w:val="22"/>
          <w:szCs w:val="22"/>
        </w:rPr>
        <w:t xml:space="preserve">The </w:t>
      </w:r>
      <w:r w:rsidR="00D907AB">
        <w:rPr>
          <w:rFonts w:asciiTheme="minorHAnsi" w:hAnsiTheme="minorHAnsi"/>
          <w:sz w:val="22"/>
          <w:szCs w:val="22"/>
        </w:rPr>
        <w:t xml:space="preserve">overall </w:t>
      </w:r>
      <w:r w:rsidRPr="00661BD2">
        <w:rPr>
          <w:rFonts w:asciiTheme="minorHAnsi" w:hAnsiTheme="minorHAnsi"/>
          <w:sz w:val="22"/>
          <w:szCs w:val="22"/>
        </w:rPr>
        <w:t xml:space="preserve">null hypothesis </w:t>
      </w:r>
      <w:r w:rsidR="00193B37">
        <w:rPr>
          <w:rFonts w:asciiTheme="minorHAnsi" w:hAnsiTheme="minorHAnsi"/>
          <w:sz w:val="22"/>
          <w:szCs w:val="22"/>
        </w:rPr>
        <w:t xml:space="preserve">tested </w:t>
      </w:r>
      <w:r w:rsidRPr="00661BD2">
        <w:rPr>
          <w:rFonts w:asciiTheme="minorHAnsi" w:hAnsiTheme="minorHAnsi"/>
          <w:sz w:val="22"/>
          <w:szCs w:val="22"/>
        </w:rPr>
        <w:t xml:space="preserve">is that there </w:t>
      </w:r>
      <w:r w:rsidR="00F26E69">
        <w:rPr>
          <w:rFonts w:asciiTheme="minorHAnsi" w:hAnsiTheme="minorHAnsi"/>
          <w:sz w:val="22"/>
          <w:szCs w:val="22"/>
        </w:rPr>
        <w:t>wa</w:t>
      </w:r>
      <w:r w:rsidRPr="00661BD2">
        <w:rPr>
          <w:rFonts w:asciiTheme="minorHAnsi" w:hAnsiTheme="minorHAnsi"/>
          <w:sz w:val="22"/>
          <w:szCs w:val="22"/>
        </w:rPr>
        <w:t>s no market power present in the domestic beef,</w:t>
      </w:r>
      <w:r w:rsidRPr="00661BD2">
        <w:rPr>
          <w:rFonts w:asciiTheme="minorHAnsi" w:hAnsiTheme="minorHAnsi"/>
          <w:spacing w:val="-2"/>
          <w:sz w:val="22"/>
          <w:szCs w:val="22"/>
        </w:rPr>
        <w:t xml:space="preserve"> </w:t>
      </w:r>
      <w:r w:rsidR="00486BF6">
        <w:rPr>
          <w:rFonts w:asciiTheme="minorHAnsi" w:hAnsiTheme="minorHAnsi"/>
          <w:spacing w:val="-2"/>
          <w:sz w:val="22"/>
          <w:szCs w:val="22"/>
        </w:rPr>
        <w:t xml:space="preserve">lamb, </w:t>
      </w:r>
      <w:r w:rsidRPr="00661BD2">
        <w:rPr>
          <w:rFonts w:asciiTheme="minorHAnsi" w:hAnsiTheme="minorHAnsi"/>
          <w:sz w:val="22"/>
          <w:szCs w:val="22"/>
        </w:rPr>
        <w:t>pork</w:t>
      </w:r>
      <w:r w:rsidRPr="00661BD2">
        <w:rPr>
          <w:rFonts w:asciiTheme="minorHAnsi" w:hAnsiTheme="minorHAnsi"/>
          <w:w w:val="99"/>
          <w:sz w:val="22"/>
          <w:szCs w:val="22"/>
        </w:rPr>
        <w:t xml:space="preserve"> </w:t>
      </w:r>
      <w:r w:rsidRPr="00661BD2">
        <w:rPr>
          <w:rFonts w:asciiTheme="minorHAnsi" w:hAnsiTheme="minorHAnsi"/>
          <w:sz w:val="22"/>
          <w:szCs w:val="22"/>
        </w:rPr>
        <w:t xml:space="preserve">or </w:t>
      </w:r>
      <w:r w:rsidR="00486BF6">
        <w:rPr>
          <w:rFonts w:asciiTheme="minorHAnsi" w:hAnsiTheme="minorHAnsi"/>
          <w:sz w:val="22"/>
          <w:szCs w:val="22"/>
        </w:rPr>
        <w:t xml:space="preserve">chicken </w:t>
      </w:r>
      <w:r w:rsidRPr="00661BD2">
        <w:rPr>
          <w:rFonts w:asciiTheme="minorHAnsi" w:hAnsiTheme="minorHAnsi"/>
          <w:sz w:val="22"/>
          <w:szCs w:val="22"/>
        </w:rPr>
        <w:t xml:space="preserve">industries in Australia, between the period 1970 </w:t>
      </w:r>
      <w:r w:rsidR="004B4CE9">
        <w:rPr>
          <w:rFonts w:asciiTheme="minorHAnsi" w:hAnsiTheme="minorHAnsi"/>
          <w:sz w:val="22"/>
          <w:szCs w:val="22"/>
        </w:rPr>
        <w:t>to</w:t>
      </w:r>
      <w:r w:rsidRPr="00661BD2">
        <w:rPr>
          <w:rFonts w:asciiTheme="minorHAnsi" w:hAnsiTheme="minorHAnsi"/>
          <w:spacing w:val="-1"/>
          <w:sz w:val="22"/>
          <w:szCs w:val="22"/>
        </w:rPr>
        <w:t xml:space="preserve"> </w:t>
      </w:r>
      <w:r w:rsidRPr="00661BD2">
        <w:rPr>
          <w:rFonts w:asciiTheme="minorHAnsi" w:hAnsiTheme="minorHAnsi"/>
          <w:sz w:val="22"/>
          <w:szCs w:val="22"/>
        </w:rPr>
        <w:t>20</w:t>
      </w:r>
      <w:r w:rsidR="00C36EE3">
        <w:rPr>
          <w:rFonts w:asciiTheme="minorHAnsi" w:hAnsiTheme="minorHAnsi"/>
          <w:sz w:val="22"/>
          <w:szCs w:val="22"/>
        </w:rPr>
        <w:t>21</w:t>
      </w:r>
      <w:r w:rsidR="00D907AB">
        <w:rPr>
          <w:rFonts w:asciiTheme="minorHAnsi" w:hAnsiTheme="minorHAnsi"/>
          <w:sz w:val="22"/>
          <w:szCs w:val="22"/>
        </w:rPr>
        <w:t>, in either input or output markets</w:t>
      </w:r>
      <w:r w:rsidRPr="00661BD2">
        <w:rPr>
          <w:rFonts w:asciiTheme="minorHAnsi" w:hAnsiTheme="minorHAnsi"/>
          <w:sz w:val="22"/>
          <w:szCs w:val="22"/>
        </w:rPr>
        <w:t>.</w:t>
      </w:r>
      <w:r w:rsidR="007F648C">
        <w:rPr>
          <w:rFonts w:asciiTheme="minorHAnsi" w:hAnsiTheme="minorHAnsi"/>
          <w:sz w:val="22"/>
          <w:szCs w:val="22"/>
        </w:rPr>
        <w:t xml:space="preserve"> </w:t>
      </w:r>
      <w:r w:rsidR="00BC1793">
        <w:rPr>
          <w:rFonts w:asciiTheme="minorHAnsi" w:hAnsiTheme="minorHAnsi"/>
          <w:sz w:val="22"/>
          <w:szCs w:val="22"/>
        </w:rPr>
        <w:t xml:space="preserve">If the hypothesis is not rejected, equation (1) reduces to the familiar </w:t>
      </w:r>
      <w:r w:rsidR="00F26E69">
        <w:rPr>
          <w:rFonts w:asciiTheme="minorHAnsi" w:hAnsiTheme="minorHAnsi"/>
          <w:sz w:val="22"/>
          <w:szCs w:val="22"/>
        </w:rPr>
        <w:t xml:space="preserve">market </w:t>
      </w:r>
      <w:r w:rsidR="00BC1793">
        <w:rPr>
          <w:rFonts w:asciiTheme="minorHAnsi" w:hAnsiTheme="minorHAnsi"/>
          <w:sz w:val="22"/>
          <w:szCs w:val="22"/>
        </w:rPr>
        <w:t>price =</w:t>
      </w:r>
      <w:r w:rsidR="003D382C">
        <w:rPr>
          <w:rFonts w:asciiTheme="minorHAnsi" w:hAnsiTheme="minorHAnsi"/>
          <w:sz w:val="22"/>
          <w:szCs w:val="22"/>
        </w:rPr>
        <w:t xml:space="preserve"> </w:t>
      </w:r>
      <w:r w:rsidR="00BC1793">
        <w:rPr>
          <w:rFonts w:asciiTheme="minorHAnsi" w:hAnsiTheme="minorHAnsi"/>
          <w:sz w:val="22"/>
          <w:szCs w:val="22"/>
        </w:rPr>
        <w:t xml:space="preserve">marginal cost formulation which is the foundation of a competitive market. Failure to reject this hypothesis means that </w:t>
      </w:r>
      <w:r w:rsidR="00AF508C">
        <w:rPr>
          <w:rFonts w:asciiTheme="minorHAnsi" w:hAnsiTheme="minorHAnsi"/>
          <w:sz w:val="22"/>
          <w:szCs w:val="22"/>
        </w:rPr>
        <w:t xml:space="preserve">both </w:t>
      </w:r>
      <w:r w:rsidR="00BC1793">
        <w:rPr>
          <w:rFonts w:asciiTheme="minorHAnsi" w:hAnsiTheme="minorHAnsi"/>
          <w:sz w:val="22"/>
          <w:szCs w:val="22"/>
        </w:rPr>
        <w:t xml:space="preserve">the </w:t>
      </w:r>
      <w:r w:rsidR="00BC1793" w:rsidRPr="00661BD2">
        <w:rPr>
          <w:rFonts w:asciiTheme="minorHAnsi" w:hAnsiTheme="minorHAnsi"/>
          <w:position w:val="2"/>
          <w:sz w:val="22"/>
          <w:szCs w:val="22"/>
        </w:rPr>
        <w:t>β</w:t>
      </w:r>
      <w:r w:rsidR="00BC1793" w:rsidRPr="00661BD2">
        <w:rPr>
          <w:rFonts w:asciiTheme="minorHAnsi" w:hAnsiTheme="minorHAnsi"/>
          <w:sz w:val="22"/>
          <w:szCs w:val="22"/>
        </w:rPr>
        <w:t>j</w:t>
      </w:r>
      <w:r w:rsidR="00BC1793">
        <w:rPr>
          <w:rFonts w:asciiTheme="minorHAnsi" w:hAnsiTheme="minorHAnsi"/>
          <w:sz w:val="22"/>
          <w:szCs w:val="22"/>
        </w:rPr>
        <w:t xml:space="preserve"> and </w:t>
      </w:r>
      <w:r w:rsidR="00BC1793" w:rsidRPr="00661BD2">
        <w:rPr>
          <w:rFonts w:asciiTheme="minorHAnsi" w:hAnsiTheme="minorHAnsi"/>
          <w:position w:val="2"/>
          <w:sz w:val="22"/>
          <w:szCs w:val="22"/>
        </w:rPr>
        <w:t>γ</w:t>
      </w:r>
      <w:proofErr w:type="spellStart"/>
      <w:r w:rsidR="00BC1793" w:rsidRPr="00661BD2">
        <w:rPr>
          <w:rFonts w:asciiTheme="minorHAnsi" w:hAnsiTheme="minorHAnsi"/>
          <w:sz w:val="22"/>
          <w:szCs w:val="22"/>
        </w:rPr>
        <w:t>jm</w:t>
      </w:r>
      <w:proofErr w:type="spellEnd"/>
      <w:r w:rsidR="00BC1793">
        <w:rPr>
          <w:rFonts w:asciiTheme="minorHAnsi" w:hAnsiTheme="minorHAnsi"/>
          <w:sz w:val="22"/>
          <w:szCs w:val="22"/>
        </w:rPr>
        <w:t xml:space="preserve"> terms </w:t>
      </w:r>
      <w:r w:rsidR="003D382C">
        <w:rPr>
          <w:rFonts w:asciiTheme="minorHAnsi" w:hAnsiTheme="minorHAnsi"/>
          <w:sz w:val="22"/>
          <w:szCs w:val="22"/>
        </w:rPr>
        <w:t>are</w:t>
      </w:r>
      <w:r w:rsidR="00BC1793">
        <w:rPr>
          <w:rFonts w:asciiTheme="minorHAnsi" w:hAnsiTheme="minorHAnsi"/>
          <w:sz w:val="22"/>
          <w:szCs w:val="22"/>
        </w:rPr>
        <w:t xml:space="preserve"> not significantly positively different from zero. If the hypothesis is rejected, this means there is evidence of market power in the input market, the output market, or both. Rejecting this hypothesis means that the </w:t>
      </w:r>
      <w:r w:rsidR="00BC1793" w:rsidRPr="00661BD2">
        <w:rPr>
          <w:rFonts w:asciiTheme="minorHAnsi" w:hAnsiTheme="minorHAnsi"/>
          <w:position w:val="2"/>
          <w:sz w:val="22"/>
          <w:szCs w:val="22"/>
        </w:rPr>
        <w:t>β</w:t>
      </w:r>
      <w:r w:rsidR="00BC1793" w:rsidRPr="00661BD2">
        <w:rPr>
          <w:rFonts w:asciiTheme="minorHAnsi" w:hAnsiTheme="minorHAnsi"/>
          <w:sz w:val="22"/>
          <w:szCs w:val="22"/>
        </w:rPr>
        <w:t>j</w:t>
      </w:r>
      <w:r w:rsidR="00BC1793">
        <w:rPr>
          <w:rFonts w:asciiTheme="minorHAnsi" w:hAnsiTheme="minorHAnsi"/>
          <w:sz w:val="22"/>
          <w:szCs w:val="22"/>
        </w:rPr>
        <w:t xml:space="preserve"> and/or the </w:t>
      </w:r>
      <w:r w:rsidR="00BC1793" w:rsidRPr="00661BD2">
        <w:rPr>
          <w:rFonts w:asciiTheme="minorHAnsi" w:hAnsiTheme="minorHAnsi"/>
          <w:position w:val="2"/>
          <w:sz w:val="22"/>
          <w:szCs w:val="22"/>
        </w:rPr>
        <w:t>γ</w:t>
      </w:r>
      <w:proofErr w:type="spellStart"/>
      <w:r w:rsidR="00BC1793" w:rsidRPr="00661BD2">
        <w:rPr>
          <w:rFonts w:asciiTheme="minorHAnsi" w:hAnsiTheme="minorHAnsi"/>
          <w:sz w:val="22"/>
          <w:szCs w:val="22"/>
        </w:rPr>
        <w:t>jm</w:t>
      </w:r>
      <w:proofErr w:type="spellEnd"/>
      <w:r w:rsidR="00BC1793">
        <w:rPr>
          <w:rFonts w:asciiTheme="minorHAnsi" w:hAnsiTheme="minorHAnsi"/>
          <w:sz w:val="22"/>
          <w:szCs w:val="22"/>
        </w:rPr>
        <w:t xml:space="preserve"> terms must be significantly positively different from zero. </w:t>
      </w:r>
    </w:p>
    <w:p w14:paraId="45986CD8" w14:textId="77777777" w:rsidR="00814BDF" w:rsidRDefault="00814BDF" w:rsidP="00814BDF">
      <w:pPr>
        <w:pStyle w:val="BodyText"/>
        <w:ind w:left="0"/>
        <w:jc w:val="both"/>
        <w:rPr>
          <w:rFonts w:asciiTheme="minorHAnsi" w:hAnsiTheme="minorHAnsi"/>
          <w:sz w:val="22"/>
          <w:szCs w:val="22"/>
        </w:rPr>
      </w:pPr>
    </w:p>
    <w:p w14:paraId="03946567" w14:textId="50179164" w:rsidR="00814BDF" w:rsidRPr="00814BDF" w:rsidRDefault="00814BDF" w:rsidP="00814BDF">
      <w:pPr>
        <w:pStyle w:val="BodyText"/>
        <w:ind w:left="0"/>
        <w:jc w:val="both"/>
        <w:rPr>
          <w:rFonts w:asciiTheme="minorHAnsi" w:hAnsiTheme="minorHAnsi"/>
          <w:b/>
          <w:sz w:val="22"/>
          <w:szCs w:val="22"/>
        </w:rPr>
      </w:pPr>
      <w:r w:rsidRPr="00814BDF">
        <w:rPr>
          <w:rFonts w:asciiTheme="minorHAnsi" w:hAnsiTheme="minorHAnsi"/>
          <w:b/>
          <w:sz w:val="22"/>
          <w:szCs w:val="22"/>
        </w:rPr>
        <w:t>Data</w:t>
      </w:r>
      <w:r w:rsidR="004F68AE">
        <w:rPr>
          <w:rFonts w:asciiTheme="minorHAnsi" w:hAnsiTheme="minorHAnsi"/>
          <w:b/>
          <w:sz w:val="22"/>
          <w:szCs w:val="22"/>
        </w:rPr>
        <w:t xml:space="preserve"> </w:t>
      </w:r>
    </w:p>
    <w:p w14:paraId="6F02C61B" w14:textId="77777777" w:rsidR="00814BDF" w:rsidRDefault="00814BDF" w:rsidP="00814BDF">
      <w:pPr>
        <w:pStyle w:val="BodyText"/>
        <w:ind w:left="0"/>
        <w:jc w:val="both"/>
        <w:rPr>
          <w:rFonts w:asciiTheme="minorHAnsi" w:hAnsiTheme="minorHAnsi"/>
          <w:sz w:val="22"/>
          <w:szCs w:val="22"/>
        </w:rPr>
      </w:pPr>
    </w:p>
    <w:p w14:paraId="548A7DCE" w14:textId="70B581CA" w:rsidR="005F1844" w:rsidRDefault="008C76AF" w:rsidP="00814BDF">
      <w:pPr>
        <w:pStyle w:val="BodyText"/>
        <w:ind w:left="0"/>
        <w:jc w:val="both"/>
        <w:rPr>
          <w:rFonts w:asciiTheme="minorHAnsi" w:hAnsiTheme="minorHAnsi"/>
          <w:sz w:val="22"/>
          <w:szCs w:val="22"/>
        </w:rPr>
      </w:pPr>
      <w:r w:rsidRPr="00B73A45">
        <w:rPr>
          <w:rFonts w:asciiTheme="minorHAnsi" w:hAnsiTheme="minorHAnsi"/>
          <w:sz w:val="22"/>
          <w:szCs w:val="22"/>
        </w:rPr>
        <w:t xml:space="preserve">In </w:t>
      </w:r>
      <w:r w:rsidR="00211FC1">
        <w:rPr>
          <w:rFonts w:asciiTheme="minorHAnsi" w:hAnsiTheme="minorHAnsi"/>
          <w:sz w:val="22"/>
          <w:szCs w:val="22"/>
        </w:rPr>
        <w:t>test</w:t>
      </w:r>
      <w:r w:rsidR="00A42269">
        <w:rPr>
          <w:rFonts w:asciiTheme="minorHAnsi" w:hAnsiTheme="minorHAnsi"/>
          <w:sz w:val="22"/>
          <w:szCs w:val="22"/>
        </w:rPr>
        <w:t>ing this hypothesis</w:t>
      </w:r>
      <w:r w:rsidR="0036404B">
        <w:rPr>
          <w:rFonts w:asciiTheme="minorHAnsi" w:hAnsiTheme="minorHAnsi"/>
          <w:sz w:val="22"/>
          <w:szCs w:val="22"/>
        </w:rPr>
        <w:t>,</w:t>
      </w:r>
      <w:r w:rsidRPr="00B73A45">
        <w:rPr>
          <w:rFonts w:asciiTheme="minorHAnsi" w:hAnsiTheme="minorHAnsi"/>
          <w:sz w:val="22"/>
          <w:szCs w:val="22"/>
        </w:rPr>
        <w:t xml:space="preserve"> annual data are </w:t>
      </w:r>
      <w:r w:rsidR="005F1844">
        <w:rPr>
          <w:rFonts w:asciiTheme="minorHAnsi" w:hAnsiTheme="minorHAnsi"/>
          <w:sz w:val="22"/>
          <w:szCs w:val="22"/>
        </w:rPr>
        <w:t xml:space="preserve">almost always </w:t>
      </w:r>
      <w:r w:rsidRPr="00B73A45">
        <w:rPr>
          <w:rFonts w:asciiTheme="minorHAnsi" w:hAnsiTheme="minorHAnsi"/>
          <w:sz w:val="22"/>
          <w:szCs w:val="22"/>
        </w:rPr>
        <w:t>used</w:t>
      </w:r>
      <w:r w:rsidR="0036404B">
        <w:rPr>
          <w:rFonts w:asciiTheme="minorHAnsi" w:hAnsiTheme="minorHAnsi"/>
          <w:sz w:val="22"/>
          <w:szCs w:val="22"/>
        </w:rPr>
        <w:t>. This is because</w:t>
      </w:r>
      <w:r w:rsidR="00F2319C" w:rsidRPr="00B73A45">
        <w:rPr>
          <w:rFonts w:asciiTheme="minorHAnsi" w:hAnsiTheme="minorHAnsi"/>
          <w:sz w:val="22"/>
          <w:szCs w:val="22"/>
        </w:rPr>
        <w:t xml:space="preserve"> the underlying models are set up to reflect medium to longer term equilibrium conditions</w:t>
      </w:r>
      <w:r w:rsidR="00A2430C">
        <w:rPr>
          <w:rFonts w:asciiTheme="minorHAnsi" w:hAnsiTheme="minorHAnsi"/>
          <w:sz w:val="22"/>
          <w:szCs w:val="22"/>
        </w:rPr>
        <w:t>,</w:t>
      </w:r>
      <w:r w:rsidR="005F1844">
        <w:rPr>
          <w:rFonts w:asciiTheme="minorHAnsi" w:hAnsiTheme="minorHAnsi"/>
          <w:sz w:val="22"/>
          <w:szCs w:val="22"/>
        </w:rPr>
        <w:t xml:space="preserve"> as specified by theory and as suggested by the terminology used in competition policy documentation (ACCC Merger Guidelines, 2008</w:t>
      </w:r>
      <w:r w:rsidR="007A036E">
        <w:rPr>
          <w:rFonts w:asciiTheme="minorHAnsi" w:hAnsiTheme="minorHAnsi"/>
          <w:sz w:val="22"/>
          <w:szCs w:val="22"/>
        </w:rPr>
        <w:t>, 2017</w:t>
      </w:r>
      <w:r w:rsidR="005F1844">
        <w:rPr>
          <w:rFonts w:asciiTheme="minorHAnsi" w:hAnsiTheme="minorHAnsi"/>
          <w:sz w:val="22"/>
          <w:szCs w:val="22"/>
        </w:rPr>
        <w:t>)</w:t>
      </w:r>
      <w:r w:rsidR="00F2319C" w:rsidRPr="00B73A45">
        <w:rPr>
          <w:rFonts w:asciiTheme="minorHAnsi" w:hAnsiTheme="minorHAnsi"/>
          <w:sz w:val="22"/>
          <w:szCs w:val="22"/>
        </w:rPr>
        <w:t xml:space="preserve">. </w:t>
      </w:r>
      <w:r w:rsidR="00C36EE3">
        <w:rPr>
          <w:rFonts w:asciiTheme="minorHAnsi" w:hAnsiTheme="minorHAnsi"/>
          <w:sz w:val="22"/>
          <w:szCs w:val="22"/>
        </w:rPr>
        <w:t xml:space="preserve">For this application to the domestic market, </w:t>
      </w:r>
      <w:r w:rsidR="00814BDF" w:rsidRPr="00661BD2">
        <w:rPr>
          <w:rFonts w:asciiTheme="minorHAnsi" w:hAnsiTheme="minorHAnsi"/>
          <w:sz w:val="22"/>
          <w:szCs w:val="22"/>
        </w:rPr>
        <w:t>data</w:t>
      </w:r>
      <w:r w:rsidR="005F1844">
        <w:rPr>
          <w:rFonts w:asciiTheme="minorHAnsi" w:hAnsiTheme="minorHAnsi"/>
          <w:sz w:val="22"/>
          <w:szCs w:val="22"/>
        </w:rPr>
        <w:t xml:space="preserve"> for each meat product</w:t>
      </w:r>
      <w:r w:rsidR="00814BDF" w:rsidRPr="00661BD2">
        <w:rPr>
          <w:rFonts w:asciiTheme="minorHAnsi" w:hAnsiTheme="minorHAnsi"/>
          <w:sz w:val="22"/>
          <w:szCs w:val="22"/>
        </w:rPr>
        <w:t xml:space="preserve"> includes the saleyard price reflecting the farmgate return (for each </w:t>
      </w:r>
      <w:r w:rsidR="00C36EE3">
        <w:rPr>
          <w:rFonts w:asciiTheme="minorHAnsi" w:hAnsiTheme="minorHAnsi"/>
          <w:sz w:val="22"/>
          <w:szCs w:val="22"/>
        </w:rPr>
        <w:t>animal</w:t>
      </w:r>
      <w:r w:rsidR="00814BDF" w:rsidRPr="00661BD2">
        <w:rPr>
          <w:rFonts w:asciiTheme="minorHAnsi" w:hAnsiTheme="minorHAnsi"/>
          <w:sz w:val="22"/>
          <w:szCs w:val="22"/>
        </w:rPr>
        <w:t xml:space="preserve"> category), </w:t>
      </w:r>
      <w:r w:rsidR="005F1844">
        <w:rPr>
          <w:rFonts w:asciiTheme="minorHAnsi" w:hAnsiTheme="minorHAnsi"/>
          <w:sz w:val="22"/>
          <w:szCs w:val="22"/>
        </w:rPr>
        <w:t xml:space="preserve">the </w:t>
      </w:r>
      <w:r w:rsidR="00814BDF" w:rsidRPr="00661BD2">
        <w:rPr>
          <w:rFonts w:asciiTheme="minorHAnsi" w:hAnsiTheme="minorHAnsi"/>
          <w:sz w:val="22"/>
          <w:szCs w:val="22"/>
        </w:rPr>
        <w:t>retail price</w:t>
      </w:r>
      <w:r w:rsidR="00C36EE3">
        <w:rPr>
          <w:rFonts w:asciiTheme="minorHAnsi" w:hAnsiTheme="minorHAnsi"/>
          <w:sz w:val="22"/>
          <w:szCs w:val="22"/>
        </w:rPr>
        <w:t xml:space="preserve"> for each meat category</w:t>
      </w:r>
      <w:r w:rsidR="00814BDF" w:rsidRPr="00661BD2">
        <w:rPr>
          <w:rFonts w:asciiTheme="minorHAnsi" w:hAnsiTheme="minorHAnsi"/>
          <w:sz w:val="22"/>
          <w:szCs w:val="22"/>
        </w:rPr>
        <w:t xml:space="preserve">, </w:t>
      </w:r>
      <w:r w:rsidR="005F1844">
        <w:rPr>
          <w:rFonts w:asciiTheme="minorHAnsi" w:hAnsiTheme="minorHAnsi"/>
          <w:sz w:val="22"/>
          <w:szCs w:val="22"/>
        </w:rPr>
        <w:t xml:space="preserve">and </w:t>
      </w:r>
      <w:r w:rsidR="00814BDF" w:rsidRPr="00661BD2">
        <w:rPr>
          <w:rFonts w:asciiTheme="minorHAnsi" w:hAnsiTheme="minorHAnsi"/>
          <w:sz w:val="22"/>
          <w:szCs w:val="22"/>
        </w:rPr>
        <w:t>domestic consumption as representative</w:t>
      </w:r>
      <w:r w:rsidR="00814BDF" w:rsidRPr="00661BD2">
        <w:rPr>
          <w:rFonts w:asciiTheme="minorHAnsi" w:hAnsiTheme="minorHAnsi"/>
          <w:spacing w:val="-1"/>
          <w:sz w:val="22"/>
          <w:szCs w:val="22"/>
        </w:rPr>
        <w:t xml:space="preserve"> </w:t>
      </w:r>
      <w:r w:rsidR="00814BDF" w:rsidRPr="00661BD2">
        <w:rPr>
          <w:rFonts w:asciiTheme="minorHAnsi" w:hAnsiTheme="minorHAnsi"/>
          <w:sz w:val="22"/>
          <w:szCs w:val="22"/>
        </w:rPr>
        <w:t xml:space="preserve">of </w:t>
      </w:r>
      <w:proofErr w:type="gramStart"/>
      <w:r w:rsidR="00814BDF" w:rsidRPr="00661BD2">
        <w:rPr>
          <w:rFonts w:asciiTheme="minorHAnsi" w:hAnsiTheme="minorHAnsi"/>
          <w:sz w:val="22"/>
          <w:szCs w:val="22"/>
        </w:rPr>
        <w:t>throughput</w:t>
      </w:r>
      <w:proofErr w:type="gramEnd"/>
      <w:r w:rsidR="00814BDF" w:rsidRPr="00661BD2">
        <w:rPr>
          <w:rFonts w:asciiTheme="minorHAnsi" w:hAnsiTheme="minorHAnsi"/>
          <w:sz w:val="22"/>
          <w:szCs w:val="22"/>
        </w:rPr>
        <w:t xml:space="preserve"> in the </w:t>
      </w:r>
      <w:r w:rsidR="004B4CE9">
        <w:rPr>
          <w:rFonts w:asciiTheme="minorHAnsi" w:hAnsiTheme="minorHAnsi"/>
          <w:sz w:val="22"/>
          <w:szCs w:val="22"/>
        </w:rPr>
        <w:t xml:space="preserve">domestic </w:t>
      </w:r>
      <w:r w:rsidR="00814BDF" w:rsidRPr="00661BD2">
        <w:rPr>
          <w:rFonts w:asciiTheme="minorHAnsi" w:hAnsiTheme="minorHAnsi"/>
          <w:sz w:val="22"/>
          <w:szCs w:val="22"/>
        </w:rPr>
        <w:t>value chain</w:t>
      </w:r>
      <w:r w:rsidR="00C36EE3">
        <w:rPr>
          <w:rFonts w:asciiTheme="minorHAnsi" w:hAnsiTheme="minorHAnsi"/>
          <w:sz w:val="22"/>
          <w:szCs w:val="22"/>
        </w:rPr>
        <w:t>.</w:t>
      </w:r>
      <w:r w:rsidR="00814BDF" w:rsidRPr="00661BD2">
        <w:rPr>
          <w:rFonts w:asciiTheme="minorHAnsi" w:hAnsiTheme="minorHAnsi"/>
          <w:sz w:val="22"/>
          <w:szCs w:val="22"/>
        </w:rPr>
        <w:t xml:space="preserve"> </w:t>
      </w:r>
    </w:p>
    <w:p w14:paraId="0E4C4D00" w14:textId="77777777" w:rsidR="00665597" w:rsidRDefault="00665597" w:rsidP="005F1844">
      <w:pPr>
        <w:pStyle w:val="BodyText"/>
        <w:ind w:left="0"/>
        <w:jc w:val="both"/>
        <w:rPr>
          <w:rFonts w:asciiTheme="minorHAnsi" w:hAnsiTheme="minorHAnsi"/>
          <w:sz w:val="22"/>
          <w:szCs w:val="22"/>
        </w:rPr>
      </w:pPr>
    </w:p>
    <w:p w14:paraId="21DFE7B4" w14:textId="7E41110C" w:rsidR="005F1844" w:rsidRDefault="007A036E" w:rsidP="005F1844">
      <w:pPr>
        <w:pStyle w:val="BodyText"/>
        <w:ind w:left="0"/>
        <w:jc w:val="both"/>
        <w:rPr>
          <w:rFonts w:asciiTheme="minorHAnsi" w:hAnsiTheme="minorHAnsi"/>
          <w:sz w:val="22"/>
          <w:szCs w:val="22"/>
        </w:rPr>
      </w:pPr>
      <w:r>
        <w:rPr>
          <w:rFonts w:asciiTheme="minorHAnsi" w:hAnsiTheme="minorHAnsi"/>
          <w:sz w:val="22"/>
          <w:szCs w:val="22"/>
        </w:rPr>
        <w:t>Defining t</w:t>
      </w:r>
      <w:r w:rsidR="00814BDF" w:rsidRPr="00661BD2">
        <w:rPr>
          <w:rFonts w:asciiTheme="minorHAnsi" w:hAnsiTheme="minorHAnsi"/>
          <w:sz w:val="22"/>
          <w:szCs w:val="22"/>
        </w:rPr>
        <w:t xml:space="preserve">he cost of marketing services </w:t>
      </w:r>
      <w:r w:rsidR="005F1844">
        <w:rPr>
          <w:rFonts w:asciiTheme="minorHAnsi" w:hAnsiTheme="minorHAnsi"/>
          <w:sz w:val="22"/>
          <w:szCs w:val="22"/>
        </w:rPr>
        <w:t xml:space="preserve">is </w:t>
      </w:r>
      <w:r>
        <w:rPr>
          <w:rFonts w:asciiTheme="minorHAnsi" w:hAnsiTheme="minorHAnsi"/>
          <w:sz w:val="22"/>
          <w:szCs w:val="22"/>
        </w:rPr>
        <w:t>crucial</w:t>
      </w:r>
      <w:r w:rsidR="005F1844">
        <w:rPr>
          <w:rFonts w:asciiTheme="minorHAnsi" w:hAnsiTheme="minorHAnsi"/>
          <w:sz w:val="22"/>
          <w:szCs w:val="22"/>
        </w:rPr>
        <w:t xml:space="preserve"> </w:t>
      </w:r>
      <w:r w:rsidR="00814BDF" w:rsidRPr="00661BD2">
        <w:rPr>
          <w:rFonts w:asciiTheme="minorHAnsi" w:hAnsiTheme="minorHAnsi"/>
          <w:sz w:val="22"/>
          <w:szCs w:val="22"/>
        </w:rPr>
        <w:t xml:space="preserve">in </w:t>
      </w:r>
      <w:r w:rsidR="00045A9A">
        <w:rPr>
          <w:rFonts w:asciiTheme="minorHAnsi" w:hAnsiTheme="minorHAnsi"/>
          <w:sz w:val="22"/>
          <w:szCs w:val="22"/>
        </w:rPr>
        <w:t>explain</w:t>
      </w:r>
      <w:r w:rsidR="00814BDF" w:rsidRPr="00661BD2">
        <w:rPr>
          <w:rFonts w:asciiTheme="minorHAnsi" w:hAnsiTheme="minorHAnsi"/>
          <w:sz w:val="22"/>
          <w:szCs w:val="22"/>
        </w:rPr>
        <w:t xml:space="preserve">ing </w:t>
      </w:r>
      <w:r>
        <w:rPr>
          <w:rFonts w:asciiTheme="minorHAnsi" w:hAnsiTheme="minorHAnsi"/>
          <w:sz w:val="22"/>
          <w:szCs w:val="22"/>
        </w:rPr>
        <w:t xml:space="preserve">the </w:t>
      </w:r>
      <w:r w:rsidR="00814BDF" w:rsidRPr="00661BD2">
        <w:rPr>
          <w:rFonts w:asciiTheme="minorHAnsi" w:hAnsiTheme="minorHAnsi"/>
          <w:sz w:val="22"/>
          <w:szCs w:val="22"/>
        </w:rPr>
        <w:t>real marketing margins</w:t>
      </w:r>
      <w:r w:rsidR="00F763D9">
        <w:rPr>
          <w:rFonts w:asciiTheme="minorHAnsi" w:hAnsiTheme="minorHAnsi"/>
          <w:sz w:val="22"/>
          <w:szCs w:val="22"/>
        </w:rPr>
        <w:t xml:space="preserve">. </w:t>
      </w:r>
      <w:r w:rsidR="00F2319C">
        <w:rPr>
          <w:rFonts w:asciiTheme="minorHAnsi" w:hAnsiTheme="minorHAnsi"/>
          <w:sz w:val="22"/>
          <w:szCs w:val="22"/>
        </w:rPr>
        <w:t>Three i</w:t>
      </w:r>
      <w:r w:rsidR="00F2319C" w:rsidRPr="00661BD2">
        <w:rPr>
          <w:rFonts w:asciiTheme="minorHAnsi" w:hAnsiTheme="minorHAnsi"/>
          <w:sz w:val="22"/>
          <w:szCs w:val="22"/>
        </w:rPr>
        <w:t xml:space="preserve">ndividual </w:t>
      </w:r>
      <w:r w:rsidR="00C36EE3">
        <w:rPr>
          <w:rFonts w:asciiTheme="minorHAnsi" w:hAnsiTheme="minorHAnsi"/>
          <w:sz w:val="22"/>
          <w:szCs w:val="22"/>
        </w:rPr>
        <w:t xml:space="preserve">value chain </w:t>
      </w:r>
      <w:r w:rsidR="00F2319C" w:rsidRPr="00661BD2">
        <w:rPr>
          <w:rFonts w:asciiTheme="minorHAnsi" w:hAnsiTheme="minorHAnsi"/>
          <w:sz w:val="22"/>
          <w:szCs w:val="22"/>
        </w:rPr>
        <w:t xml:space="preserve">inputs (wages, interest </w:t>
      </w:r>
      <w:r w:rsidR="00A42269">
        <w:rPr>
          <w:rFonts w:asciiTheme="minorHAnsi" w:hAnsiTheme="minorHAnsi"/>
          <w:sz w:val="22"/>
          <w:szCs w:val="22"/>
        </w:rPr>
        <w:t>costs</w:t>
      </w:r>
      <w:r w:rsidR="00F2319C" w:rsidRPr="00661BD2">
        <w:rPr>
          <w:rFonts w:asciiTheme="minorHAnsi" w:hAnsiTheme="minorHAnsi"/>
          <w:sz w:val="22"/>
          <w:szCs w:val="22"/>
        </w:rPr>
        <w:t xml:space="preserve"> and electricity</w:t>
      </w:r>
      <w:r w:rsidR="00A42269">
        <w:rPr>
          <w:rFonts w:asciiTheme="minorHAnsi" w:hAnsiTheme="minorHAnsi"/>
          <w:sz w:val="22"/>
          <w:szCs w:val="22"/>
        </w:rPr>
        <w:t xml:space="preserve"> costs</w:t>
      </w:r>
      <w:r w:rsidR="00F2319C" w:rsidRPr="00661BD2">
        <w:rPr>
          <w:rFonts w:asciiTheme="minorHAnsi" w:hAnsiTheme="minorHAnsi"/>
          <w:sz w:val="22"/>
          <w:szCs w:val="22"/>
        </w:rPr>
        <w:t>)</w:t>
      </w:r>
      <w:r w:rsidR="00F2319C">
        <w:rPr>
          <w:rFonts w:asciiTheme="minorHAnsi" w:hAnsiTheme="minorHAnsi"/>
          <w:sz w:val="22"/>
          <w:szCs w:val="22"/>
        </w:rPr>
        <w:t xml:space="preserve"> are assumed to comprise aggregate marketing costs</w:t>
      </w:r>
      <w:r w:rsidR="00F2319C" w:rsidRPr="00661BD2">
        <w:rPr>
          <w:rFonts w:asciiTheme="minorHAnsi" w:hAnsiTheme="minorHAnsi"/>
          <w:sz w:val="22"/>
          <w:szCs w:val="22"/>
        </w:rPr>
        <w:t>. Chung and Griffith (2009)</w:t>
      </w:r>
      <w:r w:rsidR="00F2319C" w:rsidRPr="00661BD2">
        <w:rPr>
          <w:rFonts w:asciiTheme="minorHAnsi" w:hAnsiTheme="minorHAnsi"/>
          <w:spacing w:val="-3"/>
          <w:sz w:val="22"/>
          <w:szCs w:val="22"/>
        </w:rPr>
        <w:t xml:space="preserve"> </w:t>
      </w:r>
      <w:r w:rsidR="00F2319C" w:rsidRPr="00661BD2">
        <w:rPr>
          <w:rFonts w:asciiTheme="minorHAnsi" w:hAnsiTheme="minorHAnsi"/>
          <w:sz w:val="22"/>
          <w:szCs w:val="22"/>
        </w:rPr>
        <w:t>found</w:t>
      </w:r>
      <w:r w:rsidR="00F2319C" w:rsidRPr="00661BD2">
        <w:rPr>
          <w:rFonts w:asciiTheme="minorHAnsi" w:hAnsiTheme="minorHAnsi"/>
          <w:spacing w:val="-1"/>
          <w:sz w:val="22"/>
          <w:szCs w:val="22"/>
        </w:rPr>
        <w:t xml:space="preserve"> </w:t>
      </w:r>
      <w:r w:rsidR="00F2319C" w:rsidRPr="00661BD2">
        <w:rPr>
          <w:rFonts w:asciiTheme="minorHAnsi" w:hAnsiTheme="minorHAnsi"/>
          <w:sz w:val="22"/>
          <w:szCs w:val="22"/>
        </w:rPr>
        <w:t xml:space="preserve">that treating </w:t>
      </w:r>
      <w:r w:rsidR="00F2319C">
        <w:rPr>
          <w:rFonts w:asciiTheme="minorHAnsi" w:hAnsiTheme="minorHAnsi"/>
          <w:sz w:val="22"/>
          <w:szCs w:val="22"/>
        </w:rPr>
        <w:t xml:space="preserve">these </w:t>
      </w:r>
      <w:r w:rsidR="00F2319C" w:rsidRPr="00661BD2">
        <w:rPr>
          <w:rFonts w:asciiTheme="minorHAnsi" w:hAnsiTheme="minorHAnsi"/>
          <w:sz w:val="22"/>
          <w:szCs w:val="22"/>
        </w:rPr>
        <w:t xml:space="preserve">cost variables separately </w:t>
      </w:r>
      <w:r w:rsidR="00F2319C">
        <w:rPr>
          <w:rFonts w:asciiTheme="minorHAnsi" w:hAnsiTheme="minorHAnsi"/>
          <w:sz w:val="22"/>
          <w:szCs w:val="22"/>
        </w:rPr>
        <w:t>resulted in very</w:t>
      </w:r>
      <w:r w:rsidR="00F2319C" w:rsidRPr="00661BD2">
        <w:rPr>
          <w:rFonts w:asciiTheme="minorHAnsi" w:hAnsiTheme="minorHAnsi"/>
          <w:sz w:val="22"/>
          <w:szCs w:val="22"/>
        </w:rPr>
        <w:t xml:space="preserve"> high correlation</w:t>
      </w:r>
      <w:r w:rsidR="00F2319C">
        <w:rPr>
          <w:rFonts w:asciiTheme="minorHAnsi" w:hAnsiTheme="minorHAnsi"/>
          <w:sz w:val="22"/>
          <w:szCs w:val="22"/>
        </w:rPr>
        <w:t xml:space="preserve"> coefficients leading to estimation difficulties</w:t>
      </w:r>
      <w:r w:rsidR="00A16B96">
        <w:rPr>
          <w:rFonts w:asciiTheme="minorHAnsi" w:hAnsiTheme="minorHAnsi"/>
          <w:sz w:val="22"/>
          <w:szCs w:val="22"/>
        </w:rPr>
        <w:t xml:space="preserve"> (</w:t>
      </w:r>
      <w:r w:rsidR="00A42269">
        <w:rPr>
          <w:rFonts w:asciiTheme="minorHAnsi" w:hAnsiTheme="minorHAnsi"/>
          <w:sz w:val="22"/>
          <w:szCs w:val="22"/>
        </w:rPr>
        <w:t xml:space="preserve">for example, </w:t>
      </w:r>
      <w:r w:rsidR="00A16B96">
        <w:rPr>
          <w:rFonts w:asciiTheme="minorHAnsi" w:hAnsiTheme="minorHAnsi"/>
          <w:sz w:val="22"/>
          <w:szCs w:val="22"/>
        </w:rPr>
        <w:t>in the current data set, the wage and electricity indexes have a correlation coefficient of 0.95)</w:t>
      </w:r>
      <w:r w:rsidR="00F2319C" w:rsidRPr="00661BD2">
        <w:rPr>
          <w:rFonts w:asciiTheme="minorHAnsi" w:hAnsiTheme="minorHAnsi"/>
          <w:sz w:val="22"/>
          <w:szCs w:val="22"/>
        </w:rPr>
        <w:t>. Thus, they</w:t>
      </w:r>
      <w:r w:rsidR="00F2319C" w:rsidRPr="00661BD2">
        <w:rPr>
          <w:rFonts w:asciiTheme="minorHAnsi" w:hAnsiTheme="minorHAnsi"/>
          <w:spacing w:val="-1"/>
          <w:sz w:val="22"/>
          <w:szCs w:val="22"/>
        </w:rPr>
        <w:t xml:space="preserve"> </w:t>
      </w:r>
      <w:r w:rsidR="00F2319C" w:rsidRPr="00661BD2">
        <w:rPr>
          <w:rFonts w:asciiTheme="minorHAnsi" w:hAnsiTheme="minorHAnsi"/>
          <w:sz w:val="22"/>
          <w:szCs w:val="22"/>
        </w:rPr>
        <w:t>develop</w:t>
      </w:r>
      <w:r w:rsidR="00F2319C">
        <w:rPr>
          <w:rFonts w:asciiTheme="minorHAnsi" w:hAnsiTheme="minorHAnsi"/>
          <w:sz w:val="22"/>
          <w:szCs w:val="22"/>
        </w:rPr>
        <w:t>ed</w:t>
      </w:r>
      <w:r w:rsidR="00F2319C" w:rsidRPr="00661BD2">
        <w:rPr>
          <w:rFonts w:asciiTheme="minorHAnsi" w:hAnsiTheme="minorHAnsi"/>
          <w:sz w:val="22"/>
          <w:szCs w:val="22"/>
        </w:rPr>
        <w:t xml:space="preserve"> an </w:t>
      </w:r>
      <w:r w:rsidR="00A16B96">
        <w:rPr>
          <w:rFonts w:asciiTheme="minorHAnsi" w:hAnsiTheme="minorHAnsi"/>
          <w:sz w:val="22"/>
          <w:szCs w:val="22"/>
        </w:rPr>
        <w:t xml:space="preserve">aggregate </w:t>
      </w:r>
      <w:r w:rsidR="00F2319C" w:rsidRPr="00661BD2">
        <w:rPr>
          <w:rFonts w:asciiTheme="minorHAnsi" w:hAnsiTheme="minorHAnsi"/>
          <w:sz w:val="22"/>
          <w:szCs w:val="22"/>
        </w:rPr>
        <w:t>index for these costs</w:t>
      </w:r>
      <w:r w:rsidR="00F2319C">
        <w:rPr>
          <w:rFonts w:asciiTheme="minorHAnsi" w:hAnsiTheme="minorHAnsi"/>
          <w:sz w:val="22"/>
          <w:szCs w:val="22"/>
        </w:rPr>
        <w:t>, as originally</w:t>
      </w:r>
      <w:r w:rsidR="00F2319C" w:rsidRPr="00661BD2">
        <w:rPr>
          <w:rFonts w:asciiTheme="minorHAnsi" w:hAnsiTheme="minorHAnsi"/>
          <w:sz w:val="22"/>
          <w:szCs w:val="22"/>
        </w:rPr>
        <w:t xml:space="preserve"> recommended</w:t>
      </w:r>
      <w:r w:rsidR="00F2319C" w:rsidRPr="00661BD2">
        <w:rPr>
          <w:rFonts w:asciiTheme="minorHAnsi" w:hAnsiTheme="minorHAnsi"/>
          <w:spacing w:val="-5"/>
          <w:sz w:val="22"/>
          <w:szCs w:val="22"/>
        </w:rPr>
        <w:t xml:space="preserve"> </w:t>
      </w:r>
      <w:r w:rsidR="00F2319C" w:rsidRPr="00661BD2">
        <w:rPr>
          <w:rFonts w:asciiTheme="minorHAnsi" w:hAnsiTheme="minorHAnsi"/>
          <w:sz w:val="22"/>
          <w:szCs w:val="22"/>
        </w:rPr>
        <w:t xml:space="preserve">by Zhao, Griffith, and Mullen (1998). For consistency, this </w:t>
      </w:r>
      <w:r w:rsidR="00A42269">
        <w:rPr>
          <w:rFonts w:asciiTheme="minorHAnsi" w:hAnsiTheme="minorHAnsi"/>
          <w:sz w:val="22"/>
          <w:szCs w:val="22"/>
        </w:rPr>
        <w:t>study</w:t>
      </w:r>
      <w:r w:rsidR="00F2319C" w:rsidRPr="00661BD2">
        <w:rPr>
          <w:rFonts w:asciiTheme="minorHAnsi" w:hAnsiTheme="minorHAnsi"/>
          <w:sz w:val="22"/>
          <w:szCs w:val="22"/>
        </w:rPr>
        <w:t xml:space="preserve"> has </w:t>
      </w:r>
      <w:r w:rsidR="00F2319C">
        <w:rPr>
          <w:rFonts w:asciiTheme="minorHAnsi" w:hAnsiTheme="minorHAnsi"/>
          <w:sz w:val="22"/>
          <w:szCs w:val="22"/>
        </w:rPr>
        <w:t xml:space="preserve">used the same indexing </w:t>
      </w:r>
      <w:r w:rsidR="00F2319C" w:rsidRPr="00661BD2">
        <w:rPr>
          <w:rFonts w:asciiTheme="minorHAnsi" w:hAnsiTheme="minorHAnsi"/>
          <w:sz w:val="22"/>
          <w:szCs w:val="22"/>
        </w:rPr>
        <w:t>calculations</w:t>
      </w:r>
      <w:r w:rsidR="00F2319C">
        <w:rPr>
          <w:rFonts w:asciiTheme="minorHAnsi" w:hAnsiTheme="minorHAnsi"/>
          <w:sz w:val="22"/>
          <w:szCs w:val="22"/>
        </w:rPr>
        <w:t>.</w:t>
      </w:r>
      <w:r w:rsidR="00F2319C" w:rsidRPr="00661BD2">
        <w:rPr>
          <w:rFonts w:asciiTheme="minorHAnsi" w:hAnsiTheme="minorHAnsi"/>
          <w:sz w:val="22"/>
          <w:szCs w:val="22"/>
        </w:rPr>
        <w:t xml:space="preserve"> Th</w:t>
      </w:r>
      <w:r w:rsidR="00F2319C">
        <w:rPr>
          <w:rFonts w:asciiTheme="minorHAnsi" w:hAnsiTheme="minorHAnsi"/>
          <w:sz w:val="22"/>
          <w:szCs w:val="22"/>
        </w:rPr>
        <w:t xml:space="preserve">e aggregate </w:t>
      </w:r>
      <w:r w:rsidR="001978CC">
        <w:rPr>
          <w:rFonts w:asciiTheme="minorHAnsi" w:hAnsiTheme="minorHAnsi"/>
          <w:sz w:val="22"/>
          <w:szCs w:val="22"/>
        </w:rPr>
        <w:t xml:space="preserve">cost </w:t>
      </w:r>
      <w:r w:rsidR="00F2319C">
        <w:rPr>
          <w:rFonts w:asciiTheme="minorHAnsi" w:hAnsiTheme="minorHAnsi"/>
          <w:sz w:val="22"/>
          <w:szCs w:val="22"/>
        </w:rPr>
        <w:t>index is formed from</w:t>
      </w:r>
      <w:r w:rsidR="00F2319C" w:rsidRPr="00661BD2">
        <w:rPr>
          <w:rFonts w:asciiTheme="minorHAnsi" w:hAnsiTheme="minorHAnsi"/>
          <w:sz w:val="22"/>
          <w:szCs w:val="22"/>
        </w:rPr>
        <w:t>: (0.75*Wage)</w:t>
      </w:r>
      <w:r w:rsidR="00F2319C" w:rsidRPr="00661BD2">
        <w:rPr>
          <w:rFonts w:asciiTheme="minorHAnsi" w:hAnsiTheme="minorHAnsi"/>
          <w:spacing w:val="-7"/>
          <w:sz w:val="22"/>
          <w:szCs w:val="22"/>
        </w:rPr>
        <w:t xml:space="preserve"> </w:t>
      </w:r>
      <w:r w:rsidR="00F2319C" w:rsidRPr="00661BD2">
        <w:rPr>
          <w:rFonts w:asciiTheme="minorHAnsi" w:hAnsiTheme="minorHAnsi"/>
          <w:sz w:val="22"/>
          <w:szCs w:val="22"/>
        </w:rPr>
        <w:t>+ (0.1*Electricity) + (0.15*Interest</w:t>
      </w:r>
      <w:r w:rsidR="00F2319C" w:rsidRPr="00A16B96">
        <w:rPr>
          <w:rFonts w:asciiTheme="minorHAnsi" w:hAnsiTheme="minorHAnsi"/>
          <w:sz w:val="22"/>
          <w:szCs w:val="22"/>
        </w:rPr>
        <w:t xml:space="preserve">), with </w:t>
      </w:r>
      <w:r w:rsidR="00A42269">
        <w:rPr>
          <w:rFonts w:asciiTheme="minorHAnsi" w:hAnsiTheme="minorHAnsi"/>
          <w:sz w:val="22"/>
          <w:szCs w:val="22"/>
        </w:rPr>
        <w:t xml:space="preserve">all components having </w:t>
      </w:r>
      <w:r w:rsidR="00F2319C" w:rsidRPr="00A16B96">
        <w:rPr>
          <w:rFonts w:asciiTheme="minorHAnsi" w:hAnsiTheme="minorHAnsi"/>
          <w:sz w:val="22"/>
          <w:szCs w:val="22"/>
        </w:rPr>
        <w:t xml:space="preserve">a </w:t>
      </w:r>
      <w:r w:rsidR="00F2319C" w:rsidRPr="00A16B96">
        <w:rPr>
          <w:rFonts w:asciiTheme="minorHAnsi" w:hAnsiTheme="minorHAnsi"/>
          <w:sz w:val="22"/>
          <w:szCs w:val="22"/>
        </w:rPr>
        <w:lastRenderedPageBreak/>
        <w:t xml:space="preserve">base </w:t>
      </w:r>
      <w:proofErr w:type="gramStart"/>
      <w:r w:rsidR="00F2319C" w:rsidRPr="00A16B96">
        <w:rPr>
          <w:rFonts w:asciiTheme="minorHAnsi" w:hAnsiTheme="minorHAnsi"/>
          <w:sz w:val="22"/>
          <w:szCs w:val="22"/>
        </w:rPr>
        <w:t>of</w:t>
      </w:r>
      <w:proofErr w:type="gramEnd"/>
      <w:r w:rsidR="00F2319C" w:rsidRPr="00A16B96">
        <w:rPr>
          <w:rFonts w:asciiTheme="minorHAnsi" w:hAnsiTheme="minorHAnsi"/>
          <w:sz w:val="22"/>
          <w:szCs w:val="22"/>
        </w:rPr>
        <w:t xml:space="preserve"> </w:t>
      </w:r>
      <w:r w:rsidR="00A16B96" w:rsidRPr="00A16B96">
        <w:rPr>
          <w:rFonts w:asciiTheme="minorHAnsi" w:hAnsiTheme="minorHAnsi"/>
          <w:sz w:val="22"/>
          <w:szCs w:val="22"/>
        </w:rPr>
        <w:t>2001</w:t>
      </w:r>
      <w:r w:rsidR="00F2319C" w:rsidRPr="00A16B96">
        <w:rPr>
          <w:rFonts w:asciiTheme="minorHAnsi" w:hAnsiTheme="minorHAnsi"/>
          <w:sz w:val="22"/>
          <w:szCs w:val="22"/>
        </w:rPr>
        <w:t>.</w:t>
      </w:r>
      <w:r w:rsidR="005F1844" w:rsidRPr="00A16B96">
        <w:rPr>
          <w:rFonts w:asciiTheme="minorHAnsi" w:hAnsiTheme="minorHAnsi"/>
          <w:sz w:val="22"/>
          <w:szCs w:val="22"/>
        </w:rPr>
        <w:t xml:space="preserve"> The </w:t>
      </w:r>
      <w:r w:rsidR="00753024">
        <w:rPr>
          <w:rFonts w:asciiTheme="minorHAnsi" w:hAnsiTheme="minorHAnsi"/>
          <w:sz w:val="22"/>
          <w:szCs w:val="22"/>
        </w:rPr>
        <w:t>Consumer Price Index</w:t>
      </w:r>
      <w:r w:rsidR="00753024" w:rsidRPr="00A16B96">
        <w:rPr>
          <w:rFonts w:asciiTheme="minorHAnsi" w:hAnsiTheme="minorHAnsi"/>
          <w:sz w:val="22"/>
          <w:szCs w:val="22"/>
        </w:rPr>
        <w:t xml:space="preserve"> </w:t>
      </w:r>
      <w:r w:rsidR="00753024">
        <w:rPr>
          <w:rFonts w:asciiTheme="minorHAnsi" w:hAnsiTheme="minorHAnsi"/>
          <w:sz w:val="22"/>
          <w:szCs w:val="22"/>
        </w:rPr>
        <w:t>(</w:t>
      </w:r>
      <w:r w:rsidR="005F1844" w:rsidRPr="00A16B96">
        <w:rPr>
          <w:rFonts w:asciiTheme="minorHAnsi" w:hAnsiTheme="minorHAnsi"/>
          <w:sz w:val="22"/>
          <w:szCs w:val="22"/>
        </w:rPr>
        <w:t>CPI</w:t>
      </w:r>
      <w:r w:rsidR="00753024">
        <w:rPr>
          <w:rFonts w:asciiTheme="minorHAnsi" w:hAnsiTheme="minorHAnsi"/>
          <w:sz w:val="22"/>
          <w:szCs w:val="22"/>
        </w:rPr>
        <w:t>)</w:t>
      </w:r>
      <w:r w:rsidR="00F60187">
        <w:rPr>
          <w:rFonts w:asciiTheme="minorHAnsi" w:hAnsiTheme="minorHAnsi"/>
          <w:sz w:val="22"/>
          <w:szCs w:val="22"/>
        </w:rPr>
        <w:t xml:space="preserve"> </w:t>
      </w:r>
      <w:r w:rsidR="005F1844">
        <w:rPr>
          <w:rFonts w:asciiTheme="minorHAnsi" w:hAnsiTheme="minorHAnsi"/>
          <w:sz w:val="22"/>
          <w:szCs w:val="22"/>
        </w:rPr>
        <w:t>is used t</w:t>
      </w:r>
      <w:r w:rsidR="005F1844" w:rsidRPr="00661BD2">
        <w:rPr>
          <w:rFonts w:asciiTheme="minorHAnsi" w:hAnsiTheme="minorHAnsi"/>
          <w:sz w:val="22"/>
          <w:szCs w:val="22"/>
        </w:rPr>
        <w:t>o account for inflation over the period 1970–20</w:t>
      </w:r>
      <w:r w:rsidR="005F1844">
        <w:rPr>
          <w:rFonts w:asciiTheme="minorHAnsi" w:hAnsiTheme="minorHAnsi"/>
          <w:sz w:val="22"/>
          <w:szCs w:val="22"/>
        </w:rPr>
        <w:t>21</w:t>
      </w:r>
      <w:r w:rsidR="005F1844" w:rsidRPr="00661BD2">
        <w:rPr>
          <w:rFonts w:asciiTheme="minorHAnsi" w:hAnsiTheme="minorHAnsi"/>
          <w:sz w:val="22"/>
          <w:szCs w:val="22"/>
        </w:rPr>
        <w:t xml:space="preserve">. </w:t>
      </w:r>
    </w:p>
    <w:p w14:paraId="0BD89076" w14:textId="77777777" w:rsidR="005F1844" w:rsidRPr="00A16B96" w:rsidRDefault="005F1844" w:rsidP="00F2319C">
      <w:pPr>
        <w:pStyle w:val="BodyText"/>
        <w:ind w:left="0"/>
        <w:jc w:val="both"/>
        <w:rPr>
          <w:rFonts w:asciiTheme="minorHAnsi" w:hAnsiTheme="minorHAnsi"/>
          <w:color w:val="FF0000"/>
          <w:sz w:val="22"/>
          <w:szCs w:val="22"/>
        </w:rPr>
      </w:pPr>
    </w:p>
    <w:p w14:paraId="18395DEF" w14:textId="6BD56460" w:rsidR="005F1844" w:rsidRDefault="005F1844" w:rsidP="00F2319C">
      <w:pPr>
        <w:pStyle w:val="BodyText"/>
        <w:ind w:left="0"/>
        <w:jc w:val="both"/>
        <w:rPr>
          <w:rFonts w:asciiTheme="minorHAnsi" w:hAnsiTheme="minorHAnsi"/>
          <w:sz w:val="22"/>
          <w:szCs w:val="22"/>
        </w:rPr>
      </w:pPr>
      <w:r>
        <w:rPr>
          <w:rFonts w:asciiTheme="minorHAnsi" w:hAnsiTheme="minorHAnsi"/>
          <w:sz w:val="22"/>
          <w:szCs w:val="22"/>
        </w:rPr>
        <w:t xml:space="preserve">The sources for both </w:t>
      </w:r>
      <w:proofErr w:type="gramStart"/>
      <w:r>
        <w:rPr>
          <w:rFonts w:asciiTheme="minorHAnsi" w:hAnsiTheme="minorHAnsi"/>
          <w:sz w:val="22"/>
          <w:szCs w:val="22"/>
        </w:rPr>
        <w:t>sets</w:t>
      </w:r>
      <w:proofErr w:type="gramEnd"/>
      <w:r>
        <w:rPr>
          <w:rFonts w:asciiTheme="minorHAnsi" w:hAnsiTheme="minorHAnsi"/>
          <w:sz w:val="22"/>
          <w:szCs w:val="22"/>
        </w:rPr>
        <w:t xml:space="preserve"> of data are outlined</w:t>
      </w:r>
      <w:r w:rsidRPr="00661BD2">
        <w:rPr>
          <w:rFonts w:asciiTheme="minorHAnsi" w:hAnsiTheme="minorHAnsi"/>
          <w:sz w:val="22"/>
          <w:szCs w:val="22"/>
        </w:rPr>
        <w:t xml:space="preserve"> in Table 1.</w:t>
      </w:r>
      <w:r>
        <w:rPr>
          <w:rFonts w:asciiTheme="minorHAnsi" w:hAnsiTheme="minorHAnsi"/>
          <w:sz w:val="22"/>
          <w:szCs w:val="22"/>
        </w:rPr>
        <w:t xml:space="preserve"> Variable definitions are given in Appendix Table 1.</w:t>
      </w:r>
    </w:p>
    <w:p w14:paraId="4360D46A" w14:textId="77777777" w:rsidR="00E9719A" w:rsidRDefault="00E9719A" w:rsidP="00304713">
      <w:pPr>
        <w:pStyle w:val="BodyText"/>
        <w:ind w:left="0"/>
        <w:jc w:val="center"/>
        <w:rPr>
          <w:rFonts w:asciiTheme="minorHAnsi" w:hAnsiTheme="minorHAnsi"/>
          <w:b/>
          <w:sz w:val="22"/>
          <w:szCs w:val="22"/>
        </w:rPr>
      </w:pPr>
    </w:p>
    <w:p w14:paraId="63BBE0F1" w14:textId="05524337" w:rsidR="00814BDF" w:rsidRPr="00304713" w:rsidRDefault="00814BDF" w:rsidP="00304713">
      <w:pPr>
        <w:pStyle w:val="BodyText"/>
        <w:ind w:left="0"/>
        <w:jc w:val="center"/>
        <w:rPr>
          <w:rFonts w:asciiTheme="minorHAnsi" w:hAnsiTheme="minorHAnsi"/>
          <w:b/>
          <w:sz w:val="22"/>
          <w:szCs w:val="22"/>
        </w:rPr>
      </w:pPr>
      <w:r w:rsidRPr="00304713">
        <w:rPr>
          <w:rFonts w:asciiTheme="minorHAnsi" w:hAnsiTheme="minorHAnsi"/>
          <w:b/>
          <w:sz w:val="22"/>
          <w:szCs w:val="22"/>
        </w:rPr>
        <w:t>Table 1</w:t>
      </w:r>
      <w:r w:rsidR="00304713" w:rsidRPr="00304713">
        <w:rPr>
          <w:rFonts w:asciiTheme="minorHAnsi" w:hAnsiTheme="minorHAnsi"/>
          <w:b/>
          <w:sz w:val="22"/>
          <w:szCs w:val="22"/>
        </w:rPr>
        <w:t>.</w:t>
      </w:r>
      <w:r w:rsidRPr="00304713">
        <w:rPr>
          <w:rFonts w:asciiTheme="minorHAnsi" w:hAnsiTheme="minorHAnsi"/>
          <w:b/>
          <w:sz w:val="22"/>
          <w:szCs w:val="22"/>
        </w:rPr>
        <w:t xml:space="preserve"> Sources of data required for </w:t>
      </w:r>
      <w:r w:rsidR="00304713">
        <w:rPr>
          <w:rFonts w:asciiTheme="minorHAnsi" w:hAnsiTheme="minorHAnsi"/>
          <w:b/>
          <w:sz w:val="22"/>
          <w:szCs w:val="22"/>
        </w:rPr>
        <w:t>estimating equation (1)</w:t>
      </w:r>
      <w:r w:rsidR="00D5452B">
        <w:rPr>
          <w:rFonts w:asciiTheme="minorHAnsi" w:hAnsiTheme="minorHAnsi"/>
          <w:b/>
          <w:sz w:val="22"/>
          <w:szCs w:val="22"/>
        </w:rPr>
        <w:t xml:space="preserve"> in the domestic market</w:t>
      </w:r>
    </w:p>
    <w:p w14:paraId="39B16181" w14:textId="77777777" w:rsidR="00814BDF" w:rsidRPr="00661BD2" w:rsidRDefault="00814BDF" w:rsidP="00814BDF">
      <w:pPr>
        <w:jc w:val="both"/>
        <w:rPr>
          <w:rFonts w:eastAsia="Calibri" w:cs="Calibri"/>
        </w:rPr>
      </w:pPr>
    </w:p>
    <w:tbl>
      <w:tblPr>
        <w:tblW w:w="0" w:type="auto"/>
        <w:jc w:val="center"/>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4248"/>
        <w:gridCol w:w="4536"/>
      </w:tblGrid>
      <w:tr w:rsidR="00814BDF" w:rsidRPr="00661BD2" w14:paraId="77945BEC" w14:textId="77777777" w:rsidTr="004B4CE9">
        <w:trPr>
          <w:trHeight w:hRule="exact" w:val="278"/>
          <w:jc w:val="center"/>
        </w:trPr>
        <w:tc>
          <w:tcPr>
            <w:tcW w:w="4248" w:type="dxa"/>
            <w:shd w:val="clear" w:color="auto" w:fill="D0CECE"/>
          </w:tcPr>
          <w:p w14:paraId="64F6778A" w14:textId="77777777" w:rsidR="00814BDF" w:rsidRPr="00661BD2" w:rsidRDefault="00814BDF" w:rsidP="00976892">
            <w:pPr>
              <w:pStyle w:val="TableParagraph"/>
              <w:jc w:val="both"/>
              <w:rPr>
                <w:rFonts w:eastAsia="Calibri" w:cs="Calibri"/>
              </w:rPr>
            </w:pPr>
            <w:r w:rsidRPr="00661BD2">
              <w:rPr>
                <w:b/>
              </w:rPr>
              <w:t>Meat</w:t>
            </w:r>
            <w:r w:rsidRPr="00661BD2">
              <w:rPr>
                <w:b/>
                <w:spacing w:val="-4"/>
              </w:rPr>
              <w:t xml:space="preserve"> </w:t>
            </w:r>
            <w:r w:rsidRPr="00661BD2">
              <w:rPr>
                <w:b/>
              </w:rPr>
              <w:t>Data</w:t>
            </w:r>
          </w:p>
        </w:tc>
        <w:tc>
          <w:tcPr>
            <w:tcW w:w="4536" w:type="dxa"/>
            <w:shd w:val="clear" w:color="auto" w:fill="D0CECE"/>
          </w:tcPr>
          <w:p w14:paraId="5E54D5A1" w14:textId="77777777" w:rsidR="00814BDF" w:rsidRPr="00661BD2" w:rsidRDefault="00814BDF" w:rsidP="00976892">
            <w:pPr>
              <w:pStyle w:val="TableParagraph"/>
              <w:jc w:val="both"/>
              <w:rPr>
                <w:rFonts w:eastAsia="Calibri" w:cs="Calibri"/>
              </w:rPr>
            </w:pPr>
            <w:r w:rsidRPr="00661BD2">
              <w:rPr>
                <w:b/>
              </w:rPr>
              <w:t>General</w:t>
            </w:r>
            <w:r w:rsidRPr="00661BD2">
              <w:rPr>
                <w:b/>
                <w:spacing w:val="-5"/>
              </w:rPr>
              <w:t xml:space="preserve"> </w:t>
            </w:r>
            <w:r w:rsidRPr="00661BD2">
              <w:rPr>
                <w:b/>
              </w:rPr>
              <w:t>Data</w:t>
            </w:r>
          </w:p>
        </w:tc>
      </w:tr>
      <w:tr w:rsidR="00814BDF" w:rsidRPr="00661BD2" w14:paraId="77453928" w14:textId="77777777" w:rsidTr="00D94763">
        <w:trPr>
          <w:trHeight w:hRule="exact" w:val="622"/>
          <w:jc w:val="center"/>
        </w:trPr>
        <w:tc>
          <w:tcPr>
            <w:tcW w:w="4248" w:type="dxa"/>
          </w:tcPr>
          <w:p w14:paraId="5F312033" w14:textId="7E3F7CB7" w:rsidR="0090198C" w:rsidRPr="00B73A45" w:rsidRDefault="00814BDF" w:rsidP="00304713">
            <w:pPr>
              <w:pStyle w:val="TableParagraph"/>
              <w:rPr>
                <w:rFonts w:eastAsia="Calibri" w:cs="Calibri"/>
              </w:rPr>
            </w:pPr>
            <w:r w:rsidRPr="00B73A45">
              <w:rPr>
                <w:rFonts w:eastAsia="Calibri" w:cs="Calibri"/>
              </w:rPr>
              <w:t>Retail Price (1970–20</w:t>
            </w:r>
            <w:r w:rsidR="005F1844">
              <w:rPr>
                <w:rFonts w:eastAsia="Calibri" w:cs="Calibri"/>
              </w:rPr>
              <w:t>21</w:t>
            </w:r>
            <w:r w:rsidRPr="00B73A45">
              <w:rPr>
                <w:rFonts w:eastAsia="Calibri" w:cs="Calibri"/>
              </w:rPr>
              <w:t>)</w:t>
            </w:r>
          </w:p>
          <w:p w14:paraId="11977628" w14:textId="18D7B4E2" w:rsidR="00814BDF" w:rsidRPr="00B73A45" w:rsidRDefault="00814BDF" w:rsidP="00304713">
            <w:pPr>
              <w:pStyle w:val="TableParagraph"/>
              <w:rPr>
                <w:rFonts w:eastAsia="Calibri" w:cs="Calibri"/>
              </w:rPr>
            </w:pPr>
            <w:r w:rsidRPr="00B73A45">
              <w:rPr>
                <w:rFonts w:eastAsia="Calibri" w:cs="Calibri"/>
                <w:spacing w:val="-17"/>
              </w:rPr>
              <w:t xml:space="preserve"> </w:t>
            </w:r>
            <w:r w:rsidRPr="00B73A45">
              <w:rPr>
                <w:rFonts w:eastAsia="Calibri" w:cs="Calibri"/>
              </w:rPr>
              <w:t>(A</w:t>
            </w:r>
            <w:r w:rsidR="0090198C" w:rsidRPr="00B73A45">
              <w:rPr>
                <w:rFonts w:eastAsia="Calibri" w:cs="Calibri"/>
              </w:rPr>
              <w:t>BARES</w:t>
            </w:r>
            <w:r w:rsidRPr="00B73A45">
              <w:rPr>
                <w:rFonts w:eastAsia="Calibri" w:cs="Calibri"/>
              </w:rPr>
              <w:t>,</w:t>
            </w:r>
            <w:r w:rsidRPr="00B73A45">
              <w:rPr>
                <w:rFonts w:eastAsia="Calibri" w:cs="Calibri"/>
                <w:spacing w:val="-14"/>
              </w:rPr>
              <w:t xml:space="preserve"> </w:t>
            </w:r>
            <w:r w:rsidRPr="00B73A45">
              <w:rPr>
                <w:rFonts w:eastAsia="Calibri" w:cs="Calibri"/>
              </w:rPr>
              <w:t>20</w:t>
            </w:r>
            <w:r w:rsidR="00C36EE3">
              <w:rPr>
                <w:rFonts w:eastAsia="Calibri" w:cs="Calibri"/>
              </w:rPr>
              <w:t>22</w:t>
            </w:r>
            <w:r w:rsidRPr="00B73A45">
              <w:rPr>
                <w:rFonts w:eastAsia="Calibri" w:cs="Calibri"/>
              </w:rPr>
              <w:t>)</w:t>
            </w:r>
          </w:p>
        </w:tc>
        <w:tc>
          <w:tcPr>
            <w:tcW w:w="4536" w:type="dxa"/>
          </w:tcPr>
          <w:p w14:paraId="7A9C9519" w14:textId="1525E148" w:rsidR="00814BDF" w:rsidRPr="00B73A45" w:rsidRDefault="00814BDF" w:rsidP="00976892">
            <w:pPr>
              <w:pStyle w:val="TableParagraph"/>
              <w:jc w:val="both"/>
              <w:rPr>
                <w:rFonts w:eastAsia="Calibri" w:cs="Calibri"/>
              </w:rPr>
            </w:pPr>
            <w:r w:rsidRPr="00B73A45">
              <w:t>Interest</w:t>
            </w:r>
            <w:r w:rsidRPr="00B73A45">
              <w:rPr>
                <w:spacing w:val="-8"/>
              </w:rPr>
              <w:t xml:space="preserve"> </w:t>
            </w:r>
            <w:r w:rsidRPr="00B73A45">
              <w:t>Rates</w:t>
            </w:r>
            <w:r w:rsidR="00A16B96">
              <w:t>, converted to an index base 2001=100</w:t>
            </w:r>
            <w:r w:rsidR="00F26E69">
              <w:t xml:space="preserve"> </w:t>
            </w:r>
            <w:r w:rsidR="00F26E69" w:rsidRPr="00B73A45">
              <w:t>(AB</w:t>
            </w:r>
            <w:r w:rsidR="00F26E69">
              <w:t>ARE</w:t>
            </w:r>
            <w:r w:rsidR="00F26E69" w:rsidRPr="00B73A45">
              <w:t>S, 20</w:t>
            </w:r>
            <w:r w:rsidR="00F26E69">
              <w:t>22</w:t>
            </w:r>
            <w:r w:rsidR="00F26E69" w:rsidRPr="00B73A45">
              <w:t>)</w:t>
            </w:r>
          </w:p>
          <w:p w14:paraId="6410E59A" w14:textId="597AA2F1" w:rsidR="00814BDF" w:rsidRPr="00B73A45" w:rsidRDefault="00814BDF" w:rsidP="00976892">
            <w:pPr>
              <w:pStyle w:val="TableParagraph"/>
              <w:jc w:val="both"/>
              <w:rPr>
                <w:rFonts w:eastAsia="Calibri" w:cs="Calibri"/>
              </w:rPr>
            </w:pPr>
            <w:r w:rsidRPr="00B73A45">
              <w:t>(ABARES,</w:t>
            </w:r>
            <w:r w:rsidRPr="00B73A45">
              <w:rPr>
                <w:spacing w:val="-7"/>
              </w:rPr>
              <w:t xml:space="preserve"> </w:t>
            </w:r>
            <w:r w:rsidRPr="00B73A45">
              <w:t>20</w:t>
            </w:r>
            <w:r w:rsidR="00C36EE3">
              <w:t>22</w:t>
            </w:r>
            <w:r w:rsidRPr="00B73A45">
              <w:t>)</w:t>
            </w:r>
          </w:p>
        </w:tc>
      </w:tr>
      <w:tr w:rsidR="00814BDF" w:rsidRPr="00661BD2" w14:paraId="7F32E4A3" w14:textId="77777777" w:rsidTr="004B4CE9">
        <w:trPr>
          <w:trHeight w:hRule="exact" w:val="547"/>
          <w:jc w:val="center"/>
        </w:trPr>
        <w:tc>
          <w:tcPr>
            <w:tcW w:w="4248" w:type="dxa"/>
          </w:tcPr>
          <w:p w14:paraId="61023055" w14:textId="66E737B3" w:rsidR="0090198C" w:rsidRPr="00B73A45" w:rsidRDefault="00814BDF" w:rsidP="00304713">
            <w:pPr>
              <w:pStyle w:val="TableParagraph"/>
              <w:rPr>
                <w:rFonts w:eastAsia="Calibri" w:cs="Calibri"/>
              </w:rPr>
            </w:pPr>
            <w:r w:rsidRPr="00B73A45">
              <w:rPr>
                <w:rFonts w:eastAsia="Calibri" w:cs="Calibri"/>
              </w:rPr>
              <w:t>Saleyard Price (1970 –</w:t>
            </w:r>
            <w:r w:rsidRPr="00B73A45">
              <w:rPr>
                <w:rFonts w:eastAsia="Calibri" w:cs="Calibri"/>
                <w:spacing w:val="-15"/>
              </w:rPr>
              <w:t xml:space="preserve"> </w:t>
            </w:r>
            <w:r w:rsidRPr="00B73A45">
              <w:rPr>
                <w:rFonts w:eastAsia="Calibri" w:cs="Calibri"/>
              </w:rPr>
              <w:t>20</w:t>
            </w:r>
            <w:r w:rsidR="005F1844">
              <w:rPr>
                <w:rFonts w:eastAsia="Calibri" w:cs="Calibri"/>
              </w:rPr>
              <w:t>21</w:t>
            </w:r>
            <w:r w:rsidRPr="00B73A45">
              <w:rPr>
                <w:rFonts w:eastAsia="Calibri" w:cs="Calibri"/>
              </w:rPr>
              <w:t>)</w:t>
            </w:r>
          </w:p>
          <w:p w14:paraId="35AEA92B" w14:textId="7911133B" w:rsidR="00814BDF" w:rsidRPr="00B73A45" w:rsidRDefault="00814BDF" w:rsidP="00304713">
            <w:pPr>
              <w:pStyle w:val="TableParagraph"/>
              <w:rPr>
                <w:rFonts w:eastAsia="Calibri" w:cs="Calibri"/>
              </w:rPr>
            </w:pPr>
            <w:r w:rsidRPr="00B73A45">
              <w:rPr>
                <w:rFonts w:eastAsia="Calibri" w:cs="Calibri"/>
                <w:spacing w:val="-1"/>
              </w:rPr>
              <w:t xml:space="preserve"> </w:t>
            </w:r>
            <w:r w:rsidRPr="00B73A45">
              <w:rPr>
                <w:rFonts w:eastAsia="Calibri" w:cs="Calibri"/>
              </w:rPr>
              <w:t>(ABARES,</w:t>
            </w:r>
            <w:r w:rsidRPr="00B73A45">
              <w:rPr>
                <w:rFonts w:eastAsia="Calibri" w:cs="Calibri"/>
                <w:spacing w:val="-9"/>
              </w:rPr>
              <w:t xml:space="preserve"> </w:t>
            </w:r>
            <w:r w:rsidRPr="00B73A45">
              <w:rPr>
                <w:rFonts w:eastAsia="Calibri" w:cs="Calibri"/>
              </w:rPr>
              <w:t>20</w:t>
            </w:r>
            <w:r w:rsidR="00C36EE3">
              <w:rPr>
                <w:rFonts w:eastAsia="Calibri" w:cs="Calibri"/>
              </w:rPr>
              <w:t>22</w:t>
            </w:r>
            <w:r w:rsidRPr="00B73A45">
              <w:rPr>
                <w:rFonts w:eastAsia="Calibri" w:cs="Calibri"/>
              </w:rPr>
              <w:t>)</w:t>
            </w:r>
          </w:p>
        </w:tc>
        <w:tc>
          <w:tcPr>
            <w:tcW w:w="4536" w:type="dxa"/>
          </w:tcPr>
          <w:p w14:paraId="5ABF7168" w14:textId="785DDB02" w:rsidR="0090198C" w:rsidRPr="00B73A45" w:rsidRDefault="00814BDF" w:rsidP="00976892">
            <w:pPr>
              <w:pStyle w:val="TableParagraph"/>
              <w:jc w:val="both"/>
            </w:pPr>
            <w:r w:rsidRPr="00B73A45">
              <w:t>Wage Price</w:t>
            </w:r>
            <w:r w:rsidRPr="00B73A45">
              <w:rPr>
                <w:spacing w:val="-7"/>
              </w:rPr>
              <w:t xml:space="preserve"> </w:t>
            </w:r>
            <w:r w:rsidRPr="00B73A45">
              <w:t>Index</w:t>
            </w:r>
            <w:r w:rsidR="00A16B96">
              <w:t>, base 2001=100</w:t>
            </w:r>
            <w:r w:rsidRPr="00B73A45">
              <w:t xml:space="preserve"> </w:t>
            </w:r>
          </w:p>
          <w:p w14:paraId="089CB75B" w14:textId="60EDA289" w:rsidR="00814BDF" w:rsidRPr="00B73A45" w:rsidRDefault="00814BDF" w:rsidP="00976892">
            <w:pPr>
              <w:pStyle w:val="TableParagraph"/>
              <w:jc w:val="both"/>
              <w:rPr>
                <w:rFonts w:eastAsia="Calibri" w:cs="Calibri"/>
              </w:rPr>
            </w:pPr>
            <w:r w:rsidRPr="00B73A45">
              <w:t>(ABS,</w:t>
            </w:r>
            <w:r w:rsidRPr="00B73A45">
              <w:rPr>
                <w:spacing w:val="-6"/>
              </w:rPr>
              <w:t xml:space="preserve"> </w:t>
            </w:r>
            <w:r w:rsidRPr="00B73A45">
              <w:t>20</w:t>
            </w:r>
            <w:r w:rsidR="00C36EE3">
              <w:t>24</w:t>
            </w:r>
            <w:r w:rsidRPr="00B73A45">
              <w:t>b)</w:t>
            </w:r>
          </w:p>
        </w:tc>
      </w:tr>
      <w:tr w:rsidR="00814BDF" w:rsidRPr="00661BD2" w14:paraId="6ED01ED9" w14:textId="77777777" w:rsidTr="001830FC">
        <w:trPr>
          <w:trHeight w:hRule="exact" w:val="640"/>
          <w:jc w:val="center"/>
        </w:trPr>
        <w:tc>
          <w:tcPr>
            <w:tcW w:w="4248" w:type="dxa"/>
            <w:tcBorders>
              <w:bottom w:val="single" w:sz="4" w:space="0" w:color="000000"/>
            </w:tcBorders>
          </w:tcPr>
          <w:p w14:paraId="157E511B" w14:textId="4911B18E" w:rsidR="0090198C" w:rsidRPr="00B73A45" w:rsidRDefault="00814BDF" w:rsidP="00304713">
            <w:pPr>
              <w:pStyle w:val="TableParagraph"/>
            </w:pPr>
            <w:r w:rsidRPr="00B73A45">
              <w:t>Domestic</w:t>
            </w:r>
            <w:r w:rsidRPr="00B73A45">
              <w:rPr>
                <w:spacing w:val="-6"/>
              </w:rPr>
              <w:t xml:space="preserve"> </w:t>
            </w:r>
            <w:r w:rsidRPr="00B73A45">
              <w:t xml:space="preserve">Demand </w:t>
            </w:r>
            <w:r w:rsidR="00045A9A">
              <w:t>(1974-2021)</w:t>
            </w:r>
          </w:p>
          <w:p w14:paraId="5E7A4576" w14:textId="339C4715" w:rsidR="00814BDF" w:rsidRPr="00B73A45" w:rsidRDefault="00814BDF" w:rsidP="00304713">
            <w:pPr>
              <w:pStyle w:val="TableParagraph"/>
              <w:rPr>
                <w:rFonts w:eastAsia="Calibri" w:cs="Calibri"/>
              </w:rPr>
            </w:pPr>
            <w:r w:rsidRPr="00B73A45">
              <w:t>(ABARES,</w:t>
            </w:r>
            <w:r w:rsidRPr="00B73A45">
              <w:rPr>
                <w:spacing w:val="-7"/>
              </w:rPr>
              <w:t xml:space="preserve"> </w:t>
            </w:r>
            <w:r w:rsidRPr="00B73A45">
              <w:t>20</w:t>
            </w:r>
            <w:r w:rsidR="00C36EE3">
              <w:t>22</w:t>
            </w:r>
            <w:r w:rsidRPr="00B73A45">
              <w:t>)</w:t>
            </w:r>
          </w:p>
        </w:tc>
        <w:tc>
          <w:tcPr>
            <w:tcW w:w="4536" w:type="dxa"/>
            <w:tcBorders>
              <w:bottom w:val="single" w:sz="4" w:space="0" w:color="000000"/>
            </w:tcBorders>
          </w:tcPr>
          <w:p w14:paraId="7E453565" w14:textId="2C95E8AA" w:rsidR="0090198C" w:rsidRPr="00B73A45" w:rsidRDefault="00814BDF" w:rsidP="00976892">
            <w:pPr>
              <w:pStyle w:val="TableParagraph"/>
              <w:jc w:val="both"/>
            </w:pPr>
            <w:r w:rsidRPr="00B73A45">
              <w:t>Electricity Cost</w:t>
            </w:r>
            <w:r w:rsidRPr="00B73A45">
              <w:rPr>
                <w:spacing w:val="-4"/>
              </w:rPr>
              <w:t xml:space="preserve"> </w:t>
            </w:r>
            <w:r w:rsidRPr="00B73A45">
              <w:t>Index</w:t>
            </w:r>
            <w:r w:rsidR="00A16B96">
              <w:t>, base 2001=100</w:t>
            </w:r>
          </w:p>
          <w:p w14:paraId="13C7B0A3" w14:textId="0DFAF247" w:rsidR="00814BDF" w:rsidRPr="00B73A45" w:rsidRDefault="00814BDF" w:rsidP="00976892">
            <w:pPr>
              <w:pStyle w:val="TableParagraph"/>
              <w:jc w:val="both"/>
              <w:rPr>
                <w:rFonts w:eastAsia="Calibri" w:cs="Calibri"/>
              </w:rPr>
            </w:pPr>
            <w:r w:rsidRPr="00B73A45">
              <w:t>(ABS,</w:t>
            </w:r>
            <w:r w:rsidRPr="00B73A45">
              <w:rPr>
                <w:spacing w:val="-6"/>
              </w:rPr>
              <w:t xml:space="preserve"> </w:t>
            </w:r>
            <w:r w:rsidRPr="00B73A45">
              <w:t>20</w:t>
            </w:r>
            <w:r w:rsidR="00C36EE3">
              <w:t>24</w:t>
            </w:r>
            <w:r w:rsidR="0090198C" w:rsidRPr="00B73A45">
              <w:t>a</w:t>
            </w:r>
            <w:r w:rsidRPr="00B73A45">
              <w:t>)</w:t>
            </w:r>
          </w:p>
        </w:tc>
      </w:tr>
      <w:tr w:rsidR="00814BDF" w:rsidRPr="00661BD2" w14:paraId="00571A64" w14:textId="77777777" w:rsidTr="001830FC">
        <w:trPr>
          <w:trHeight w:hRule="exact" w:val="547"/>
          <w:jc w:val="center"/>
        </w:trPr>
        <w:tc>
          <w:tcPr>
            <w:tcW w:w="4248" w:type="dxa"/>
            <w:tcBorders>
              <w:bottom w:val="nil"/>
            </w:tcBorders>
          </w:tcPr>
          <w:p w14:paraId="02C94930" w14:textId="77777777" w:rsidR="00814BDF" w:rsidRDefault="001830FC" w:rsidP="00304713">
            <w:pPr>
              <w:pStyle w:val="TableParagraph"/>
              <w:rPr>
                <w:rFonts w:eastAsia="Calibri" w:cs="Calibri"/>
              </w:rPr>
            </w:pPr>
            <w:r>
              <w:rPr>
                <w:rFonts w:eastAsia="Calibri" w:cs="Calibri"/>
              </w:rPr>
              <w:t>Unit Gross Value of Chicken Production</w:t>
            </w:r>
          </w:p>
          <w:p w14:paraId="468F8242" w14:textId="7A1225DD" w:rsidR="001830FC" w:rsidRPr="00B73A45" w:rsidRDefault="001830FC" w:rsidP="00304713">
            <w:pPr>
              <w:pStyle w:val="TableParagraph"/>
              <w:rPr>
                <w:rFonts w:eastAsia="Calibri" w:cs="Calibri"/>
              </w:rPr>
            </w:pPr>
            <w:r>
              <w:rPr>
                <w:rFonts w:eastAsia="Calibri" w:cs="Calibri"/>
              </w:rPr>
              <w:t>(1970-2921) (ABARES, 2022)</w:t>
            </w:r>
          </w:p>
        </w:tc>
        <w:tc>
          <w:tcPr>
            <w:tcW w:w="4536" w:type="dxa"/>
            <w:tcBorders>
              <w:bottom w:val="nil"/>
            </w:tcBorders>
          </w:tcPr>
          <w:p w14:paraId="0A84ED41" w14:textId="1CB1ACFE" w:rsidR="00814BDF" w:rsidRPr="00B73A45" w:rsidRDefault="00814BDF" w:rsidP="00976892">
            <w:pPr>
              <w:pStyle w:val="TableParagraph"/>
              <w:jc w:val="both"/>
              <w:rPr>
                <w:rFonts w:eastAsia="Calibri" w:cs="Calibri"/>
              </w:rPr>
            </w:pPr>
            <w:r w:rsidRPr="00B73A45">
              <w:rPr>
                <w:rFonts w:eastAsia="Calibri" w:cs="Calibri"/>
              </w:rPr>
              <w:t>CPI (1970 –</w:t>
            </w:r>
            <w:r w:rsidRPr="00B73A45">
              <w:rPr>
                <w:rFonts w:eastAsia="Calibri" w:cs="Calibri"/>
                <w:spacing w:val="-12"/>
              </w:rPr>
              <w:t xml:space="preserve"> </w:t>
            </w:r>
            <w:r w:rsidRPr="00B73A45">
              <w:rPr>
                <w:rFonts w:eastAsia="Calibri" w:cs="Calibri"/>
              </w:rPr>
              <w:t>20</w:t>
            </w:r>
            <w:r w:rsidR="00C36EE3">
              <w:rPr>
                <w:rFonts w:eastAsia="Calibri" w:cs="Calibri"/>
              </w:rPr>
              <w:t>21</w:t>
            </w:r>
            <w:r w:rsidRPr="00B73A45">
              <w:rPr>
                <w:rFonts w:eastAsia="Calibri" w:cs="Calibri"/>
              </w:rPr>
              <w:t>)</w:t>
            </w:r>
            <w:r w:rsidR="00045A9A">
              <w:rPr>
                <w:rFonts w:eastAsia="Calibri" w:cs="Calibri"/>
              </w:rPr>
              <w:t>, base 2010/2011=100</w:t>
            </w:r>
          </w:p>
          <w:p w14:paraId="288E90D6" w14:textId="2A8DF822" w:rsidR="00814BDF" w:rsidRPr="00B73A45" w:rsidRDefault="00152089" w:rsidP="00976892">
            <w:pPr>
              <w:pStyle w:val="TableParagraph"/>
              <w:jc w:val="both"/>
              <w:rPr>
                <w:rFonts w:eastAsia="Calibri" w:cs="Calibri"/>
              </w:rPr>
            </w:pPr>
            <w:r w:rsidRPr="00B73A45">
              <w:t>(</w:t>
            </w:r>
            <w:r w:rsidR="00814BDF" w:rsidRPr="00B73A45">
              <w:t>A</w:t>
            </w:r>
            <w:r w:rsidRPr="00B73A45">
              <w:t>B</w:t>
            </w:r>
            <w:r w:rsidR="00C36EE3">
              <w:t>ARE</w:t>
            </w:r>
            <w:r w:rsidRPr="00B73A45">
              <w:t xml:space="preserve">S, </w:t>
            </w:r>
            <w:r w:rsidR="00814BDF" w:rsidRPr="00B73A45">
              <w:t>20</w:t>
            </w:r>
            <w:r w:rsidR="00C36EE3">
              <w:t>22</w:t>
            </w:r>
            <w:r w:rsidR="00814BDF" w:rsidRPr="00B73A45">
              <w:t>)</w:t>
            </w:r>
          </w:p>
        </w:tc>
      </w:tr>
    </w:tbl>
    <w:p w14:paraId="289C2E18" w14:textId="77777777" w:rsidR="00814BDF" w:rsidRPr="00661BD2" w:rsidRDefault="00814BDF" w:rsidP="00814BDF">
      <w:pPr>
        <w:jc w:val="both"/>
        <w:rPr>
          <w:rFonts w:eastAsia="Calibri" w:cs="Calibri"/>
        </w:rPr>
        <w:sectPr w:rsidR="00814BDF" w:rsidRPr="00661BD2" w:rsidSect="00665597">
          <w:headerReference w:type="default" r:id="rId9"/>
          <w:footerReference w:type="default" r:id="rId10"/>
          <w:type w:val="continuous"/>
          <w:pgSz w:w="11900" w:h="16840" w:code="9"/>
          <w:pgMar w:top="1440" w:right="1440" w:bottom="1440" w:left="1440" w:header="709" w:footer="709" w:gutter="0"/>
          <w:pgNumType w:start="1"/>
          <w:cols w:space="720"/>
          <w:docGrid w:linePitch="299"/>
        </w:sectPr>
      </w:pPr>
    </w:p>
    <w:p w14:paraId="54A85560" w14:textId="2DE92614" w:rsidR="00544996" w:rsidRDefault="00011A2C" w:rsidP="00C61C20">
      <w:pPr>
        <w:pStyle w:val="Heading2"/>
        <w:tabs>
          <w:tab w:val="left" w:pos="488"/>
        </w:tabs>
        <w:ind w:left="0" w:firstLine="0"/>
        <w:jc w:val="both"/>
        <w:rPr>
          <w:rFonts w:asciiTheme="minorHAnsi" w:hAnsiTheme="minorHAnsi"/>
          <w:bCs/>
          <w:sz w:val="22"/>
          <w:szCs w:val="22"/>
        </w:rPr>
      </w:pPr>
      <w:r w:rsidRPr="00011A2C">
        <w:rPr>
          <w:rFonts w:asciiTheme="minorHAnsi" w:hAnsiTheme="minorHAnsi"/>
          <w:bCs/>
          <w:sz w:val="22"/>
          <w:szCs w:val="22"/>
        </w:rPr>
        <w:t xml:space="preserve">In addition, </w:t>
      </w:r>
      <w:proofErr w:type="gramStart"/>
      <w:r w:rsidRPr="00011A2C">
        <w:rPr>
          <w:rFonts w:asciiTheme="minorHAnsi" w:hAnsiTheme="minorHAnsi"/>
          <w:bCs/>
          <w:sz w:val="22"/>
          <w:szCs w:val="22"/>
        </w:rPr>
        <w:t>a number of</w:t>
      </w:r>
      <w:proofErr w:type="gramEnd"/>
      <w:r w:rsidRPr="00011A2C">
        <w:rPr>
          <w:rFonts w:asciiTheme="minorHAnsi" w:hAnsiTheme="minorHAnsi"/>
          <w:bCs/>
          <w:sz w:val="22"/>
          <w:szCs w:val="22"/>
        </w:rPr>
        <w:t xml:space="preserve"> dummy variables </w:t>
      </w:r>
      <w:r w:rsidR="001978CC">
        <w:rPr>
          <w:rFonts w:asciiTheme="minorHAnsi" w:hAnsiTheme="minorHAnsi"/>
          <w:bCs/>
          <w:sz w:val="22"/>
          <w:szCs w:val="22"/>
        </w:rPr>
        <w:t>as</w:t>
      </w:r>
      <w:r w:rsidRPr="00011A2C">
        <w:rPr>
          <w:rFonts w:asciiTheme="minorHAnsi" w:hAnsiTheme="minorHAnsi"/>
          <w:bCs/>
          <w:sz w:val="22"/>
          <w:szCs w:val="22"/>
        </w:rPr>
        <w:t xml:space="preserve"> constructed </w:t>
      </w:r>
      <w:r w:rsidR="00C36EE3">
        <w:rPr>
          <w:rFonts w:asciiTheme="minorHAnsi" w:hAnsiTheme="minorHAnsi"/>
          <w:bCs/>
          <w:sz w:val="22"/>
          <w:szCs w:val="22"/>
        </w:rPr>
        <w:t xml:space="preserve">in Hilli and Griffith (2022) </w:t>
      </w:r>
      <w:r w:rsidR="00A42269" w:rsidRPr="00011A2C">
        <w:rPr>
          <w:rFonts w:asciiTheme="minorHAnsi" w:hAnsiTheme="minorHAnsi"/>
          <w:bCs/>
          <w:sz w:val="22"/>
          <w:szCs w:val="22"/>
        </w:rPr>
        <w:t xml:space="preserve">to reflect the discussion </w:t>
      </w:r>
      <w:r w:rsidRPr="00011A2C">
        <w:rPr>
          <w:rFonts w:asciiTheme="minorHAnsi" w:hAnsiTheme="minorHAnsi"/>
          <w:bCs/>
          <w:sz w:val="22"/>
          <w:szCs w:val="22"/>
        </w:rPr>
        <w:t xml:space="preserve">about changes in </w:t>
      </w:r>
      <w:r w:rsidR="005F1844">
        <w:rPr>
          <w:rFonts w:asciiTheme="minorHAnsi" w:hAnsiTheme="minorHAnsi"/>
          <w:bCs/>
          <w:sz w:val="22"/>
          <w:szCs w:val="22"/>
        </w:rPr>
        <w:t xml:space="preserve">meat </w:t>
      </w:r>
      <w:r w:rsidRPr="00011A2C">
        <w:rPr>
          <w:rFonts w:asciiTheme="minorHAnsi" w:hAnsiTheme="minorHAnsi"/>
          <w:bCs/>
          <w:sz w:val="22"/>
          <w:szCs w:val="22"/>
        </w:rPr>
        <w:t>industry structure and in the policy environment</w:t>
      </w:r>
      <w:r w:rsidR="001978CC">
        <w:rPr>
          <w:rFonts w:asciiTheme="minorHAnsi" w:hAnsiTheme="minorHAnsi"/>
          <w:bCs/>
          <w:sz w:val="22"/>
          <w:szCs w:val="22"/>
        </w:rPr>
        <w:t xml:space="preserve">, </w:t>
      </w:r>
      <w:r w:rsidR="00A42269">
        <w:rPr>
          <w:rFonts w:asciiTheme="minorHAnsi" w:hAnsiTheme="minorHAnsi"/>
          <w:bCs/>
          <w:sz w:val="22"/>
          <w:szCs w:val="22"/>
        </w:rPr>
        <w:t xml:space="preserve">are used here. </w:t>
      </w:r>
      <w:r w:rsidRPr="00011A2C">
        <w:rPr>
          <w:rFonts w:asciiTheme="minorHAnsi" w:hAnsiTheme="minorHAnsi"/>
          <w:bCs/>
          <w:sz w:val="22"/>
          <w:szCs w:val="22"/>
        </w:rPr>
        <w:t xml:space="preserve">The dummy variables take the value of zero from 1970 until the designated year, then </w:t>
      </w:r>
      <w:r w:rsidR="00193B37">
        <w:rPr>
          <w:rFonts w:asciiTheme="minorHAnsi" w:hAnsiTheme="minorHAnsi"/>
          <w:bCs/>
          <w:sz w:val="22"/>
          <w:szCs w:val="22"/>
        </w:rPr>
        <w:t xml:space="preserve">they </w:t>
      </w:r>
      <w:r w:rsidRPr="00011A2C">
        <w:rPr>
          <w:rFonts w:asciiTheme="minorHAnsi" w:hAnsiTheme="minorHAnsi"/>
          <w:bCs/>
          <w:sz w:val="22"/>
          <w:szCs w:val="22"/>
        </w:rPr>
        <w:t xml:space="preserve">take the value of one.  For example, </w:t>
      </w:r>
      <w:r w:rsidR="00C36EE3" w:rsidRPr="00264A81">
        <w:rPr>
          <w:rFonts w:asciiTheme="minorHAnsi" w:hAnsiTheme="minorHAnsi"/>
          <w:bCs/>
          <w:sz w:val="22"/>
          <w:szCs w:val="22"/>
        </w:rPr>
        <w:t xml:space="preserve">Dum90 represents the period after which imports of pig meat for further processing were allowed </w:t>
      </w:r>
      <w:r w:rsidR="00045A9A">
        <w:rPr>
          <w:rFonts w:asciiTheme="minorHAnsi" w:hAnsiTheme="minorHAnsi"/>
          <w:bCs/>
          <w:sz w:val="22"/>
          <w:szCs w:val="22"/>
        </w:rPr>
        <w:t xml:space="preserve">into Australia </w:t>
      </w:r>
      <w:r w:rsidR="00C36EE3" w:rsidRPr="00264A81">
        <w:rPr>
          <w:rFonts w:asciiTheme="minorHAnsi" w:hAnsiTheme="minorHAnsi"/>
          <w:bCs/>
          <w:sz w:val="22"/>
          <w:szCs w:val="22"/>
        </w:rPr>
        <w:t>and formed a significant part of the domestic pig meat industry</w:t>
      </w:r>
      <w:r w:rsidR="00FE1B53">
        <w:rPr>
          <w:rFonts w:asciiTheme="minorHAnsi" w:hAnsiTheme="minorHAnsi"/>
          <w:bCs/>
          <w:sz w:val="22"/>
          <w:szCs w:val="22"/>
        </w:rPr>
        <w:t xml:space="preserve">. Similarly, </w:t>
      </w:r>
      <w:r w:rsidRPr="00011A2C">
        <w:rPr>
          <w:rFonts w:asciiTheme="minorHAnsi" w:hAnsiTheme="minorHAnsi"/>
          <w:bCs/>
          <w:sz w:val="22"/>
          <w:szCs w:val="22"/>
        </w:rPr>
        <w:t>Dum95 represents the period after 1995 when the Commonwealth government implemented a new deregulation agenda.</w:t>
      </w:r>
      <w:r>
        <w:rPr>
          <w:rFonts w:asciiTheme="minorHAnsi" w:hAnsiTheme="minorHAnsi"/>
          <w:bCs/>
          <w:sz w:val="22"/>
          <w:szCs w:val="22"/>
        </w:rPr>
        <w:t xml:space="preserve"> Its value is zero from 1970 until 1994, then one from 1995 to 2017</w:t>
      </w:r>
      <w:r w:rsidR="00A42269">
        <w:rPr>
          <w:rFonts w:asciiTheme="minorHAnsi" w:hAnsiTheme="minorHAnsi"/>
          <w:bCs/>
          <w:sz w:val="22"/>
          <w:szCs w:val="22"/>
        </w:rPr>
        <w:t>.</w:t>
      </w:r>
      <w:r w:rsidRPr="00264A81">
        <w:rPr>
          <w:rFonts w:asciiTheme="minorHAnsi" w:hAnsiTheme="minorHAnsi"/>
          <w:bCs/>
          <w:sz w:val="22"/>
          <w:szCs w:val="22"/>
        </w:rPr>
        <w:t xml:space="preserve"> </w:t>
      </w:r>
      <w:r w:rsidR="00A42269">
        <w:rPr>
          <w:rFonts w:asciiTheme="minorHAnsi" w:hAnsiTheme="minorHAnsi"/>
          <w:bCs/>
          <w:sz w:val="22"/>
          <w:szCs w:val="22"/>
        </w:rPr>
        <w:t xml:space="preserve">Likewise, </w:t>
      </w:r>
      <w:r w:rsidR="00702AE2">
        <w:rPr>
          <w:rFonts w:asciiTheme="minorHAnsi" w:hAnsiTheme="minorHAnsi"/>
          <w:bCs/>
          <w:sz w:val="22"/>
          <w:szCs w:val="22"/>
        </w:rPr>
        <w:t xml:space="preserve">Dum07 represents the entry of Aldi into the domestic supermarket sector; and Dum11 represents the major consolidation in the ownership of beef and lamb processing firms. </w:t>
      </w:r>
    </w:p>
    <w:p w14:paraId="5B99601B" w14:textId="77777777" w:rsidR="00544996" w:rsidRDefault="00544996" w:rsidP="00C61C20">
      <w:pPr>
        <w:pStyle w:val="Heading2"/>
        <w:tabs>
          <w:tab w:val="left" w:pos="488"/>
        </w:tabs>
        <w:ind w:left="0" w:firstLine="0"/>
        <w:jc w:val="both"/>
        <w:rPr>
          <w:rFonts w:asciiTheme="minorHAnsi" w:hAnsiTheme="minorHAnsi"/>
          <w:bCs/>
          <w:sz w:val="22"/>
          <w:szCs w:val="22"/>
        </w:rPr>
      </w:pPr>
    </w:p>
    <w:p w14:paraId="2B220613" w14:textId="2B9DE205" w:rsidR="00F2319C" w:rsidRDefault="00544996" w:rsidP="00C61C20">
      <w:pPr>
        <w:pStyle w:val="Heading2"/>
        <w:tabs>
          <w:tab w:val="left" w:pos="488"/>
        </w:tabs>
        <w:ind w:left="0" w:firstLine="0"/>
        <w:jc w:val="both"/>
        <w:rPr>
          <w:rFonts w:asciiTheme="minorHAnsi" w:hAnsiTheme="minorHAnsi"/>
          <w:bCs/>
          <w:sz w:val="22"/>
          <w:szCs w:val="22"/>
        </w:rPr>
      </w:pPr>
      <w:r>
        <w:rPr>
          <w:rFonts w:asciiTheme="minorHAnsi" w:hAnsiTheme="minorHAnsi"/>
          <w:bCs/>
          <w:sz w:val="22"/>
          <w:szCs w:val="22"/>
        </w:rPr>
        <w:t>One further dummy variable was constructed to represent another policy intervention. A</w:t>
      </w:r>
      <w:r w:rsidR="00063C90">
        <w:rPr>
          <w:rFonts w:asciiTheme="minorHAnsi" w:hAnsiTheme="minorHAnsi"/>
          <w:bCs/>
          <w:sz w:val="22"/>
          <w:szCs w:val="22"/>
        </w:rPr>
        <w:t>s shown in Figure 1</w:t>
      </w:r>
      <w:r>
        <w:rPr>
          <w:rFonts w:asciiTheme="minorHAnsi" w:hAnsiTheme="minorHAnsi"/>
          <w:bCs/>
          <w:sz w:val="22"/>
          <w:szCs w:val="22"/>
        </w:rPr>
        <w:t xml:space="preserve">, in 1974/75 the Japanese Livestock Industry Promotion Corporation stopped imports of Australian beef under the then quota arrangements, and severely restricted access </w:t>
      </w:r>
      <w:r w:rsidR="00A42269">
        <w:rPr>
          <w:rFonts w:asciiTheme="minorHAnsi" w:hAnsiTheme="minorHAnsi"/>
          <w:bCs/>
          <w:sz w:val="22"/>
          <w:szCs w:val="22"/>
        </w:rPr>
        <w:t xml:space="preserve">in following years </w:t>
      </w:r>
      <w:r>
        <w:rPr>
          <w:rFonts w:asciiTheme="minorHAnsi" w:hAnsiTheme="minorHAnsi"/>
          <w:bCs/>
          <w:sz w:val="22"/>
          <w:szCs w:val="22"/>
        </w:rPr>
        <w:t xml:space="preserve">until </w:t>
      </w:r>
      <w:r w:rsidR="00A42269">
        <w:rPr>
          <w:rFonts w:asciiTheme="minorHAnsi" w:hAnsiTheme="minorHAnsi"/>
          <w:bCs/>
          <w:sz w:val="22"/>
          <w:szCs w:val="22"/>
        </w:rPr>
        <w:t xml:space="preserve">late </w:t>
      </w:r>
      <w:r>
        <w:rPr>
          <w:rFonts w:asciiTheme="minorHAnsi" w:hAnsiTheme="minorHAnsi"/>
          <w:bCs/>
          <w:sz w:val="22"/>
          <w:szCs w:val="22"/>
        </w:rPr>
        <w:t xml:space="preserve">1978. A considerable quantity of beef exports destined for Japan had to be redirected to the domestic market </w:t>
      </w:r>
      <w:r w:rsidR="00A42269">
        <w:rPr>
          <w:rFonts w:asciiTheme="minorHAnsi" w:hAnsiTheme="minorHAnsi"/>
          <w:bCs/>
          <w:sz w:val="22"/>
          <w:szCs w:val="22"/>
        </w:rPr>
        <w:t xml:space="preserve">(and other export markets) </w:t>
      </w:r>
      <w:r w:rsidR="008B4CE0">
        <w:rPr>
          <w:rFonts w:asciiTheme="minorHAnsi" w:hAnsiTheme="minorHAnsi"/>
          <w:bCs/>
          <w:sz w:val="22"/>
          <w:szCs w:val="22"/>
        </w:rPr>
        <w:t xml:space="preserve">with </w:t>
      </w:r>
      <w:r w:rsidR="005F1844">
        <w:rPr>
          <w:rFonts w:asciiTheme="minorHAnsi" w:hAnsiTheme="minorHAnsi"/>
          <w:bCs/>
          <w:sz w:val="22"/>
          <w:szCs w:val="22"/>
        </w:rPr>
        <w:t xml:space="preserve">a </w:t>
      </w:r>
      <w:r w:rsidR="008B4CE0">
        <w:rPr>
          <w:rFonts w:asciiTheme="minorHAnsi" w:hAnsiTheme="minorHAnsi"/>
          <w:bCs/>
          <w:sz w:val="22"/>
          <w:szCs w:val="22"/>
        </w:rPr>
        <w:t>consequent reduction in prices</w:t>
      </w:r>
      <w:r w:rsidR="005F1844">
        <w:rPr>
          <w:rFonts w:asciiTheme="minorHAnsi" w:hAnsiTheme="minorHAnsi"/>
          <w:bCs/>
          <w:sz w:val="22"/>
          <w:szCs w:val="22"/>
        </w:rPr>
        <w:t xml:space="preserve"> and disruption to market arrangements</w:t>
      </w:r>
      <w:r w:rsidR="008B4CE0">
        <w:rPr>
          <w:rFonts w:asciiTheme="minorHAnsi" w:hAnsiTheme="minorHAnsi"/>
          <w:bCs/>
          <w:sz w:val="22"/>
          <w:szCs w:val="22"/>
        </w:rPr>
        <w:t xml:space="preserve"> </w:t>
      </w:r>
      <w:r>
        <w:rPr>
          <w:rFonts w:asciiTheme="minorHAnsi" w:hAnsiTheme="minorHAnsi"/>
          <w:bCs/>
          <w:sz w:val="22"/>
          <w:szCs w:val="22"/>
        </w:rPr>
        <w:t xml:space="preserve">(ABARE, 1988). Dum75 takes the value one from 1975 to 1978 inclusive, and zero otherwise. </w:t>
      </w:r>
    </w:p>
    <w:p w14:paraId="072E88FB" w14:textId="77777777" w:rsidR="00F2319C" w:rsidRDefault="00F2319C" w:rsidP="00C61C20">
      <w:pPr>
        <w:pStyle w:val="Heading2"/>
        <w:tabs>
          <w:tab w:val="left" w:pos="488"/>
        </w:tabs>
        <w:ind w:left="0" w:firstLine="0"/>
        <w:jc w:val="both"/>
        <w:rPr>
          <w:rFonts w:asciiTheme="minorHAnsi" w:hAnsiTheme="minorHAnsi"/>
          <w:bCs/>
          <w:sz w:val="22"/>
          <w:szCs w:val="22"/>
        </w:rPr>
      </w:pPr>
    </w:p>
    <w:p w14:paraId="1BA3071E" w14:textId="1E3FE093" w:rsidR="00F763D9" w:rsidRDefault="00702AE2" w:rsidP="00C61C20">
      <w:pPr>
        <w:pStyle w:val="Heading2"/>
        <w:tabs>
          <w:tab w:val="left" w:pos="488"/>
        </w:tabs>
        <w:ind w:left="0" w:firstLine="0"/>
        <w:jc w:val="both"/>
        <w:rPr>
          <w:rFonts w:asciiTheme="minorHAnsi" w:hAnsiTheme="minorHAnsi"/>
          <w:bCs/>
          <w:sz w:val="22"/>
          <w:szCs w:val="22"/>
        </w:rPr>
      </w:pPr>
      <w:r>
        <w:rPr>
          <w:rFonts w:asciiTheme="minorHAnsi" w:hAnsiTheme="minorHAnsi"/>
          <w:bCs/>
          <w:sz w:val="22"/>
          <w:szCs w:val="22"/>
        </w:rPr>
        <w:t xml:space="preserve">Dum95 and Dum07 apply to all </w:t>
      </w:r>
      <w:r w:rsidR="00FE1B53">
        <w:rPr>
          <w:rFonts w:asciiTheme="minorHAnsi" w:hAnsiTheme="minorHAnsi"/>
          <w:bCs/>
          <w:sz w:val="22"/>
          <w:szCs w:val="22"/>
        </w:rPr>
        <w:t>four</w:t>
      </w:r>
      <w:r>
        <w:rPr>
          <w:rFonts w:asciiTheme="minorHAnsi" w:hAnsiTheme="minorHAnsi"/>
          <w:bCs/>
          <w:sz w:val="22"/>
          <w:szCs w:val="22"/>
        </w:rPr>
        <w:t xml:space="preserve"> meat types, Dum</w:t>
      </w:r>
      <w:r w:rsidR="00544996">
        <w:rPr>
          <w:rFonts w:asciiTheme="minorHAnsi" w:hAnsiTheme="minorHAnsi"/>
          <w:bCs/>
          <w:sz w:val="22"/>
          <w:szCs w:val="22"/>
        </w:rPr>
        <w:t>9</w:t>
      </w:r>
      <w:r>
        <w:rPr>
          <w:rFonts w:asciiTheme="minorHAnsi" w:hAnsiTheme="minorHAnsi"/>
          <w:bCs/>
          <w:sz w:val="22"/>
          <w:szCs w:val="22"/>
        </w:rPr>
        <w:t xml:space="preserve">0 applies </w:t>
      </w:r>
      <w:r w:rsidR="005F1844">
        <w:rPr>
          <w:rFonts w:asciiTheme="minorHAnsi" w:hAnsiTheme="minorHAnsi"/>
          <w:bCs/>
          <w:sz w:val="22"/>
          <w:szCs w:val="22"/>
        </w:rPr>
        <w:t>specifically</w:t>
      </w:r>
      <w:r>
        <w:rPr>
          <w:rFonts w:asciiTheme="minorHAnsi" w:hAnsiTheme="minorHAnsi"/>
          <w:bCs/>
          <w:sz w:val="22"/>
          <w:szCs w:val="22"/>
        </w:rPr>
        <w:t xml:space="preserve"> to pig meat</w:t>
      </w:r>
      <w:r w:rsidR="00544996">
        <w:rPr>
          <w:rFonts w:asciiTheme="minorHAnsi" w:hAnsiTheme="minorHAnsi"/>
          <w:bCs/>
          <w:sz w:val="22"/>
          <w:szCs w:val="22"/>
        </w:rPr>
        <w:t xml:space="preserve">, Dum75 applies </w:t>
      </w:r>
      <w:r w:rsidR="005F1844">
        <w:rPr>
          <w:rFonts w:asciiTheme="minorHAnsi" w:hAnsiTheme="minorHAnsi"/>
          <w:bCs/>
          <w:sz w:val="22"/>
          <w:szCs w:val="22"/>
        </w:rPr>
        <w:t>specifically</w:t>
      </w:r>
      <w:r w:rsidR="00544996">
        <w:rPr>
          <w:rFonts w:asciiTheme="minorHAnsi" w:hAnsiTheme="minorHAnsi"/>
          <w:bCs/>
          <w:sz w:val="22"/>
          <w:szCs w:val="22"/>
        </w:rPr>
        <w:t xml:space="preserve"> to beef</w:t>
      </w:r>
      <w:r>
        <w:rPr>
          <w:rFonts w:asciiTheme="minorHAnsi" w:hAnsiTheme="minorHAnsi"/>
          <w:bCs/>
          <w:sz w:val="22"/>
          <w:szCs w:val="22"/>
        </w:rPr>
        <w:t xml:space="preserve"> and Dum11 applies </w:t>
      </w:r>
      <w:r w:rsidR="005F1844">
        <w:rPr>
          <w:rFonts w:asciiTheme="minorHAnsi" w:hAnsiTheme="minorHAnsi"/>
          <w:bCs/>
          <w:sz w:val="22"/>
          <w:szCs w:val="22"/>
        </w:rPr>
        <w:t>specifically</w:t>
      </w:r>
      <w:r>
        <w:rPr>
          <w:rFonts w:asciiTheme="minorHAnsi" w:hAnsiTheme="minorHAnsi"/>
          <w:bCs/>
          <w:sz w:val="22"/>
          <w:szCs w:val="22"/>
        </w:rPr>
        <w:t xml:space="preserve"> to beef and lamb</w:t>
      </w:r>
      <w:r w:rsidR="005F1844">
        <w:rPr>
          <w:rFonts w:asciiTheme="minorHAnsi" w:hAnsiTheme="minorHAnsi"/>
          <w:bCs/>
          <w:sz w:val="22"/>
          <w:szCs w:val="22"/>
        </w:rPr>
        <w:t>, although of course there may well be spillover impacts onto related markets</w:t>
      </w:r>
      <w:r>
        <w:rPr>
          <w:rFonts w:asciiTheme="minorHAnsi" w:hAnsiTheme="minorHAnsi"/>
          <w:bCs/>
          <w:sz w:val="22"/>
          <w:szCs w:val="22"/>
        </w:rPr>
        <w:t>.</w:t>
      </w:r>
      <w:r w:rsidR="005F1844">
        <w:rPr>
          <w:rFonts w:asciiTheme="minorHAnsi" w:hAnsiTheme="minorHAnsi"/>
          <w:bCs/>
          <w:sz w:val="22"/>
          <w:szCs w:val="22"/>
        </w:rPr>
        <w:t xml:space="preserve"> These potential spillovers are tested in </w:t>
      </w:r>
      <w:proofErr w:type="gramStart"/>
      <w:r w:rsidR="004B3351">
        <w:rPr>
          <w:rFonts w:asciiTheme="minorHAnsi" w:hAnsiTheme="minorHAnsi"/>
          <w:bCs/>
          <w:sz w:val="22"/>
          <w:szCs w:val="22"/>
        </w:rPr>
        <w:t>the econometric</w:t>
      </w:r>
      <w:proofErr w:type="gramEnd"/>
      <w:r w:rsidR="005F1844">
        <w:rPr>
          <w:rFonts w:asciiTheme="minorHAnsi" w:hAnsiTheme="minorHAnsi"/>
          <w:bCs/>
          <w:sz w:val="22"/>
          <w:szCs w:val="22"/>
        </w:rPr>
        <w:t xml:space="preserve"> </w:t>
      </w:r>
      <w:r w:rsidR="00665597">
        <w:rPr>
          <w:rFonts w:asciiTheme="minorHAnsi" w:hAnsiTheme="minorHAnsi"/>
          <w:bCs/>
          <w:sz w:val="22"/>
          <w:szCs w:val="22"/>
        </w:rPr>
        <w:t>analyses</w:t>
      </w:r>
      <w:r w:rsidR="005F1844">
        <w:rPr>
          <w:rFonts w:asciiTheme="minorHAnsi" w:hAnsiTheme="minorHAnsi"/>
          <w:bCs/>
          <w:sz w:val="22"/>
          <w:szCs w:val="22"/>
        </w:rPr>
        <w:t xml:space="preserve">. </w:t>
      </w:r>
    </w:p>
    <w:p w14:paraId="32A22FB1" w14:textId="3B863CFA" w:rsidR="00123C08" w:rsidRDefault="00123C08" w:rsidP="00C61C20">
      <w:pPr>
        <w:pStyle w:val="Heading2"/>
        <w:tabs>
          <w:tab w:val="left" w:pos="488"/>
        </w:tabs>
        <w:ind w:left="0" w:firstLine="0"/>
        <w:jc w:val="both"/>
        <w:rPr>
          <w:rFonts w:asciiTheme="minorHAnsi" w:hAnsiTheme="minorHAnsi"/>
          <w:bCs/>
          <w:sz w:val="22"/>
          <w:szCs w:val="22"/>
        </w:rPr>
      </w:pPr>
    </w:p>
    <w:p w14:paraId="541FFCF9" w14:textId="3510157E" w:rsidR="00123C08" w:rsidRPr="00661BD2" w:rsidRDefault="00123C08" w:rsidP="00123C08">
      <w:pPr>
        <w:pStyle w:val="BodyText"/>
        <w:ind w:left="0"/>
        <w:jc w:val="both"/>
        <w:rPr>
          <w:rFonts w:asciiTheme="minorHAnsi" w:hAnsiTheme="minorHAnsi"/>
          <w:sz w:val="22"/>
          <w:szCs w:val="22"/>
        </w:rPr>
      </w:pPr>
      <w:r w:rsidRPr="00661BD2">
        <w:rPr>
          <w:rFonts w:asciiTheme="minorHAnsi" w:hAnsiTheme="minorHAnsi"/>
          <w:sz w:val="22"/>
          <w:szCs w:val="22"/>
        </w:rPr>
        <w:t xml:space="preserve">Also </w:t>
      </w:r>
      <w:r w:rsidR="00D50A5C">
        <w:rPr>
          <w:rFonts w:asciiTheme="minorHAnsi" w:hAnsiTheme="minorHAnsi"/>
          <w:sz w:val="22"/>
          <w:szCs w:val="22"/>
        </w:rPr>
        <w:t>tested</w:t>
      </w:r>
      <w:r w:rsidRPr="00661BD2">
        <w:rPr>
          <w:rFonts w:asciiTheme="minorHAnsi" w:hAnsiTheme="minorHAnsi"/>
          <w:sz w:val="22"/>
          <w:szCs w:val="22"/>
        </w:rPr>
        <w:t xml:space="preserve"> as </w:t>
      </w:r>
      <w:r>
        <w:rPr>
          <w:rFonts w:asciiTheme="minorHAnsi" w:hAnsiTheme="minorHAnsi"/>
          <w:sz w:val="22"/>
          <w:szCs w:val="22"/>
        </w:rPr>
        <w:t xml:space="preserve">an alternative to the individual dummy variables </w:t>
      </w:r>
      <w:r w:rsidRPr="00661BD2">
        <w:rPr>
          <w:rFonts w:asciiTheme="minorHAnsi" w:hAnsiTheme="minorHAnsi"/>
          <w:sz w:val="22"/>
          <w:szCs w:val="22"/>
        </w:rPr>
        <w:t xml:space="preserve">is </w:t>
      </w:r>
      <w:r w:rsidR="00D50A5C">
        <w:rPr>
          <w:rFonts w:asciiTheme="minorHAnsi" w:hAnsiTheme="minorHAnsi"/>
          <w:sz w:val="22"/>
          <w:szCs w:val="22"/>
        </w:rPr>
        <w:t>a</w:t>
      </w:r>
      <w:r w:rsidRPr="00661BD2">
        <w:rPr>
          <w:rFonts w:asciiTheme="minorHAnsi" w:hAnsiTheme="minorHAnsi"/>
          <w:spacing w:val="-7"/>
          <w:sz w:val="22"/>
          <w:szCs w:val="22"/>
        </w:rPr>
        <w:t xml:space="preserve"> </w:t>
      </w:r>
      <w:r w:rsidR="00665597">
        <w:rPr>
          <w:rFonts w:asciiTheme="minorHAnsi" w:hAnsiTheme="minorHAnsi"/>
          <w:spacing w:val="-7"/>
          <w:sz w:val="22"/>
          <w:szCs w:val="22"/>
        </w:rPr>
        <w:t xml:space="preserve">generic </w:t>
      </w:r>
      <w:r w:rsidRPr="00661BD2">
        <w:rPr>
          <w:rFonts w:asciiTheme="minorHAnsi" w:hAnsiTheme="minorHAnsi"/>
          <w:sz w:val="22"/>
          <w:szCs w:val="22"/>
        </w:rPr>
        <w:t xml:space="preserve">trend variable (TIME), which </w:t>
      </w:r>
      <w:r w:rsidR="00A42269">
        <w:rPr>
          <w:rFonts w:asciiTheme="minorHAnsi" w:hAnsiTheme="minorHAnsi"/>
          <w:sz w:val="22"/>
          <w:szCs w:val="22"/>
        </w:rPr>
        <w:t>seeks</w:t>
      </w:r>
      <w:r w:rsidRPr="00661BD2">
        <w:rPr>
          <w:rFonts w:asciiTheme="minorHAnsi" w:hAnsiTheme="minorHAnsi"/>
          <w:sz w:val="22"/>
          <w:szCs w:val="22"/>
        </w:rPr>
        <w:t xml:space="preserve"> to </w:t>
      </w:r>
      <w:r w:rsidR="00A42269">
        <w:rPr>
          <w:rFonts w:asciiTheme="minorHAnsi" w:hAnsiTheme="minorHAnsi"/>
          <w:sz w:val="22"/>
          <w:szCs w:val="22"/>
        </w:rPr>
        <w:t>account for</w:t>
      </w:r>
      <w:r w:rsidRPr="00661BD2">
        <w:rPr>
          <w:rFonts w:asciiTheme="minorHAnsi" w:hAnsiTheme="minorHAnsi"/>
          <w:sz w:val="22"/>
          <w:szCs w:val="22"/>
        </w:rPr>
        <w:t xml:space="preserve"> some of the general structural changes</w:t>
      </w:r>
      <w:r w:rsidRPr="00661BD2">
        <w:rPr>
          <w:rFonts w:asciiTheme="minorHAnsi" w:hAnsiTheme="minorHAnsi"/>
          <w:spacing w:val="-2"/>
          <w:sz w:val="22"/>
          <w:szCs w:val="22"/>
        </w:rPr>
        <w:t xml:space="preserve"> </w:t>
      </w:r>
      <w:r w:rsidRPr="00661BD2">
        <w:rPr>
          <w:rFonts w:asciiTheme="minorHAnsi" w:hAnsiTheme="minorHAnsi"/>
          <w:sz w:val="22"/>
          <w:szCs w:val="22"/>
        </w:rPr>
        <w:t xml:space="preserve">which may have occurred throughout the agricultural and retail environments over </w:t>
      </w:r>
      <w:r w:rsidR="00D50A5C">
        <w:rPr>
          <w:rFonts w:asciiTheme="minorHAnsi" w:hAnsiTheme="minorHAnsi"/>
          <w:sz w:val="22"/>
          <w:szCs w:val="22"/>
        </w:rPr>
        <w:t xml:space="preserve">the period of the </w:t>
      </w:r>
      <w:proofErr w:type="gramStart"/>
      <w:r w:rsidR="00D50A5C">
        <w:rPr>
          <w:rFonts w:asciiTheme="minorHAnsi" w:hAnsiTheme="minorHAnsi"/>
          <w:sz w:val="22"/>
          <w:szCs w:val="22"/>
        </w:rPr>
        <w:t>data</w:t>
      </w:r>
      <w:proofErr w:type="gramEnd"/>
      <w:r w:rsidR="00DC4418">
        <w:rPr>
          <w:rFonts w:asciiTheme="minorHAnsi" w:hAnsiTheme="minorHAnsi"/>
          <w:sz w:val="22"/>
          <w:szCs w:val="22"/>
        </w:rPr>
        <w:t xml:space="preserve"> and which are not captured by the specifi</w:t>
      </w:r>
      <w:r w:rsidR="00665597">
        <w:rPr>
          <w:rFonts w:asciiTheme="minorHAnsi" w:hAnsiTheme="minorHAnsi"/>
          <w:sz w:val="22"/>
          <w:szCs w:val="22"/>
        </w:rPr>
        <w:t>ed</w:t>
      </w:r>
      <w:r w:rsidR="00DC4418">
        <w:rPr>
          <w:rFonts w:asciiTheme="minorHAnsi" w:hAnsiTheme="minorHAnsi"/>
          <w:sz w:val="22"/>
          <w:szCs w:val="22"/>
        </w:rPr>
        <w:t xml:space="preserve"> </w:t>
      </w:r>
      <w:r w:rsidR="00665597">
        <w:rPr>
          <w:rFonts w:asciiTheme="minorHAnsi" w:hAnsiTheme="minorHAnsi"/>
          <w:sz w:val="22"/>
          <w:szCs w:val="22"/>
        </w:rPr>
        <w:t xml:space="preserve">individual </w:t>
      </w:r>
      <w:r w:rsidR="00DC4418">
        <w:rPr>
          <w:rFonts w:asciiTheme="minorHAnsi" w:hAnsiTheme="minorHAnsi"/>
          <w:sz w:val="22"/>
          <w:szCs w:val="22"/>
        </w:rPr>
        <w:t>dummy variables</w:t>
      </w:r>
      <w:r w:rsidRPr="00661BD2">
        <w:rPr>
          <w:rFonts w:asciiTheme="minorHAnsi" w:hAnsiTheme="minorHAnsi"/>
          <w:sz w:val="22"/>
          <w:szCs w:val="22"/>
        </w:rPr>
        <w:t>.</w:t>
      </w:r>
      <w:r w:rsidR="00DC4418">
        <w:rPr>
          <w:rFonts w:asciiTheme="minorHAnsi" w:hAnsiTheme="minorHAnsi"/>
          <w:sz w:val="22"/>
          <w:szCs w:val="22"/>
        </w:rPr>
        <w:t xml:space="preserve"> Changes in the quality of meat products, such as the gradual evolution of M</w:t>
      </w:r>
      <w:r w:rsidR="008B4CE0">
        <w:rPr>
          <w:rFonts w:asciiTheme="minorHAnsi" w:hAnsiTheme="minorHAnsi"/>
          <w:sz w:val="22"/>
          <w:szCs w:val="22"/>
        </w:rPr>
        <w:t xml:space="preserve">eat </w:t>
      </w:r>
      <w:r w:rsidR="00DC4418">
        <w:rPr>
          <w:rFonts w:asciiTheme="minorHAnsi" w:hAnsiTheme="minorHAnsi"/>
          <w:sz w:val="22"/>
          <w:szCs w:val="22"/>
        </w:rPr>
        <w:t>S</w:t>
      </w:r>
      <w:r w:rsidR="008B4CE0">
        <w:rPr>
          <w:rFonts w:asciiTheme="minorHAnsi" w:hAnsiTheme="minorHAnsi"/>
          <w:sz w:val="22"/>
          <w:szCs w:val="22"/>
        </w:rPr>
        <w:t xml:space="preserve">tandards </w:t>
      </w:r>
      <w:r w:rsidR="00DC4418">
        <w:rPr>
          <w:rFonts w:asciiTheme="minorHAnsi" w:hAnsiTheme="minorHAnsi"/>
          <w:sz w:val="22"/>
          <w:szCs w:val="22"/>
        </w:rPr>
        <w:t>A</w:t>
      </w:r>
      <w:r w:rsidR="008B4CE0">
        <w:rPr>
          <w:rFonts w:asciiTheme="minorHAnsi" w:hAnsiTheme="minorHAnsi"/>
          <w:sz w:val="22"/>
          <w:szCs w:val="22"/>
        </w:rPr>
        <w:t>ustralia</w:t>
      </w:r>
      <w:r w:rsidR="00665597">
        <w:rPr>
          <w:rFonts w:asciiTheme="minorHAnsi" w:hAnsiTheme="minorHAnsi"/>
          <w:sz w:val="22"/>
          <w:szCs w:val="22"/>
        </w:rPr>
        <w:t xml:space="preserve"> over the past 25 years</w:t>
      </w:r>
      <w:r w:rsidR="00DC4418">
        <w:rPr>
          <w:rFonts w:asciiTheme="minorHAnsi" w:hAnsiTheme="minorHAnsi"/>
          <w:sz w:val="22"/>
          <w:szCs w:val="22"/>
        </w:rPr>
        <w:t xml:space="preserve">, </w:t>
      </w:r>
      <w:r w:rsidR="00665597">
        <w:rPr>
          <w:rFonts w:asciiTheme="minorHAnsi" w:hAnsiTheme="minorHAnsi"/>
          <w:sz w:val="22"/>
          <w:szCs w:val="22"/>
        </w:rPr>
        <w:t>is</w:t>
      </w:r>
      <w:r w:rsidR="00DC4418">
        <w:rPr>
          <w:rFonts w:asciiTheme="minorHAnsi" w:hAnsiTheme="minorHAnsi"/>
          <w:sz w:val="22"/>
          <w:szCs w:val="22"/>
        </w:rPr>
        <w:t xml:space="preserve"> one such </w:t>
      </w:r>
      <w:r w:rsidR="00F26E69">
        <w:rPr>
          <w:rFonts w:asciiTheme="minorHAnsi" w:hAnsiTheme="minorHAnsi"/>
          <w:sz w:val="22"/>
          <w:szCs w:val="22"/>
        </w:rPr>
        <w:t>example</w:t>
      </w:r>
      <w:r w:rsidR="00DC4418">
        <w:rPr>
          <w:rFonts w:asciiTheme="minorHAnsi" w:hAnsiTheme="minorHAnsi"/>
          <w:sz w:val="22"/>
          <w:szCs w:val="22"/>
        </w:rPr>
        <w:t>.</w:t>
      </w:r>
    </w:p>
    <w:p w14:paraId="5362F23E" w14:textId="77777777" w:rsidR="00665597" w:rsidRDefault="00665597" w:rsidP="00C61C20">
      <w:pPr>
        <w:pStyle w:val="Heading2"/>
        <w:tabs>
          <w:tab w:val="left" w:pos="488"/>
        </w:tabs>
        <w:ind w:left="0" w:firstLine="0"/>
        <w:jc w:val="both"/>
        <w:rPr>
          <w:rFonts w:asciiTheme="minorHAnsi" w:hAnsiTheme="minorHAnsi"/>
          <w:b/>
          <w:sz w:val="22"/>
          <w:szCs w:val="22"/>
        </w:rPr>
      </w:pPr>
    </w:p>
    <w:p w14:paraId="66B4CFE2" w14:textId="2320194F" w:rsidR="004806F6" w:rsidRPr="00814BDF" w:rsidRDefault="00814BDF" w:rsidP="00C61C20">
      <w:pPr>
        <w:pStyle w:val="Heading2"/>
        <w:tabs>
          <w:tab w:val="left" w:pos="488"/>
        </w:tabs>
        <w:ind w:left="0" w:firstLine="0"/>
        <w:jc w:val="both"/>
        <w:rPr>
          <w:rFonts w:asciiTheme="minorHAnsi" w:hAnsiTheme="minorHAnsi"/>
          <w:b/>
          <w:sz w:val="22"/>
          <w:szCs w:val="22"/>
        </w:rPr>
      </w:pPr>
      <w:r w:rsidRPr="00814BDF">
        <w:rPr>
          <w:rFonts w:asciiTheme="minorHAnsi" w:hAnsiTheme="minorHAnsi"/>
          <w:b/>
          <w:sz w:val="22"/>
          <w:szCs w:val="22"/>
        </w:rPr>
        <w:t>Estimation techniques</w:t>
      </w:r>
      <w:r w:rsidR="004F68AE">
        <w:rPr>
          <w:rFonts w:asciiTheme="minorHAnsi" w:hAnsiTheme="minorHAnsi"/>
          <w:b/>
          <w:sz w:val="22"/>
          <w:szCs w:val="22"/>
        </w:rPr>
        <w:t xml:space="preserve"> </w:t>
      </w:r>
    </w:p>
    <w:p w14:paraId="41980517" w14:textId="77777777" w:rsidR="004806F6" w:rsidRPr="00661BD2" w:rsidRDefault="004806F6" w:rsidP="00661BD2">
      <w:pPr>
        <w:jc w:val="both"/>
        <w:rPr>
          <w:rFonts w:eastAsia="Calibri" w:cs="Calibri"/>
        </w:rPr>
      </w:pPr>
    </w:p>
    <w:p w14:paraId="282BB9BC" w14:textId="0DDFE143" w:rsidR="004F68AE" w:rsidRDefault="00363ED8" w:rsidP="00661BD2">
      <w:pPr>
        <w:pStyle w:val="BodyText"/>
        <w:ind w:left="0"/>
        <w:jc w:val="both"/>
        <w:rPr>
          <w:rFonts w:asciiTheme="minorHAnsi" w:hAnsiTheme="minorHAnsi"/>
          <w:sz w:val="22"/>
          <w:szCs w:val="22"/>
        </w:rPr>
      </w:pPr>
      <w:proofErr w:type="gramStart"/>
      <w:r w:rsidRPr="00661BD2">
        <w:rPr>
          <w:rFonts w:asciiTheme="minorHAnsi" w:hAnsiTheme="minorHAnsi"/>
          <w:sz w:val="22"/>
          <w:szCs w:val="22"/>
        </w:rPr>
        <w:t xml:space="preserve">A </w:t>
      </w:r>
      <w:r w:rsidR="003E0A9E">
        <w:rPr>
          <w:rFonts w:asciiTheme="minorHAnsi" w:hAnsiTheme="minorHAnsi"/>
          <w:sz w:val="22"/>
          <w:szCs w:val="22"/>
        </w:rPr>
        <w:t>number of</w:t>
      </w:r>
      <w:proofErr w:type="gramEnd"/>
      <w:r w:rsidR="003E0A9E">
        <w:rPr>
          <w:rFonts w:asciiTheme="minorHAnsi" w:hAnsiTheme="minorHAnsi"/>
          <w:sz w:val="22"/>
          <w:szCs w:val="22"/>
        </w:rPr>
        <w:t xml:space="preserve"> </w:t>
      </w:r>
      <w:r w:rsidRPr="00661BD2">
        <w:rPr>
          <w:rFonts w:asciiTheme="minorHAnsi" w:hAnsiTheme="minorHAnsi"/>
          <w:sz w:val="22"/>
          <w:szCs w:val="22"/>
        </w:rPr>
        <w:t>linear</w:t>
      </w:r>
      <w:r w:rsidR="003E0A9E">
        <w:rPr>
          <w:rFonts w:asciiTheme="minorHAnsi" w:hAnsiTheme="minorHAnsi"/>
          <w:sz w:val="22"/>
          <w:szCs w:val="22"/>
        </w:rPr>
        <w:t xml:space="preserve"> and</w:t>
      </w:r>
      <w:r w:rsidRPr="00661BD2">
        <w:rPr>
          <w:rFonts w:asciiTheme="minorHAnsi" w:hAnsiTheme="minorHAnsi"/>
          <w:sz w:val="22"/>
          <w:szCs w:val="22"/>
        </w:rPr>
        <w:t xml:space="preserve"> non-linear </w:t>
      </w:r>
      <w:r w:rsidR="003E0A9E">
        <w:rPr>
          <w:rFonts w:asciiTheme="minorHAnsi" w:hAnsiTheme="minorHAnsi"/>
          <w:sz w:val="22"/>
          <w:szCs w:val="22"/>
        </w:rPr>
        <w:t xml:space="preserve">single equation models </w:t>
      </w:r>
      <w:r w:rsidRPr="00661BD2">
        <w:rPr>
          <w:rFonts w:asciiTheme="minorHAnsi" w:hAnsiTheme="minorHAnsi"/>
          <w:sz w:val="22"/>
          <w:szCs w:val="22"/>
        </w:rPr>
        <w:t xml:space="preserve">and seemingly unrelated regression </w:t>
      </w:r>
      <w:r w:rsidR="00D50A5C">
        <w:rPr>
          <w:rFonts w:asciiTheme="minorHAnsi" w:hAnsiTheme="minorHAnsi"/>
          <w:sz w:val="22"/>
          <w:szCs w:val="22"/>
        </w:rPr>
        <w:t xml:space="preserve">(SUR) </w:t>
      </w:r>
      <w:r w:rsidR="00A42269">
        <w:rPr>
          <w:rFonts w:asciiTheme="minorHAnsi" w:hAnsiTheme="minorHAnsi"/>
          <w:sz w:val="22"/>
          <w:szCs w:val="22"/>
        </w:rPr>
        <w:t xml:space="preserve">models </w:t>
      </w:r>
      <w:r w:rsidRPr="00661BD2">
        <w:rPr>
          <w:rFonts w:asciiTheme="minorHAnsi" w:hAnsiTheme="minorHAnsi"/>
          <w:sz w:val="22"/>
          <w:szCs w:val="22"/>
        </w:rPr>
        <w:t>were developed</w:t>
      </w:r>
      <w:r w:rsidRPr="00661BD2">
        <w:rPr>
          <w:rFonts w:asciiTheme="minorHAnsi" w:hAnsiTheme="minorHAnsi"/>
          <w:spacing w:val="-4"/>
          <w:sz w:val="22"/>
          <w:szCs w:val="22"/>
        </w:rPr>
        <w:t xml:space="preserve"> </w:t>
      </w:r>
      <w:r w:rsidRPr="00661BD2">
        <w:rPr>
          <w:rFonts w:asciiTheme="minorHAnsi" w:hAnsiTheme="minorHAnsi"/>
          <w:sz w:val="22"/>
          <w:szCs w:val="22"/>
        </w:rPr>
        <w:t xml:space="preserve">to estimate </w:t>
      </w:r>
      <w:r w:rsidR="003E0A9E">
        <w:rPr>
          <w:rFonts w:asciiTheme="minorHAnsi" w:hAnsiTheme="minorHAnsi"/>
          <w:sz w:val="22"/>
          <w:szCs w:val="22"/>
        </w:rPr>
        <w:t xml:space="preserve">equation </w:t>
      </w:r>
      <w:r w:rsidRPr="00661BD2">
        <w:rPr>
          <w:rFonts w:asciiTheme="minorHAnsi" w:hAnsiTheme="minorHAnsi"/>
          <w:sz w:val="22"/>
          <w:szCs w:val="22"/>
        </w:rPr>
        <w:t>(1), using the statistical package TSP Version 4.5 (</w:t>
      </w:r>
      <w:r w:rsidR="0090198C">
        <w:rPr>
          <w:rFonts w:asciiTheme="minorHAnsi" w:hAnsiTheme="minorHAnsi"/>
          <w:sz w:val="22"/>
          <w:szCs w:val="22"/>
        </w:rPr>
        <w:t xml:space="preserve">Hall </w:t>
      </w:r>
      <w:r w:rsidR="0090198C">
        <w:rPr>
          <w:rFonts w:asciiTheme="minorHAnsi" w:hAnsiTheme="minorHAnsi"/>
          <w:sz w:val="22"/>
          <w:szCs w:val="22"/>
        </w:rPr>
        <w:lastRenderedPageBreak/>
        <w:t xml:space="preserve">and Cummins, </w:t>
      </w:r>
      <w:r w:rsidRPr="00661BD2">
        <w:rPr>
          <w:rFonts w:asciiTheme="minorHAnsi" w:hAnsiTheme="minorHAnsi"/>
          <w:sz w:val="22"/>
          <w:szCs w:val="22"/>
        </w:rPr>
        <w:t xml:space="preserve">2003). </w:t>
      </w:r>
      <w:r w:rsidR="00063C90">
        <w:rPr>
          <w:rFonts w:asciiTheme="minorHAnsi" w:hAnsiTheme="minorHAnsi"/>
          <w:sz w:val="22"/>
          <w:szCs w:val="22"/>
        </w:rPr>
        <w:t xml:space="preserve">The standard single equation regression procedure in TSP is OLSQ, which provides </w:t>
      </w:r>
      <w:proofErr w:type="gramStart"/>
      <w:r w:rsidR="00063C90">
        <w:rPr>
          <w:rFonts w:asciiTheme="minorHAnsi" w:hAnsiTheme="minorHAnsi"/>
          <w:sz w:val="22"/>
          <w:szCs w:val="22"/>
        </w:rPr>
        <w:t>least</w:t>
      </w:r>
      <w:proofErr w:type="gramEnd"/>
      <w:r w:rsidR="00063C90">
        <w:rPr>
          <w:rFonts w:asciiTheme="minorHAnsi" w:hAnsiTheme="minorHAnsi"/>
          <w:sz w:val="22"/>
          <w:szCs w:val="22"/>
        </w:rPr>
        <w:t xml:space="preserve"> squares estimates of the coefficients of a </w:t>
      </w:r>
      <w:r w:rsidR="00EF1C25">
        <w:rPr>
          <w:rFonts w:asciiTheme="minorHAnsi" w:hAnsiTheme="minorHAnsi"/>
          <w:sz w:val="22"/>
          <w:szCs w:val="22"/>
        </w:rPr>
        <w:t xml:space="preserve">linear </w:t>
      </w:r>
      <w:r w:rsidR="00063C90">
        <w:rPr>
          <w:rFonts w:asciiTheme="minorHAnsi" w:hAnsiTheme="minorHAnsi"/>
          <w:sz w:val="22"/>
          <w:szCs w:val="22"/>
        </w:rPr>
        <w:t>regression of a</w:t>
      </w:r>
      <w:r w:rsidR="00486BF6">
        <w:rPr>
          <w:rFonts w:asciiTheme="minorHAnsi" w:hAnsiTheme="minorHAnsi"/>
          <w:sz w:val="22"/>
          <w:szCs w:val="22"/>
        </w:rPr>
        <w:t xml:space="preserve">n individual </w:t>
      </w:r>
      <w:r w:rsidR="00063C90">
        <w:rPr>
          <w:rFonts w:asciiTheme="minorHAnsi" w:hAnsiTheme="minorHAnsi"/>
          <w:sz w:val="22"/>
          <w:szCs w:val="22"/>
        </w:rPr>
        <w:t xml:space="preserve">dependent variable on a set of independent variables. </w:t>
      </w:r>
      <w:r w:rsidR="00EF1C25">
        <w:rPr>
          <w:rFonts w:asciiTheme="minorHAnsi" w:hAnsiTheme="minorHAnsi"/>
          <w:sz w:val="22"/>
          <w:szCs w:val="22"/>
        </w:rPr>
        <w:t xml:space="preserve">An alternate single equation estimator is LSQ, which estimates the same set of coefficients using a </w:t>
      </w:r>
      <w:r w:rsidR="00FE1B53">
        <w:rPr>
          <w:rFonts w:asciiTheme="minorHAnsi" w:hAnsiTheme="minorHAnsi"/>
          <w:sz w:val="22"/>
          <w:szCs w:val="22"/>
        </w:rPr>
        <w:t>general-purpose</w:t>
      </w:r>
      <w:r w:rsidR="00EF1C25">
        <w:rPr>
          <w:rFonts w:asciiTheme="minorHAnsi" w:hAnsiTheme="minorHAnsi"/>
          <w:sz w:val="22"/>
          <w:szCs w:val="22"/>
        </w:rPr>
        <w:t xml:space="preserve"> maximum likelihood estimation procedure. </w:t>
      </w:r>
      <w:r w:rsidR="00665597">
        <w:rPr>
          <w:rFonts w:asciiTheme="minorHAnsi" w:hAnsiTheme="minorHAnsi"/>
          <w:sz w:val="22"/>
          <w:szCs w:val="22"/>
        </w:rPr>
        <w:t>LSQ</w:t>
      </w:r>
      <w:r w:rsidR="00EF1C25">
        <w:rPr>
          <w:rFonts w:asciiTheme="minorHAnsi" w:hAnsiTheme="minorHAnsi"/>
          <w:sz w:val="22"/>
          <w:szCs w:val="22"/>
        </w:rPr>
        <w:t xml:space="preserve"> is particularly useful if non-linear restrictions on some coefficients are required. </w:t>
      </w:r>
    </w:p>
    <w:p w14:paraId="66D815A1" w14:textId="77777777" w:rsidR="004F68AE" w:rsidRDefault="004F68AE" w:rsidP="00661BD2">
      <w:pPr>
        <w:pStyle w:val="BodyText"/>
        <w:ind w:left="0"/>
        <w:jc w:val="both"/>
        <w:rPr>
          <w:rFonts w:asciiTheme="minorHAnsi" w:hAnsiTheme="minorHAnsi"/>
          <w:sz w:val="22"/>
          <w:szCs w:val="22"/>
        </w:rPr>
      </w:pPr>
    </w:p>
    <w:p w14:paraId="539C4A1E" w14:textId="36D59B41" w:rsidR="003E0A9E" w:rsidRDefault="00EF1C25" w:rsidP="00661BD2">
      <w:pPr>
        <w:pStyle w:val="BodyText"/>
        <w:ind w:left="0"/>
        <w:jc w:val="both"/>
        <w:rPr>
          <w:rFonts w:asciiTheme="minorHAnsi" w:hAnsiTheme="minorHAnsi"/>
          <w:sz w:val="22"/>
          <w:szCs w:val="22"/>
        </w:rPr>
      </w:pPr>
      <w:r>
        <w:rPr>
          <w:rFonts w:asciiTheme="minorHAnsi" w:hAnsiTheme="minorHAnsi"/>
          <w:sz w:val="22"/>
          <w:szCs w:val="22"/>
        </w:rPr>
        <w:t xml:space="preserve">Finally, </w:t>
      </w:r>
      <w:r w:rsidR="00D50A5C">
        <w:rPr>
          <w:rFonts w:asciiTheme="minorHAnsi" w:hAnsiTheme="minorHAnsi"/>
          <w:sz w:val="22"/>
          <w:szCs w:val="22"/>
        </w:rPr>
        <w:t xml:space="preserve">the </w:t>
      </w:r>
      <w:r>
        <w:rPr>
          <w:rFonts w:asciiTheme="minorHAnsi" w:hAnsiTheme="minorHAnsi"/>
          <w:sz w:val="22"/>
          <w:szCs w:val="22"/>
        </w:rPr>
        <w:t>SUR procedure is also used</w:t>
      </w:r>
      <w:r w:rsidR="00E9719A">
        <w:rPr>
          <w:rFonts w:asciiTheme="minorHAnsi" w:hAnsiTheme="minorHAnsi"/>
          <w:sz w:val="22"/>
          <w:szCs w:val="22"/>
        </w:rPr>
        <w:t xml:space="preserve"> where </w:t>
      </w:r>
      <w:proofErr w:type="gramStart"/>
      <w:r>
        <w:rPr>
          <w:rFonts w:asciiTheme="minorHAnsi" w:hAnsiTheme="minorHAnsi"/>
          <w:sz w:val="22"/>
          <w:szCs w:val="22"/>
        </w:rPr>
        <w:t>a number of</w:t>
      </w:r>
      <w:proofErr w:type="gramEnd"/>
      <w:r>
        <w:rPr>
          <w:rFonts w:asciiTheme="minorHAnsi" w:hAnsiTheme="minorHAnsi"/>
          <w:sz w:val="22"/>
          <w:szCs w:val="22"/>
        </w:rPr>
        <w:t xml:space="preserve"> LSQ equations are jointly estimated </w:t>
      </w:r>
      <w:proofErr w:type="gramStart"/>
      <w:r>
        <w:rPr>
          <w:rFonts w:asciiTheme="minorHAnsi" w:hAnsiTheme="minorHAnsi"/>
          <w:sz w:val="22"/>
          <w:szCs w:val="22"/>
        </w:rPr>
        <w:t>so as to</w:t>
      </w:r>
      <w:proofErr w:type="gramEnd"/>
      <w:r>
        <w:rPr>
          <w:rFonts w:asciiTheme="minorHAnsi" w:hAnsiTheme="minorHAnsi"/>
          <w:sz w:val="22"/>
          <w:szCs w:val="22"/>
        </w:rPr>
        <w:t xml:space="preserve"> test whether the disturbance terms across </w:t>
      </w:r>
      <w:r w:rsidR="00E9719A">
        <w:rPr>
          <w:rFonts w:asciiTheme="minorHAnsi" w:hAnsiTheme="minorHAnsi"/>
          <w:sz w:val="22"/>
          <w:szCs w:val="22"/>
        </w:rPr>
        <w:t xml:space="preserve">these </w:t>
      </w:r>
      <w:r>
        <w:rPr>
          <w:rFonts w:asciiTheme="minorHAnsi" w:hAnsiTheme="minorHAnsi"/>
          <w:sz w:val="22"/>
          <w:szCs w:val="22"/>
        </w:rPr>
        <w:t xml:space="preserve">equations are inter-related. It is often used when a set of similar equations is being </w:t>
      </w:r>
      <w:proofErr w:type="gramStart"/>
      <w:r>
        <w:rPr>
          <w:rFonts w:asciiTheme="minorHAnsi" w:hAnsiTheme="minorHAnsi"/>
          <w:sz w:val="22"/>
          <w:szCs w:val="22"/>
        </w:rPr>
        <w:t>estimated</w:t>
      </w:r>
      <w:proofErr w:type="gramEnd"/>
      <w:r>
        <w:rPr>
          <w:rFonts w:asciiTheme="minorHAnsi" w:hAnsiTheme="minorHAnsi"/>
          <w:sz w:val="22"/>
          <w:szCs w:val="22"/>
        </w:rPr>
        <w:t xml:space="preserve"> and it is likely that decision makers would account for the joint effects of all equations. A set of per capita meat demand equations is often used </w:t>
      </w:r>
      <w:r w:rsidR="00D50A5C">
        <w:rPr>
          <w:rFonts w:asciiTheme="minorHAnsi" w:hAnsiTheme="minorHAnsi"/>
          <w:sz w:val="22"/>
          <w:szCs w:val="22"/>
        </w:rPr>
        <w:t xml:space="preserve">as an </w:t>
      </w:r>
      <w:r>
        <w:rPr>
          <w:rFonts w:asciiTheme="minorHAnsi" w:hAnsiTheme="minorHAnsi"/>
          <w:sz w:val="22"/>
          <w:szCs w:val="22"/>
        </w:rPr>
        <w:t>example of a SUR system.</w:t>
      </w:r>
      <w:r w:rsidR="00123C08">
        <w:rPr>
          <w:rFonts w:asciiTheme="minorHAnsi" w:hAnsiTheme="minorHAnsi"/>
          <w:sz w:val="22"/>
          <w:szCs w:val="22"/>
        </w:rPr>
        <w:t xml:space="preserve"> </w:t>
      </w:r>
      <w:r w:rsidR="00123C08" w:rsidRPr="00661BD2">
        <w:rPr>
          <w:rFonts w:asciiTheme="minorHAnsi" w:hAnsiTheme="minorHAnsi"/>
          <w:sz w:val="22"/>
          <w:szCs w:val="22"/>
        </w:rPr>
        <w:t xml:space="preserve">Hyde </w:t>
      </w:r>
      <w:r w:rsidR="00123C08">
        <w:rPr>
          <w:rFonts w:asciiTheme="minorHAnsi" w:hAnsiTheme="minorHAnsi"/>
          <w:sz w:val="22"/>
          <w:szCs w:val="22"/>
        </w:rPr>
        <w:t>and</w:t>
      </w:r>
      <w:r w:rsidR="00123C08" w:rsidRPr="00661BD2">
        <w:rPr>
          <w:rFonts w:asciiTheme="minorHAnsi" w:hAnsiTheme="minorHAnsi"/>
          <w:sz w:val="22"/>
          <w:szCs w:val="22"/>
        </w:rPr>
        <w:t xml:space="preserve"> Perloff</w:t>
      </w:r>
      <w:r w:rsidR="00123C08">
        <w:rPr>
          <w:rFonts w:asciiTheme="minorHAnsi" w:hAnsiTheme="minorHAnsi"/>
          <w:sz w:val="22"/>
          <w:szCs w:val="22"/>
        </w:rPr>
        <w:t xml:space="preserve"> (</w:t>
      </w:r>
      <w:r w:rsidR="00123C08" w:rsidRPr="00661BD2">
        <w:rPr>
          <w:rFonts w:asciiTheme="minorHAnsi" w:hAnsiTheme="minorHAnsi"/>
          <w:sz w:val="22"/>
          <w:szCs w:val="22"/>
        </w:rPr>
        <w:t xml:space="preserve">1996) and Chung and Griffith (2009) </w:t>
      </w:r>
      <w:r w:rsidR="00F2319C">
        <w:rPr>
          <w:rFonts w:asciiTheme="minorHAnsi" w:hAnsiTheme="minorHAnsi"/>
          <w:sz w:val="22"/>
          <w:szCs w:val="22"/>
        </w:rPr>
        <w:t xml:space="preserve">also </w:t>
      </w:r>
      <w:r w:rsidR="00123C08" w:rsidRPr="00661BD2">
        <w:rPr>
          <w:rFonts w:asciiTheme="minorHAnsi" w:hAnsiTheme="minorHAnsi"/>
          <w:sz w:val="22"/>
          <w:szCs w:val="22"/>
        </w:rPr>
        <w:t>pointed out the significance of this in estimating market power</w:t>
      </w:r>
      <w:r w:rsidR="00665597">
        <w:rPr>
          <w:rFonts w:asciiTheme="minorHAnsi" w:hAnsiTheme="minorHAnsi"/>
          <w:sz w:val="22"/>
          <w:szCs w:val="22"/>
        </w:rPr>
        <w:t xml:space="preserve"> models</w:t>
      </w:r>
      <w:r w:rsidR="00123C08" w:rsidRPr="00661BD2">
        <w:rPr>
          <w:rFonts w:asciiTheme="minorHAnsi" w:hAnsiTheme="minorHAnsi"/>
          <w:sz w:val="22"/>
          <w:szCs w:val="22"/>
        </w:rPr>
        <w:t>.</w:t>
      </w:r>
      <w:r w:rsidR="00486BF6">
        <w:rPr>
          <w:rFonts w:asciiTheme="minorHAnsi" w:hAnsiTheme="minorHAnsi"/>
          <w:sz w:val="22"/>
          <w:szCs w:val="22"/>
        </w:rPr>
        <w:t xml:space="preserve"> Given that </w:t>
      </w:r>
      <w:proofErr w:type="gramStart"/>
      <w:r w:rsidR="00486BF6">
        <w:rPr>
          <w:rFonts w:asciiTheme="minorHAnsi" w:hAnsiTheme="minorHAnsi"/>
          <w:sz w:val="22"/>
          <w:szCs w:val="22"/>
        </w:rPr>
        <w:t>the majority of</w:t>
      </w:r>
      <w:proofErr w:type="gramEnd"/>
      <w:r w:rsidR="00486BF6">
        <w:rPr>
          <w:rFonts w:asciiTheme="minorHAnsi" w:hAnsiTheme="minorHAnsi"/>
          <w:sz w:val="22"/>
          <w:szCs w:val="22"/>
        </w:rPr>
        <w:t xml:space="preserve"> fresh beef, lamb, pork and chicken are offered to consumers through the </w:t>
      </w:r>
      <w:r w:rsidR="00A42269">
        <w:rPr>
          <w:rFonts w:asciiTheme="minorHAnsi" w:hAnsiTheme="minorHAnsi"/>
          <w:sz w:val="22"/>
          <w:szCs w:val="22"/>
        </w:rPr>
        <w:t xml:space="preserve">major </w:t>
      </w:r>
      <w:r w:rsidR="00486BF6">
        <w:rPr>
          <w:rFonts w:asciiTheme="minorHAnsi" w:hAnsiTheme="minorHAnsi"/>
          <w:sz w:val="22"/>
          <w:szCs w:val="22"/>
        </w:rPr>
        <w:t xml:space="preserve">supermarket chains and </w:t>
      </w:r>
      <w:r w:rsidR="00A42269">
        <w:rPr>
          <w:rFonts w:asciiTheme="minorHAnsi" w:hAnsiTheme="minorHAnsi"/>
          <w:sz w:val="22"/>
          <w:szCs w:val="22"/>
        </w:rPr>
        <w:t xml:space="preserve">that these products </w:t>
      </w:r>
      <w:r w:rsidR="00486BF6">
        <w:rPr>
          <w:rFonts w:asciiTheme="minorHAnsi" w:hAnsiTheme="minorHAnsi"/>
          <w:sz w:val="22"/>
          <w:szCs w:val="22"/>
        </w:rPr>
        <w:t xml:space="preserve">are also </w:t>
      </w:r>
      <w:r w:rsidR="00A42269">
        <w:rPr>
          <w:rFonts w:asciiTheme="minorHAnsi" w:hAnsiTheme="minorHAnsi"/>
          <w:sz w:val="22"/>
          <w:szCs w:val="22"/>
        </w:rPr>
        <w:t xml:space="preserve">close </w:t>
      </w:r>
      <w:r w:rsidR="00486BF6">
        <w:rPr>
          <w:rFonts w:asciiTheme="minorHAnsi" w:hAnsiTheme="minorHAnsi"/>
          <w:sz w:val="22"/>
          <w:szCs w:val="22"/>
        </w:rPr>
        <w:t xml:space="preserve">substitutes in demand, these four meats </w:t>
      </w:r>
      <w:proofErr w:type="gramStart"/>
      <w:r w:rsidR="00486BF6">
        <w:rPr>
          <w:rFonts w:asciiTheme="minorHAnsi" w:hAnsiTheme="minorHAnsi"/>
          <w:sz w:val="22"/>
          <w:szCs w:val="22"/>
        </w:rPr>
        <w:t>are considered to be</w:t>
      </w:r>
      <w:proofErr w:type="gramEnd"/>
      <w:r w:rsidR="00486BF6">
        <w:rPr>
          <w:rFonts w:asciiTheme="minorHAnsi" w:hAnsiTheme="minorHAnsi"/>
          <w:sz w:val="22"/>
          <w:szCs w:val="22"/>
        </w:rPr>
        <w:t xml:space="preserve"> a closely related product group and are included in the SUR system estimations.</w:t>
      </w:r>
    </w:p>
    <w:p w14:paraId="5281E489" w14:textId="77777777" w:rsidR="00486BF6" w:rsidRDefault="00486BF6" w:rsidP="00661BD2">
      <w:pPr>
        <w:pStyle w:val="BodyText"/>
        <w:ind w:left="0"/>
        <w:jc w:val="both"/>
        <w:rPr>
          <w:rFonts w:asciiTheme="minorHAnsi" w:hAnsiTheme="minorHAnsi"/>
          <w:sz w:val="22"/>
          <w:szCs w:val="22"/>
        </w:rPr>
      </w:pPr>
    </w:p>
    <w:p w14:paraId="3D5D7113" w14:textId="647CE04C" w:rsidR="004806F6" w:rsidRPr="00814BDF" w:rsidRDefault="00363ED8" w:rsidP="00C61C20">
      <w:pPr>
        <w:pStyle w:val="Heading1"/>
        <w:tabs>
          <w:tab w:val="left" w:pos="432"/>
        </w:tabs>
        <w:ind w:left="0" w:firstLine="0"/>
        <w:jc w:val="both"/>
        <w:rPr>
          <w:rFonts w:asciiTheme="minorHAnsi" w:hAnsiTheme="minorHAnsi"/>
          <w:b/>
          <w:sz w:val="24"/>
          <w:szCs w:val="24"/>
        </w:rPr>
      </w:pPr>
      <w:r w:rsidRPr="00814BDF">
        <w:rPr>
          <w:rFonts w:asciiTheme="minorHAnsi" w:hAnsiTheme="minorHAnsi"/>
          <w:b/>
          <w:sz w:val="24"/>
          <w:szCs w:val="24"/>
        </w:rPr>
        <w:t>Results</w:t>
      </w:r>
      <w:r w:rsidR="00AD67A5">
        <w:rPr>
          <w:rFonts w:asciiTheme="minorHAnsi" w:hAnsiTheme="minorHAnsi"/>
          <w:b/>
          <w:sz w:val="24"/>
          <w:szCs w:val="24"/>
        </w:rPr>
        <w:t xml:space="preserve"> </w:t>
      </w:r>
    </w:p>
    <w:p w14:paraId="44C7BDDE" w14:textId="77777777" w:rsidR="004806F6" w:rsidRPr="00661BD2" w:rsidRDefault="004806F6" w:rsidP="00661BD2">
      <w:pPr>
        <w:jc w:val="both"/>
        <w:rPr>
          <w:rFonts w:eastAsia="Calibri" w:cs="Calibri"/>
        </w:rPr>
      </w:pPr>
    </w:p>
    <w:p w14:paraId="2E3F2048" w14:textId="77777777" w:rsidR="00996A6F" w:rsidRPr="00996A6F" w:rsidRDefault="00996A6F" w:rsidP="003E0A9E">
      <w:pPr>
        <w:pStyle w:val="BodyText"/>
        <w:ind w:left="0"/>
        <w:jc w:val="both"/>
        <w:rPr>
          <w:rFonts w:asciiTheme="minorHAnsi" w:hAnsiTheme="minorHAnsi"/>
          <w:b/>
          <w:bCs/>
          <w:sz w:val="22"/>
          <w:szCs w:val="22"/>
        </w:rPr>
      </w:pPr>
      <w:r w:rsidRPr="00B73A45">
        <w:rPr>
          <w:rFonts w:asciiTheme="minorHAnsi" w:hAnsiTheme="minorHAnsi"/>
          <w:b/>
          <w:bCs/>
          <w:sz w:val="22"/>
          <w:szCs w:val="22"/>
        </w:rPr>
        <w:t>Summary statistics</w:t>
      </w:r>
    </w:p>
    <w:p w14:paraId="3E22EB35" w14:textId="77777777" w:rsidR="00996A6F" w:rsidRDefault="00996A6F" w:rsidP="003E0A9E">
      <w:pPr>
        <w:pStyle w:val="BodyText"/>
        <w:ind w:left="0"/>
        <w:jc w:val="both"/>
        <w:rPr>
          <w:rFonts w:asciiTheme="minorHAnsi" w:hAnsiTheme="minorHAnsi"/>
          <w:sz w:val="22"/>
          <w:szCs w:val="22"/>
        </w:rPr>
      </w:pPr>
    </w:p>
    <w:p w14:paraId="60B084CC" w14:textId="45155558" w:rsidR="003E0A9E" w:rsidRPr="00661BD2" w:rsidRDefault="003E0A9E" w:rsidP="003E0A9E">
      <w:pPr>
        <w:pStyle w:val="BodyText"/>
        <w:ind w:left="0"/>
        <w:jc w:val="both"/>
        <w:rPr>
          <w:rFonts w:asciiTheme="minorHAnsi" w:hAnsiTheme="minorHAnsi"/>
          <w:sz w:val="22"/>
          <w:szCs w:val="22"/>
        </w:rPr>
      </w:pPr>
      <w:r w:rsidRPr="007C26B8">
        <w:rPr>
          <w:rFonts w:asciiTheme="minorHAnsi" w:hAnsiTheme="minorHAnsi"/>
          <w:sz w:val="22"/>
          <w:szCs w:val="22"/>
        </w:rPr>
        <w:t xml:space="preserve">Summary statistics for the calculated </w:t>
      </w:r>
      <w:r w:rsidR="00D50A5C" w:rsidRPr="007C26B8">
        <w:rPr>
          <w:rFonts w:asciiTheme="minorHAnsi" w:hAnsiTheme="minorHAnsi"/>
          <w:sz w:val="22"/>
          <w:szCs w:val="22"/>
        </w:rPr>
        <w:t xml:space="preserve">real </w:t>
      </w:r>
      <w:r w:rsidR="004F68AE">
        <w:rPr>
          <w:rFonts w:asciiTheme="minorHAnsi" w:hAnsiTheme="minorHAnsi"/>
          <w:sz w:val="22"/>
          <w:szCs w:val="22"/>
        </w:rPr>
        <w:t xml:space="preserve">farm-retail </w:t>
      </w:r>
      <w:r w:rsidR="00BC67FB">
        <w:rPr>
          <w:rFonts w:asciiTheme="minorHAnsi" w:hAnsiTheme="minorHAnsi"/>
          <w:sz w:val="22"/>
          <w:szCs w:val="22"/>
        </w:rPr>
        <w:t xml:space="preserve">domestic </w:t>
      </w:r>
      <w:r w:rsidRPr="007C26B8">
        <w:rPr>
          <w:rFonts w:asciiTheme="minorHAnsi" w:hAnsiTheme="minorHAnsi"/>
          <w:sz w:val="22"/>
          <w:szCs w:val="22"/>
        </w:rPr>
        <w:t xml:space="preserve">marketing margins are given in Table </w:t>
      </w:r>
      <w:r w:rsidR="00D5452B">
        <w:rPr>
          <w:rFonts w:asciiTheme="minorHAnsi" w:hAnsiTheme="minorHAnsi"/>
          <w:sz w:val="22"/>
          <w:szCs w:val="22"/>
        </w:rPr>
        <w:t>3</w:t>
      </w:r>
      <w:r w:rsidRPr="007C26B8">
        <w:rPr>
          <w:rFonts w:asciiTheme="minorHAnsi" w:hAnsiTheme="minorHAnsi"/>
          <w:sz w:val="22"/>
          <w:szCs w:val="22"/>
        </w:rPr>
        <w:t>.</w:t>
      </w:r>
      <w:r w:rsidR="00CB2BD9" w:rsidRPr="007C26B8">
        <w:rPr>
          <w:rFonts w:asciiTheme="minorHAnsi" w:hAnsiTheme="minorHAnsi"/>
          <w:sz w:val="22"/>
          <w:szCs w:val="22"/>
        </w:rPr>
        <w:t xml:space="preserve"> The average real margins for lamb and pork are similar at around </w:t>
      </w:r>
      <w:r w:rsidR="00B976BD" w:rsidRPr="007C26B8">
        <w:rPr>
          <w:rFonts w:asciiTheme="minorHAnsi" w:hAnsiTheme="minorHAnsi"/>
          <w:sz w:val="22"/>
          <w:szCs w:val="22"/>
        </w:rPr>
        <w:t>7</w:t>
      </w:r>
      <w:r w:rsidR="00CB2BD9" w:rsidRPr="007C26B8">
        <w:rPr>
          <w:rFonts w:asciiTheme="minorHAnsi" w:hAnsiTheme="minorHAnsi"/>
          <w:sz w:val="22"/>
          <w:szCs w:val="22"/>
        </w:rPr>
        <w:t>50</w:t>
      </w:r>
      <w:r w:rsidR="00B976BD" w:rsidRPr="007C26B8">
        <w:rPr>
          <w:rFonts w:asciiTheme="minorHAnsi" w:hAnsiTheme="minorHAnsi"/>
          <w:sz w:val="22"/>
          <w:szCs w:val="22"/>
        </w:rPr>
        <w:t>-780</w:t>
      </w:r>
      <w:r w:rsidR="00CB2BD9" w:rsidRPr="007C26B8">
        <w:rPr>
          <w:rFonts w:asciiTheme="minorHAnsi" w:hAnsiTheme="minorHAnsi"/>
          <w:sz w:val="22"/>
          <w:szCs w:val="22"/>
        </w:rPr>
        <w:t xml:space="preserve">c/kg, while the </w:t>
      </w:r>
      <w:r w:rsidR="00152089" w:rsidRPr="007C26B8">
        <w:rPr>
          <w:rFonts w:asciiTheme="minorHAnsi" w:hAnsiTheme="minorHAnsi"/>
          <w:sz w:val="22"/>
          <w:szCs w:val="22"/>
        </w:rPr>
        <w:t xml:space="preserve">average real </w:t>
      </w:r>
      <w:r w:rsidR="00CB2BD9" w:rsidRPr="007C26B8">
        <w:rPr>
          <w:rFonts w:asciiTheme="minorHAnsi" w:hAnsiTheme="minorHAnsi"/>
          <w:sz w:val="22"/>
          <w:szCs w:val="22"/>
        </w:rPr>
        <w:t xml:space="preserve">margin for beef is considerably higher at around </w:t>
      </w:r>
      <w:r w:rsidR="00B976BD" w:rsidRPr="007C26B8">
        <w:rPr>
          <w:rFonts w:asciiTheme="minorHAnsi" w:hAnsiTheme="minorHAnsi"/>
          <w:sz w:val="22"/>
          <w:szCs w:val="22"/>
        </w:rPr>
        <w:t>1260</w:t>
      </w:r>
      <w:r w:rsidR="00CB2BD9" w:rsidRPr="007C26B8">
        <w:rPr>
          <w:rFonts w:asciiTheme="minorHAnsi" w:hAnsiTheme="minorHAnsi"/>
          <w:sz w:val="22"/>
          <w:szCs w:val="22"/>
        </w:rPr>
        <w:t>c/kg</w:t>
      </w:r>
      <w:r w:rsidR="007C26B8" w:rsidRPr="007C26B8">
        <w:rPr>
          <w:rFonts w:asciiTheme="minorHAnsi" w:hAnsiTheme="minorHAnsi"/>
          <w:sz w:val="22"/>
          <w:szCs w:val="22"/>
        </w:rPr>
        <w:t xml:space="preserve"> and that for chicken is </w:t>
      </w:r>
      <w:r w:rsidR="00A24E71">
        <w:rPr>
          <w:rFonts w:asciiTheme="minorHAnsi" w:hAnsiTheme="minorHAnsi"/>
          <w:sz w:val="22"/>
          <w:szCs w:val="22"/>
        </w:rPr>
        <w:t>very much</w:t>
      </w:r>
      <w:r w:rsidR="007C26B8" w:rsidRPr="007C26B8">
        <w:rPr>
          <w:rFonts w:asciiTheme="minorHAnsi" w:hAnsiTheme="minorHAnsi"/>
          <w:sz w:val="22"/>
          <w:szCs w:val="22"/>
        </w:rPr>
        <w:t xml:space="preserve"> lower at around 120c/kg</w:t>
      </w:r>
      <w:r w:rsidR="00CB2BD9" w:rsidRPr="007C26B8">
        <w:rPr>
          <w:rFonts w:asciiTheme="minorHAnsi" w:hAnsiTheme="minorHAnsi"/>
          <w:sz w:val="22"/>
          <w:szCs w:val="22"/>
        </w:rPr>
        <w:t xml:space="preserve">. </w:t>
      </w:r>
      <w:r w:rsidR="007C26B8" w:rsidRPr="007C26B8">
        <w:rPr>
          <w:rFonts w:asciiTheme="minorHAnsi" w:hAnsiTheme="minorHAnsi"/>
          <w:sz w:val="22"/>
          <w:szCs w:val="22"/>
        </w:rPr>
        <w:t>T</w:t>
      </w:r>
      <w:r w:rsidR="00CB2BD9" w:rsidRPr="007C26B8">
        <w:rPr>
          <w:rFonts w:asciiTheme="minorHAnsi" w:hAnsiTheme="minorHAnsi"/>
          <w:sz w:val="22"/>
          <w:szCs w:val="22"/>
        </w:rPr>
        <w:t xml:space="preserve">he margins </w:t>
      </w:r>
      <w:r w:rsidR="007C26B8" w:rsidRPr="007C26B8">
        <w:rPr>
          <w:rFonts w:asciiTheme="minorHAnsi" w:hAnsiTheme="minorHAnsi"/>
          <w:sz w:val="22"/>
          <w:szCs w:val="22"/>
        </w:rPr>
        <w:t xml:space="preserve">for beef, lamb and pork </w:t>
      </w:r>
      <w:r w:rsidR="00CB2BD9" w:rsidRPr="007C26B8">
        <w:rPr>
          <w:rFonts w:asciiTheme="minorHAnsi" w:hAnsiTheme="minorHAnsi"/>
          <w:sz w:val="22"/>
          <w:szCs w:val="22"/>
        </w:rPr>
        <w:t>are relatively stable</w:t>
      </w:r>
      <w:r w:rsidR="00D50A5C" w:rsidRPr="007C26B8">
        <w:rPr>
          <w:rFonts w:asciiTheme="minorHAnsi" w:hAnsiTheme="minorHAnsi"/>
          <w:sz w:val="22"/>
          <w:szCs w:val="22"/>
        </w:rPr>
        <w:t xml:space="preserve"> as shown by the coefficient of variation</w:t>
      </w:r>
      <w:r w:rsidR="00CB2BD9" w:rsidRPr="007C26B8">
        <w:rPr>
          <w:rFonts w:asciiTheme="minorHAnsi" w:hAnsiTheme="minorHAnsi"/>
          <w:sz w:val="22"/>
          <w:szCs w:val="22"/>
        </w:rPr>
        <w:t xml:space="preserve">, </w:t>
      </w:r>
      <w:r w:rsidR="007C26B8" w:rsidRPr="007C26B8">
        <w:rPr>
          <w:rFonts w:asciiTheme="minorHAnsi" w:hAnsiTheme="minorHAnsi"/>
          <w:sz w:val="22"/>
          <w:szCs w:val="22"/>
        </w:rPr>
        <w:t>with</w:t>
      </w:r>
      <w:r w:rsidR="00CB2BD9" w:rsidRPr="007C26B8">
        <w:rPr>
          <w:rFonts w:asciiTheme="minorHAnsi" w:hAnsiTheme="minorHAnsi"/>
          <w:sz w:val="22"/>
          <w:szCs w:val="22"/>
        </w:rPr>
        <w:t xml:space="preserve"> the margin for </w:t>
      </w:r>
      <w:r w:rsidR="00B976BD" w:rsidRPr="007C26B8">
        <w:rPr>
          <w:rFonts w:asciiTheme="minorHAnsi" w:hAnsiTheme="minorHAnsi"/>
          <w:sz w:val="22"/>
          <w:szCs w:val="22"/>
        </w:rPr>
        <w:t>pork</w:t>
      </w:r>
      <w:r w:rsidR="00CB2BD9" w:rsidRPr="007C26B8">
        <w:rPr>
          <w:rFonts w:asciiTheme="minorHAnsi" w:hAnsiTheme="minorHAnsi"/>
          <w:sz w:val="22"/>
          <w:szCs w:val="22"/>
        </w:rPr>
        <w:t xml:space="preserve"> </w:t>
      </w:r>
      <w:r w:rsidR="007C26B8" w:rsidRPr="007C26B8">
        <w:rPr>
          <w:rFonts w:asciiTheme="minorHAnsi" w:hAnsiTheme="minorHAnsi"/>
          <w:sz w:val="22"/>
          <w:szCs w:val="22"/>
        </w:rPr>
        <w:t>being</w:t>
      </w:r>
      <w:r w:rsidR="00CB2BD9" w:rsidRPr="007C26B8">
        <w:rPr>
          <w:rFonts w:asciiTheme="minorHAnsi" w:hAnsiTheme="minorHAnsi"/>
          <w:sz w:val="22"/>
          <w:szCs w:val="22"/>
        </w:rPr>
        <w:t xml:space="preserve"> the most stable and the margin for lamb </w:t>
      </w:r>
      <w:r w:rsidR="007C26B8" w:rsidRPr="007C26B8">
        <w:rPr>
          <w:rFonts w:asciiTheme="minorHAnsi" w:hAnsiTheme="minorHAnsi"/>
          <w:sz w:val="22"/>
          <w:szCs w:val="22"/>
        </w:rPr>
        <w:t>being</w:t>
      </w:r>
      <w:r w:rsidR="00CB2BD9" w:rsidRPr="007C26B8">
        <w:rPr>
          <w:rFonts w:asciiTheme="minorHAnsi" w:hAnsiTheme="minorHAnsi"/>
          <w:sz w:val="22"/>
          <w:szCs w:val="22"/>
        </w:rPr>
        <w:t xml:space="preserve"> the least stable.</w:t>
      </w:r>
      <w:r w:rsidR="007C26B8" w:rsidRPr="007C26B8">
        <w:rPr>
          <w:rFonts w:asciiTheme="minorHAnsi" w:hAnsiTheme="minorHAnsi"/>
          <w:sz w:val="22"/>
          <w:szCs w:val="22"/>
        </w:rPr>
        <w:t xml:space="preserve"> </w:t>
      </w:r>
      <w:r w:rsidR="00A24E71">
        <w:rPr>
          <w:rFonts w:asciiTheme="minorHAnsi" w:hAnsiTheme="minorHAnsi"/>
          <w:sz w:val="22"/>
          <w:szCs w:val="22"/>
        </w:rPr>
        <w:t xml:space="preserve">Over this more than </w:t>
      </w:r>
      <w:proofErr w:type="gramStart"/>
      <w:r w:rsidR="00A24E71">
        <w:rPr>
          <w:rFonts w:asciiTheme="minorHAnsi" w:hAnsiTheme="minorHAnsi"/>
          <w:sz w:val="22"/>
          <w:szCs w:val="22"/>
        </w:rPr>
        <w:t>50 year</w:t>
      </w:r>
      <w:proofErr w:type="gramEnd"/>
      <w:r w:rsidR="00A24E71">
        <w:rPr>
          <w:rFonts w:asciiTheme="minorHAnsi" w:hAnsiTheme="minorHAnsi"/>
          <w:sz w:val="22"/>
          <w:szCs w:val="22"/>
        </w:rPr>
        <w:t xml:space="preserve"> data set t</w:t>
      </w:r>
      <w:r w:rsidR="007C26B8" w:rsidRPr="007C26B8">
        <w:rPr>
          <w:rFonts w:asciiTheme="minorHAnsi" w:hAnsiTheme="minorHAnsi"/>
          <w:sz w:val="22"/>
          <w:szCs w:val="22"/>
        </w:rPr>
        <w:t>he</w:t>
      </w:r>
      <w:r w:rsidR="007C26B8">
        <w:rPr>
          <w:rFonts w:asciiTheme="minorHAnsi" w:hAnsiTheme="minorHAnsi"/>
          <w:sz w:val="22"/>
          <w:szCs w:val="22"/>
        </w:rPr>
        <w:t xml:space="preserve"> margin for chicken is substantially </w:t>
      </w:r>
      <w:r w:rsidR="00A24E71">
        <w:rPr>
          <w:rFonts w:asciiTheme="minorHAnsi" w:hAnsiTheme="minorHAnsi"/>
          <w:sz w:val="22"/>
          <w:szCs w:val="22"/>
        </w:rPr>
        <w:t>m</w:t>
      </w:r>
      <w:r w:rsidR="007C26B8">
        <w:rPr>
          <w:rFonts w:asciiTheme="minorHAnsi" w:hAnsiTheme="minorHAnsi"/>
          <w:sz w:val="22"/>
          <w:szCs w:val="22"/>
        </w:rPr>
        <w:t>ore unstable with the coefficient of variation being around three times higher than that for the other meats</w:t>
      </w:r>
      <w:r w:rsidR="00A24E71">
        <w:rPr>
          <w:rFonts w:asciiTheme="minorHAnsi" w:hAnsiTheme="minorHAnsi"/>
          <w:sz w:val="22"/>
          <w:szCs w:val="22"/>
        </w:rPr>
        <w:t xml:space="preserve">, but much of that variability </w:t>
      </w:r>
      <w:r w:rsidR="00045A9A">
        <w:rPr>
          <w:rFonts w:asciiTheme="minorHAnsi" w:hAnsiTheme="minorHAnsi"/>
          <w:sz w:val="22"/>
          <w:szCs w:val="22"/>
        </w:rPr>
        <w:t>appears to be</w:t>
      </w:r>
      <w:r w:rsidR="00A24E71">
        <w:rPr>
          <w:rFonts w:asciiTheme="minorHAnsi" w:hAnsiTheme="minorHAnsi"/>
          <w:sz w:val="22"/>
          <w:szCs w:val="22"/>
        </w:rPr>
        <w:t xml:space="preserve"> in the early years of this industry</w:t>
      </w:r>
      <w:r w:rsidR="00045A9A">
        <w:rPr>
          <w:rFonts w:asciiTheme="minorHAnsi" w:hAnsiTheme="minorHAnsi"/>
          <w:sz w:val="22"/>
          <w:szCs w:val="22"/>
        </w:rPr>
        <w:t xml:space="preserve">, up to the </w:t>
      </w:r>
      <w:proofErr w:type="spellStart"/>
      <w:r w:rsidR="00045A9A">
        <w:rPr>
          <w:rFonts w:asciiTheme="minorHAnsi" w:hAnsiTheme="minorHAnsi"/>
          <w:sz w:val="22"/>
          <w:szCs w:val="22"/>
        </w:rPr>
        <w:t>mid 1990s</w:t>
      </w:r>
      <w:proofErr w:type="spellEnd"/>
      <w:r w:rsidR="00A24E71">
        <w:rPr>
          <w:rFonts w:asciiTheme="minorHAnsi" w:hAnsiTheme="minorHAnsi"/>
          <w:sz w:val="22"/>
          <w:szCs w:val="22"/>
        </w:rPr>
        <w:t>.</w:t>
      </w:r>
    </w:p>
    <w:p w14:paraId="20B7855C" w14:textId="77777777" w:rsidR="002008D5" w:rsidRDefault="002008D5" w:rsidP="003E0A9E">
      <w:pPr>
        <w:jc w:val="center"/>
        <w:rPr>
          <w:rFonts w:eastAsia="Calibri" w:cs="Calibri"/>
          <w:b/>
        </w:rPr>
      </w:pPr>
    </w:p>
    <w:p w14:paraId="03EE4777" w14:textId="538FD232" w:rsidR="00F936C9" w:rsidRDefault="003E0A9E" w:rsidP="003E0A9E">
      <w:pPr>
        <w:jc w:val="center"/>
        <w:rPr>
          <w:rFonts w:eastAsia="Calibri" w:cs="Calibri"/>
          <w:b/>
          <w:spacing w:val="-3"/>
        </w:rPr>
      </w:pPr>
      <w:r w:rsidRPr="00304713">
        <w:rPr>
          <w:rFonts w:eastAsia="Calibri" w:cs="Calibri"/>
          <w:b/>
        </w:rPr>
        <w:t>Table</w:t>
      </w:r>
      <w:r w:rsidRPr="00304713">
        <w:rPr>
          <w:rFonts w:eastAsia="Calibri" w:cs="Calibri"/>
          <w:b/>
          <w:spacing w:val="-3"/>
        </w:rPr>
        <w:t xml:space="preserve"> </w:t>
      </w:r>
      <w:r w:rsidR="00D5452B">
        <w:rPr>
          <w:rFonts w:eastAsia="Calibri" w:cs="Calibri"/>
          <w:b/>
          <w:spacing w:val="-3"/>
        </w:rPr>
        <w:t>3</w:t>
      </w:r>
      <w:r w:rsidRPr="00304713">
        <w:rPr>
          <w:rFonts w:eastAsia="Calibri" w:cs="Calibri"/>
          <w:b/>
          <w:spacing w:val="-3"/>
        </w:rPr>
        <w:t xml:space="preserve">. </w:t>
      </w:r>
      <w:r w:rsidRPr="00304713">
        <w:rPr>
          <w:rFonts w:eastAsia="Calibri" w:cs="Calibri"/>
          <w:b/>
        </w:rPr>
        <w:t>Summary</w:t>
      </w:r>
      <w:r w:rsidRPr="00304713">
        <w:rPr>
          <w:rFonts w:eastAsia="Calibri" w:cs="Calibri"/>
          <w:b/>
          <w:spacing w:val="-3"/>
        </w:rPr>
        <w:t xml:space="preserve"> </w:t>
      </w:r>
      <w:r w:rsidRPr="00304713">
        <w:rPr>
          <w:rFonts w:eastAsia="Calibri" w:cs="Calibri"/>
          <w:b/>
        </w:rPr>
        <w:t>of</w:t>
      </w:r>
      <w:r w:rsidRPr="00304713">
        <w:rPr>
          <w:rFonts w:eastAsia="Calibri" w:cs="Calibri"/>
          <w:b/>
          <w:spacing w:val="-3"/>
        </w:rPr>
        <w:t xml:space="preserve"> </w:t>
      </w:r>
      <w:r>
        <w:rPr>
          <w:rFonts w:eastAsia="Calibri" w:cs="Calibri"/>
          <w:b/>
          <w:spacing w:val="-3"/>
        </w:rPr>
        <w:t>r</w:t>
      </w:r>
      <w:r w:rsidRPr="00304713">
        <w:rPr>
          <w:rFonts w:eastAsia="Calibri" w:cs="Calibri"/>
          <w:b/>
        </w:rPr>
        <w:t>eal</w:t>
      </w:r>
      <w:r w:rsidRPr="00304713">
        <w:rPr>
          <w:rFonts w:eastAsia="Calibri" w:cs="Calibri"/>
          <w:b/>
          <w:spacing w:val="-3"/>
        </w:rPr>
        <w:t xml:space="preserve"> </w:t>
      </w:r>
      <w:r w:rsidR="00D5452B">
        <w:rPr>
          <w:rFonts w:eastAsia="Calibri" w:cs="Calibri"/>
          <w:b/>
          <w:spacing w:val="-3"/>
        </w:rPr>
        <w:t xml:space="preserve">domestic </w:t>
      </w:r>
      <w:r>
        <w:rPr>
          <w:rFonts w:eastAsia="Calibri" w:cs="Calibri"/>
          <w:b/>
          <w:spacing w:val="-3"/>
        </w:rPr>
        <w:t>m</w:t>
      </w:r>
      <w:r w:rsidRPr="00304713">
        <w:rPr>
          <w:rFonts w:eastAsia="Calibri" w:cs="Calibri"/>
          <w:b/>
        </w:rPr>
        <w:t>arketing</w:t>
      </w:r>
      <w:r w:rsidRPr="00304713">
        <w:rPr>
          <w:rFonts w:eastAsia="Calibri" w:cs="Calibri"/>
          <w:b/>
          <w:spacing w:val="-3"/>
        </w:rPr>
        <w:t xml:space="preserve"> </w:t>
      </w:r>
      <w:r>
        <w:rPr>
          <w:rFonts w:eastAsia="Calibri" w:cs="Calibri"/>
          <w:b/>
          <w:spacing w:val="-3"/>
        </w:rPr>
        <w:t>m</w:t>
      </w:r>
      <w:r w:rsidRPr="00304713">
        <w:rPr>
          <w:rFonts w:eastAsia="Calibri" w:cs="Calibri"/>
          <w:b/>
        </w:rPr>
        <w:t>argins</w:t>
      </w:r>
      <w:r w:rsidRPr="00304713">
        <w:rPr>
          <w:rFonts w:eastAsia="Calibri" w:cs="Calibri"/>
          <w:b/>
          <w:spacing w:val="-3"/>
        </w:rPr>
        <w:t xml:space="preserve"> </w:t>
      </w:r>
      <w:r w:rsidRPr="00304713">
        <w:rPr>
          <w:rFonts w:eastAsia="Calibri" w:cs="Calibri"/>
          <w:b/>
        </w:rPr>
        <w:t>from</w:t>
      </w:r>
      <w:r w:rsidRPr="00304713">
        <w:rPr>
          <w:rFonts w:eastAsia="Calibri" w:cs="Calibri"/>
          <w:b/>
          <w:spacing w:val="-3"/>
        </w:rPr>
        <w:t xml:space="preserve"> </w:t>
      </w:r>
      <w:r w:rsidRPr="00304713">
        <w:rPr>
          <w:rFonts w:eastAsia="Calibri" w:cs="Calibri"/>
          <w:b/>
        </w:rPr>
        <w:t>197</w:t>
      </w:r>
      <w:r w:rsidR="000E1FAF">
        <w:rPr>
          <w:rFonts w:eastAsia="Calibri" w:cs="Calibri"/>
          <w:b/>
        </w:rPr>
        <w:t>6</w:t>
      </w:r>
      <w:r w:rsidRPr="00304713">
        <w:rPr>
          <w:rFonts w:eastAsia="Calibri" w:cs="Calibri"/>
          <w:b/>
          <w:spacing w:val="-3"/>
        </w:rPr>
        <w:t xml:space="preserve"> </w:t>
      </w:r>
      <w:r w:rsidRPr="00304713">
        <w:rPr>
          <w:rFonts w:eastAsia="Calibri" w:cs="Calibri"/>
          <w:b/>
        </w:rPr>
        <w:t>–</w:t>
      </w:r>
      <w:r w:rsidRPr="00304713">
        <w:rPr>
          <w:rFonts w:eastAsia="Calibri" w:cs="Calibri"/>
          <w:b/>
          <w:spacing w:val="-3"/>
        </w:rPr>
        <w:t xml:space="preserve"> </w:t>
      </w:r>
      <w:r w:rsidRPr="00B73A45">
        <w:rPr>
          <w:rFonts w:eastAsia="Calibri" w:cs="Calibri"/>
          <w:b/>
        </w:rPr>
        <w:t>20</w:t>
      </w:r>
      <w:r w:rsidR="002008D5">
        <w:rPr>
          <w:rFonts w:eastAsia="Calibri" w:cs="Calibri"/>
          <w:b/>
        </w:rPr>
        <w:t>21</w:t>
      </w:r>
      <w:r w:rsidRPr="00B73A45">
        <w:rPr>
          <w:rFonts w:eastAsia="Calibri" w:cs="Calibri"/>
          <w:b/>
          <w:spacing w:val="-3"/>
        </w:rPr>
        <w:t xml:space="preserve"> </w:t>
      </w:r>
    </w:p>
    <w:p w14:paraId="304047BC" w14:textId="0BE17509" w:rsidR="003E0A9E" w:rsidRPr="00304713" w:rsidRDefault="003E0A9E" w:rsidP="003E0A9E">
      <w:pPr>
        <w:jc w:val="center"/>
        <w:rPr>
          <w:rFonts w:eastAsia="Calibri" w:cs="Calibri"/>
          <w:b/>
        </w:rPr>
      </w:pPr>
      <w:r w:rsidRPr="00B73A45">
        <w:rPr>
          <w:rFonts w:eastAsia="Calibri" w:cs="Calibri"/>
          <w:b/>
        </w:rPr>
        <w:t>(</w:t>
      </w:r>
      <w:r w:rsidR="0008538A" w:rsidRPr="00B73A45">
        <w:rPr>
          <w:rFonts w:eastAsia="Calibri" w:cs="Calibri"/>
          <w:b/>
        </w:rPr>
        <w:t>real</w:t>
      </w:r>
      <w:r w:rsidRPr="00B73A45">
        <w:rPr>
          <w:rFonts w:eastAsia="Calibri" w:cs="Calibri"/>
          <w:b/>
          <w:spacing w:val="-3"/>
        </w:rPr>
        <w:t xml:space="preserve"> </w:t>
      </w:r>
      <w:r w:rsidR="00BF702D">
        <w:rPr>
          <w:rFonts w:eastAsia="Calibri" w:cs="Calibri"/>
          <w:b/>
          <w:spacing w:val="-3"/>
        </w:rPr>
        <w:t>20</w:t>
      </w:r>
      <w:r w:rsidR="00B976BD">
        <w:rPr>
          <w:rFonts w:eastAsia="Calibri" w:cs="Calibri"/>
          <w:b/>
          <w:spacing w:val="-3"/>
        </w:rPr>
        <w:t>10/</w:t>
      </w:r>
      <w:r w:rsidR="00BF702D">
        <w:rPr>
          <w:rFonts w:eastAsia="Calibri" w:cs="Calibri"/>
          <w:b/>
          <w:spacing w:val="-3"/>
        </w:rPr>
        <w:t>11</w:t>
      </w:r>
      <w:r w:rsidR="0008538A" w:rsidRPr="00B73A45">
        <w:rPr>
          <w:rFonts w:eastAsia="Calibri" w:cs="Calibri"/>
          <w:b/>
        </w:rPr>
        <w:t xml:space="preserve"> cents per </w:t>
      </w:r>
      <w:r w:rsidR="008B4CE0">
        <w:rPr>
          <w:rFonts w:eastAsia="Calibri" w:cs="Calibri"/>
          <w:b/>
        </w:rPr>
        <w:t>k</w:t>
      </w:r>
      <w:r w:rsidR="0008538A" w:rsidRPr="00B73A45">
        <w:rPr>
          <w:rFonts w:eastAsia="Calibri" w:cs="Calibri"/>
          <w:b/>
        </w:rPr>
        <w:t>g</w:t>
      </w:r>
      <w:r w:rsidRPr="00B73A45">
        <w:rPr>
          <w:rFonts w:eastAsia="Calibri" w:cs="Calibri"/>
          <w:b/>
        </w:rPr>
        <w:t>)</w:t>
      </w:r>
    </w:p>
    <w:p w14:paraId="2D0CD09D" w14:textId="77777777" w:rsidR="003E0A9E" w:rsidRPr="00661BD2" w:rsidRDefault="003E0A9E" w:rsidP="003E0A9E">
      <w:pPr>
        <w:jc w:val="both"/>
        <w:rPr>
          <w:rFonts w:eastAsia="Calibri" w:cs="Calibri"/>
        </w:rPr>
      </w:pPr>
    </w:p>
    <w:tbl>
      <w:tblPr>
        <w:tblW w:w="8972" w:type="dxa"/>
        <w:tblInd w:w="100"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1411"/>
        <w:gridCol w:w="1421"/>
        <w:gridCol w:w="1416"/>
        <w:gridCol w:w="1560"/>
        <w:gridCol w:w="1560"/>
        <w:gridCol w:w="1604"/>
      </w:tblGrid>
      <w:tr w:rsidR="003E0A9E" w:rsidRPr="00661BD2" w14:paraId="1F9967D1" w14:textId="77777777" w:rsidTr="00544996">
        <w:trPr>
          <w:trHeight w:hRule="exact" w:val="542"/>
        </w:trPr>
        <w:tc>
          <w:tcPr>
            <w:tcW w:w="1411" w:type="dxa"/>
            <w:shd w:val="clear" w:color="auto" w:fill="E7E6E6"/>
          </w:tcPr>
          <w:p w14:paraId="5FABDE4A" w14:textId="77777777" w:rsidR="003E0A9E" w:rsidRPr="00661BD2" w:rsidRDefault="003E0A9E" w:rsidP="00544996">
            <w:pPr>
              <w:jc w:val="both"/>
            </w:pPr>
          </w:p>
        </w:tc>
        <w:tc>
          <w:tcPr>
            <w:tcW w:w="1421" w:type="dxa"/>
            <w:shd w:val="clear" w:color="auto" w:fill="E7E6E6"/>
          </w:tcPr>
          <w:p w14:paraId="5F7BB31E" w14:textId="77777777" w:rsidR="003E0A9E" w:rsidRPr="00661BD2" w:rsidRDefault="003E0A9E" w:rsidP="00544996">
            <w:pPr>
              <w:pStyle w:val="TableParagraph"/>
              <w:jc w:val="both"/>
              <w:rPr>
                <w:rFonts w:eastAsia="Calibri" w:cs="Calibri"/>
              </w:rPr>
            </w:pPr>
            <w:r w:rsidRPr="00661BD2">
              <w:t>Mean</w:t>
            </w:r>
          </w:p>
        </w:tc>
        <w:tc>
          <w:tcPr>
            <w:tcW w:w="1416" w:type="dxa"/>
            <w:shd w:val="clear" w:color="auto" w:fill="E7E6E6"/>
          </w:tcPr>
          <w:p w14:paraId="279377DE" w14:textId="77777777" w:rsidR="003E0A9E" w:rsidRPr="00661BD2" w:rsidRDefault="003E0A9E" w:rsidP="00544996">
            <w:pPr>
              <w:pStyle w:val="TableParagraph"/>
              <w:jc w:val="both"/>
              <w:rPr>
                <w:rFonts w:eastAsia="Calibri" w:cs="Calibri"/>
              </w:rPr>
            </w:pPr>
            <w:r w:rsidRPr="00661BD2">
              <w:t>SD</w:t>
            </w:r>
          </w:p>
        </w:tc>
        <w:tc>
          <w:tcPr>
            <w:tcW w:w="1560" w:type="dxa"/>
            <w:shd w:val="clear" w:color="auto" w:fill="E7E6E6"/>
          </w:tcPr>
          <w:p w14:paraId="5F6A3DB0" w14:textId="77777777" w:rsidR="003E0A9E" w:rsidRPr="00661BD2" w:rsidRDefault="003E0A9E" w:rsidP="00544996">
            <w:pPr>
              <w:pStyle w:val="TableParagraph"/>
              <w:jc w:val="both"/>
              <w:rPr>
                <w:rFonts w:eastAsia="Calibri" w:cs="Calibri"/>
              </w:rPr>
            </w:pPr>
            <w:r w:rsidRPr="00661BD2">
              <w:t>Minimum</w:t>
            </w:r>
          </w:p>
        </w:tc>
        <w:tc>
          <w:tcPr>
            <w:tcW w:w="1560" w:type="dxa"/>
            <w:shd w:val="clear" w:color="auto" w:fill="E7E6E6"/>
          </w:tcPr>
          <w:p w14:paraId="09CD7211" w14:textId="77777777" w:rsidR="003E0A9E" w:rsidRPr="00661BD2" w:rsidRDefault="003E0A9E" w:rsidP="00544996">
            <w:pPr>
              <w:pStyle w:val="TableParagraph"/>
              <w:jc w:val="both"/>
              <w:rPr>
                <w:rFonts w:eastAsia="Calibri" w:cs="Calibri"/>
              </w:rPr>
            </w:pPr>
            <w:r w:rsidRPr="00661BD2">
              <w:t>Maximum</w:t>
            </w:r>
          </w:p>
        </w:tc>
        <w:tc>
          <w:tcPr>
            <w:tcW w:w="1604" w:type="dxa"/>
            <w:shd w:val="clear" w:color="auto" w:fill="E7E6E6"/>
          </w:tcPr>
          <w:p w14:paraId="299DA396" w14:textId="77777777" w:rsidR="003E0A9E" w:rsidRPr="00661BD2" w:rsidRDefault="003E0A9E" w:rsidP="00544996">
            <w:pPr>
              <w:pStyle w:val="TableParagraph"/>
              <w:rPr>
                <w:rFonts w:eastAsia="Calibri" w:cs="Calibri"/>
              </w:rPr>
            </w:pPr>
            <w:r w:rsidRPr="00661BD2">
              <w:t>Coefficient</w:t>
            </w:r>
            <w:r w:rsidRPr="00661BD2">
              <w:rPr>
                <w:spacing w:val="-5"/>
              </w:rPr>
              <w:t xml:space="preserve"> </w:t>
            </w:r>
            <w:r w:rsidRPr="00661BD2">
              <w:t>of</w:t>
            </w:r>
            <w:r w:rsidRPr="00661BD2">
              <w:rPr>
                <w:spacing w:val="-1"/>
              </w:rPr>
              <w:t xml:space="preserve"> </w:t>
            </w:r>
            <w:r w:rsidRPr="00661BD2">
              <w:t>Variation</w:t>
            </w:r>
            <w:r w:rsidRPr="00661BD2">
              <w:rPr>
                <w:spacing w:val="-7"/>
              </w:rPr>
              <w:t xml:space="preserve"> </w:t>
            </w:r>
            <w:r w:rsidRPr="00661BD2">
              <w:t>(CV)</w:t>
            </w:r>
          </w:p>
        </w:tc>
      </w:tr>
      <w:tr w:rsidR="003E0A9E" w:rsidRPr="00661BD2" w14:paraId="26A008FA" w14:textId="77777777" w:rsidTr="00544996">
        <w:trPr>
          <w:trHeight w:hRule="exact" w:val="283"/>
        </w:trPr>
        <w:tc>
          <w:tcPr>
            <w:tcW w:w="1411" w:type="dxa"/>
          </w:tcPr>
          <w:p w14:paraId="5B308ADA" w14:textId="77777777" w:rsidR="003E0A9E" w:rsidRPr="00661BD2" w:rsidRDefault="003E0A9E" w:rsidP="00544996">
            <w:pPr>
              <w:pStyle w:val="TableParagraph"/>
              <w:jc w:val="both"/>
              <w:rPr>
                <w:rFonts w:eastAsia="Calibri" w:cs="Calibri"/>
              </w:rPr>
            </w:pPr>
            <w:r w:rsidRPr="00661BD2">
              <w:t>Beef</w:t>
            </w:r>
          </w:p>
        </w:tc>
        <w:tc>
          <w:tcPr>
            <w:tcW w:w="1421" w:type="dxa"/>
          </w:tcPr>
          <w:p w14:paraId="704BA36F" w14:textId="2FA4C9D1" w:rsidR="003E0A9E" w:rsidRPr="00661BD2" w:rsidRDefault="00BF702D" w:rsidP="00544996">
            <w:pPr>
              <w:pStyle w:val="TableParagraph"/>
              <w:jc w:val="both"/>
              <w:rPr>
                <w:rFonts w:eastAsia="Calibri" w:cs="Calibri"/>
              </w:rPr>
            </w:pPr>
            <w:r>
              <w:t>1263.4</w:t>
            </w:r>
          </w:p>
        </w:tc>
        <w:tc>
          <w:tcPr>
            <w:tcW w:w="1416" w:type="dxa"/>
          </w:tcPr>
          <w:p w14:paraId="20C9DC27" w14:textId="19C16254" w:rsidR="003E0A9E" w:rsidRPr="00661BD2" w:rsidRDefault="00BF702D" w:rsidP="00544996">
            <w:pPr>
              <w:pStyle w:val="TableParagraph"/>
              <w:jc w:val="both"/>
              <w:rPr>
                <w:rFonts w:eastAsia="Calibri" w:cs="Calibri"/>
              </w:rPr>
            </w:pPr>
            <w:r>
              <w:t>122.4</w:t>
            </w:r>
          </w:p>
        </w:tc>
        <w:tc>
          <w:tcPr>
            <w:tcW w:w="1560" w:type="dxa"/>
          </w:tcPr>
          <w:p w14:paraId="7B0F7D56" w14:textId="2A496C02" w:rsidR="003E0A9E" w:rsidRPr="00661BD2" w:rsidRDefault="00BF702D" w:rsidP="00544996">
            <w:pPr>
              <w:pStyle w:val="TableParagraph"/>
              <w:jc w:val="both"/>
              <w:rPr>
                <w:rFonts w:eastAsia="Calibri" w:cs="Calibri"/>
              </w:rPr>
            </w:pPr>
            <w:r>
              <w:t>1000.4</w:t>
            </w:r>
          </w:p>
        </w:tc>
        <w:tc>
          <w:tcPr>
            <w:tcW w:w="1560" w:type="dxa"/>
          </w:tcPr>
          <w:p w14:paraId="1C483CC9" w14:textId="22E09EBC" w:rsidR="003E0A9E" w:rsidRPr="00661BD2" w:rsidRDefault="00BF702D" w:rsidP="00544996">
            <w:pPr>
              <w:pStyle w:val="TableParagraph"/>
              <w:jc w:val="both"/>
              <w:rPr>
                <w:rFonts w:eastAsia="Calibri" w:cs="Calibri"/>
              </w:rPr>
            </w:pPr>
            <w:r>
              <w:t>1546.2</w:t>
            </w:r>
          </w:p>
        </w:tc>
        <w:tc>
          <w:tcPr>
            <w:tcW w:w="1604" w:type="dxa"/>
          </w:tcPr>
          <w:p w14:paraId="1A50BE44" w14:textId="5DC6608B" w:rsidR="003E0A9E" w:rsidRPr="00661BD2" w:rsidRDefault="003E0A9E" w:rsidP="00544996">
            <w:pPr>
              <w:pStyle w:val="TableParagraph"/>
              <w:jc w:val="both"/>
              <w:rPr>
                <w:rFonts w:eastAsia="Calibri" w:cs="Calibri"/>
              </w:rPr>
            </w:pPr>
            <w:r>
              <w:t>0.0</w:t>
            </w:r>
            <w:r w:rsidR="00B976BD">
              <w:t>97</w:t>
            </w:r>
          </w:p>
        </w:tc>
      </w:tr>
      <w:tr w:rsidR="003E0A9E" w:rsidRPr="00661BD2" w14:paraId="320A085B" w14:textId="77777777" w:rsidTr="00544996">
        <w:trPr>
          <w:trHeight w:hRule="exact" w:val="278"/>
        </w:trPr>
        <w:tc>
          <w:tcPr>
            <w:tcW w:w="1411" w:type="dxa"/>
          </w:tcPr>
          <w:p w14:paraId="6485233A" w14:textId="77777777" w:rsidR="003E0A9E" w:rsidRPr="00661BD2" w:rsidRDefault="003E0A9E" w:rsidP="00544996">
            <w:pPr>
              <w:pStyle w:val="TableParagraph"/>
              <w:jc w:val="both"/>
              <w:rPr>
                <w:rFonts w:eastAsia="Calibri" w:cs="Calibri"/>
              </w:rPr>
            </w:pPr>
            <w:r w:rsidRPr="00661BD2">
              <w:t>Lamb</w:t>
            </w:r>
          </w:p>
        </w:tc>
        <w:tc>
          <w:tcPr>
            <w:tcW w:w="1421" w:type="dxa"/>
          </w:tcPr>
          <w:p w14:paraId="62A5620D" w14:textId="4B4ED5F4" w:rsidR="003E0A9E" w:rsidRPr="00661BD2" w:rsidRDefault="00B976BD" w:rsidP="00544996">
            <w:pPr>
              <w:pStyle w:val="TableParagraph"/>
              <w:jc w:val="both"/>
              <w:rPr>
                <w:rFonts w:eastAsia="Calibri" w:cs="Calibri"/>
              </w:rPr>
            </w:pPr>
            <w:r>
              <w:t>763.9</w:t>
            </w:r>
          </w:p>
        </w:tc>
        <w:tc>
          <w:tcPr>
            <w:tcW w:w="1416" w:type="dxa"/>
          </w:tcPr>
          <w:p w14:paraId="7DAF81D5" w14:textId="69FE7D57" w:rsidR="003E0A9E" w:rsidRPr="00661BD2" w:rsidRDefault="00B976BD" w:rsidP="00544996">
            <w:pPr>
              <w:pStyle w:val="TableParagraph"/>
              <w:jc w:val="both"/>
              <w:rPr>
                <w:rFonts w:eastAsia="Calibri" w:cs="Calibri"/>
              </w:rPr>
            </w:pPr>
            <w:r>
              <w:t>98.6</w:t>
            </w:r>
          </w:p>
        </w:tc>
        <w:tc>
          <w:tcPr>
            <w:tcW w:w="1560" w:type="dxa"/>
          </w:tcPr>
          <w:p w14:paraId="5114C4E9" w14:textId="272A5B2E" w:rsidR="003E0A9E" w:rsidRPr="00661BD2" w:rsidRDefault="00B976BD" w:rsidP="00544996">
            <w:pPr>
              <w:pStyle w:val="TableParagraph"/>
              <w:jc w:val="both"/>
              <w:rPr>
                <w:rFonts w:eastAsia="Calibri" w:cs="Calibri"/>
              </w:rPr>
            </w:pPr>
            <w:r>
              <w:t>593.3</w:t>
            </w:r>
          </w:p>
        </w:tc>
        <w:tc>
          <w:tcPr>
            <w:tcW w:w="1560" w:type="dxa"/>
          </w:tcPr>
          <w:p w14:paraId="24D2F44A" w14:textId="0B7A3A01" w:rsidR="003E0A9E" w:rsidRPr="00661BD2" w:rsidRDefault="00B976BD" w:rsidP="00544996">
            <w:pPr>
              <w:pStyle w:val="TableParagraph"/>
              <w:jc w:val="both"/>
              <w:rPr>
                <w:rFonts w:eastAsia="Calibri" w:cs="Calibri"/>
              </w:rPr>
            </w:pPr>
            <w:r>
              <w:t>940.8</w:t>
            </w:r>
          </w:p>
        </w:tc>
        <w:tc>
          <w:tcPr>
            <w:tcW w:w="1604" w:type="dxa"/>
          </w:tcPr>
          <w:p w14:paraId="4BF285F6" w14:textId="353631B2" w:rsidR="003E0A9E" w:rsidRPr="00661BD2" w:rsidRDefault="003E0A9E" w:rsidP="00544996">
            <w:pPr>
              <w:pStyle w:val="TableParagraph"/>
              <w:jc w:val="both"/>
              <w:rPr>
                <w:rFonts w:eastAsia="Calibri" w:cs="Calibri"/>
              </w:rPr>
            </w:pPr>
            <w:r>
              <w:t>0</w:t>
            </w:r>
            <w:r w:rsidRPr="00661BD2">
              <w:t>.</w:t>
            </w:r>
            <w:r>
              <w:t>1</w:t>
            </w:r>
            <w:r w:rsidR="00B976BD">
              <w:t>29</w:t>
            </w:r>
          </w:p>
        </w:tc>
      </w:tr>
      <w:tr w:rsidR="003E0A9E" w:rsidRPr="00661BD2" w14:paraId="2930F87E" w14:textId="77777777" w:rsidTr="00544996">
        <w:trPr>
          <w:trHeight w:hRule="exact" w:val="278"/>
        </w:trPr>
        <w:tc>
          <w:tcPr>
            <w:tcW w:w="1411" w:type="dxa"/>
          </w:tcPr>
          <w:p w14:paraId="45EF6AAB" w14:textId="77777777" w:rsidR="003E0A9E" w:rsidRPr="00661BD2" w:rsidRDefault="003E0A9E" w:rsidP="00544996">
            <w:pPr>
              <w:pStyle w:val="TableParagraph"/>
              <w:jc w:val="both"/>
              <w:rPr>
                <w:rFonts w:eastAsia="Calibri" w:cs="Calibri"/>
              </w:rPr>
            </w:pPr>
            <w:r w:rsidRPr="00661BD2">
              <w:t>Pork</w:t>
            </w:r>
          </w:p>
        </w:tc>
        <w:tc>
          <w:tcPr>
            <w:tcW w:w="1421" w:type="dxa"/>
          </w:tcPr>
          <w:p w14:paraId="0CDBF346" w14:textId="3235AC41" w:rsidR="003E0A9E" w:rsidRPr="00661BD2" w:rsidRDefault="00B976BD" w:rsidP="00544996">
            <w:pPr>
              <w:pStyle w:val="TableParagraph"/>
              <w:jc w:val="both"/>
              <w:rPr>
                <w:rFonts w:eastAsia="Calibri" w:cs="Calibri"/>
              </w:rPr>
            </w:pPr>
            <w:r>
              <w:t>782.1</w:t>
            </w:r>
          </w:p>
        </w:tc>
        <w:tc>
          <w:tcPr>
            <w:tcW w:w="1416" w:type="dxa"/>
          </w:tcPr>
          <w:p w14:paraId="6D106D0A" w14:textId="37F24958" w:rsidR="003E0A9E" w:rsidRPr="00661BD2" w:rsidRDefault="00B976BD" w:rsidP="00544996">
            <w:pPr>
              <w:pStyle w:val="TableParagraph"/>
              <w:jc w:val="both"/>
              <w:rPr>
                <w:rFonts w:eastAsia="Calibri" w:cs="Calibri"/>
              </w:rPr>
            </w:pPr>
            <w:r>
              <w:t>67.3</w:t>
            </w:r>
          </w:p>
        </w:tc>
        <w:tc>
          <w:tcPr>
            <w:tcW w:w="1560" w:type="dxa"/>
          </w:tcPr>
          <w:p w14:paraId="2A3403B5" w14:textId="66CD2D4E" w:rsidR="003E0A9E" w:rsidRPr="00661BD2" w:rsidRDefault="00B976BD" w:rsidP="00544996">
            <w:pPr>
              <w:pStyle w:val="TableParagraph"/>
              <w:jc w:val="both"/>
              <w:rPr>
                <w:rFonts w:eastAsia="Calibri" w:cs="Calibri"/>
              </w:rPr>
            </w:pPr>
            <w:r>
              <w:t>640.1</w:t>
            </w:r>
          </w:p>
        </w:tc>
        <w:tc>
          <w:tcPr>
            <w:tcW w:w="1560" w:type="dxa"/>
          </w:tcPr>
          <w:p w14:paraId="287EFFF6" w14:textId="642C6DF7" w:rsidR="003E0A9E" w:rsidRPr="00661BD2" w:rsidRDefault="00B976BD" w:rsidP="00544996">
            <w:pPr>
              <w:pStyle w:val="TableParagraph"/>
              <w:jc w:val="both"/>
              <w:rPr>
                <w:rFonts w:eastAsia="Calibri" w:cs="Calibri"/>
              </w:rPr>
            </w:pPr>
            <w:r>
              <w:t>952.2</w:t>
            </w:r>
          </w:p>
        </w:tc>
        <w:tc>
          <w:tcPr>
            <w:tcW w:w="1604" w:type="dxa"/>
          </w:tcPr>
          <w:p w14:paraId="2B2E459A" w14:textId="1F71B6EE" w:rsidR="003E0A9E" w:rsidRPr="00661BD2" w:rsidRDefault="003E0A9E" w:rsidP="00544996">
            <w:pPr>
              <w:pStyle w:val="TableParagraph"/>
              <w:jc w:val="both"/>
              <w:rPr>
                <w:rFonts w:eastAsia="Calibri" w:cs="Calibri"/>
              </w:rPr>
            </w:pPr>
            <w:r>
              <w:t>0.0</w:t>
            </w:r>
            <w:r w:rsidR="00B976BD">
              <w:t>86</w:t>
            </w:r>
          </w:p>
        </w:tc>
      </w:tr>
      <w:tr w:rsidR="00BF702D" w:rsidRPr="00661BD2" w14:paraId="40A8CD65" w14:textId="77777777" w:rsidTr="007C26B8">
        <w:trPr>
          <w:trHeight w:hRule="exact" w:val="278"/>
        </w:trPr>
        <w:tc>
          <w:tcPr>
            <w:tcW w:w="1411" w:type="dxa"/>
            <w:shd w:val="clear" w:color="auto" w:fill="auto"/>
          </w:tcPr>
          <w:p w14:paraId="7C2C8888" w14:textId="7EAA6F71" w:rsidR="00BF702D" w:rsidRPr="007C26B8" w:rsidRDefault="00BF702D" w:rsidP="00544996">
            <w:pPr>
              <w:pStyle w:val="TableParagraph"/>
              <w:jc w:val="both"/>
            </w:pPr>
            <w:r w:rsidRPr="007C26B8">
              <w:t>Chicken</w:t>
            </w:r>
          </w:p>
        </w:tc>
        <w:tc>
          <w:tcPr>
            <w:tcW w:w="1421" w:type="dxa"/>
            <w:shd w:val="clear" w:color="auto" w:fill="auto"/>
          </w:tcPr>
          <w:p w14:paraId="537EC663" w14:textId="13B8B08A" w:rsidR="00BF702D" w:rsidRPr="007C26B8" w:rsidRDefault="007C26B8" w:rsidP="00544996">
            <w:pPr>
              <w:pStyle w:val="TableParagraph"/>
              <w:jc w:val="both"/>
            </w:pPr>
            <w:r w:rsidRPr="007C26B8">
              <w:t>119.2</w:t>
            </w:r>
          </w:p>
        </w:tc>
        <w:tc>
          <w:tcPr>
            <w:tcW w:w="1416" w:type="dxa"/>
            <w:shd w:val="clear" w:color="auto" w:fill="auto"/>
          </w:tcPr>
          <w:p w14:paraId="418D9CE8" w14:textId="708A500D" w:rsidR="00BF702D" w:rsidRPr="007C26B8" w:rsidRDefault="007C26B8" w:rsidP="00544996">
            <w:pPr>
              <w:pStyle w:val="TableParagraph"/>
              <w:jc w:val="both"/>
            </w:pPr>
            <w:r w:rsidRPr="007C26B8">
              <w:t>40.0</w:t>
            </w:r>
          </w:p>
        </w:tc>
        <w:tc>
          <w:tcPr>
            <w:tcW w:w="1560" w:type="dxa"/>
            <w:shd w:val="clear" w:color="auto" w:fill="auto"/>
          </w:tcPr>
          <w:p w14:paraId="70C93B0F" w14:textId="2968C525" w:rsidR="00BF702D" w:rsidRPr="007C26B8" w:rsidRDefault="007C26B8" w:rsidP="00544996">
            <w:pPr>
              <w:pStyle w:val="TableParagraph"/>
              <w:jc w:val="both"/>
            </w:pPr>
            <w:r w:rsidRPr="007C26B8">
              <w:t>32.8</w:t>
            </w:r>
          </w:p>
        </w:tc>
        <w:tc>
          <w:tcPr>
            <w:tcW w:w="1560" w:type="dxa"/>
            <w:shd w:val="clear" w:color="auto" w:fill="auto"/>
          </w:tcPr>
          <w:p w14:paraId="72EB92ED" w14:textId="6082AF0C" w:rsidR="00BF702D" w:rsidRPr="007C26B8" w:rsidRDefault="007C26B8" w:rsidP="00544996">
            <w:pPr>
              <w:pStyle w:val="TableParagraph"/>
              <w:jc w:val="both"/>
            </w:pPr>
            <w:r w:rsidRPr="007C26B8">
              <w:t>202.5</w:t>
            </w:r>
          </w:p>
        </w:tc>
        <w:tc>
          <w:tcPr>
            <w:tcW w:w="1604" w:type="dxa"/>
            <w:shd w:val="clear" w:color="auto" w:fill="auto"/>
          </w:tcPr>
          <w:p w14:paraId="52707E44" w14:textId="4831B770" w:rsidR="00BF702D" w:rsidRPr="007C26B8" w:rsidRDefault="007C26B8" w:rsidP="00544996">
            <w:pPr>
              <w:pStyle w:val="TableParagraph"/>
              <w:jc w:val="both"/>
            </w:pPr>
            <w:r w:rsidRPr="007C26B8">
              <w:t>0.336</w:t>
            </w:r>
          </w:p>
        </w:tc>
      </w:tr>
    </w:tbl>
    <w:p w14:paraId="56B9C18E" w14:textId="77777777" w:rsidR="003E0A9E" w:rsidRPr="00661BD2" w:rsidRDefault="003E0A9E" w:rsidP="003E0A9E">
      <w:pPr>
        <w:jc w:val="both"/>
        <w:rPr>
          <w:rFonts w:eastAsia="Calibri" w:cs="Calibri"/>
        </w:rPr>
      </w:pPr>
    </w:p>
    <w:p w14:paraId="036E39FA" w14:textId="77777777" w:rsidR="004806F6" w:rsidRPr="00661BD2" w:rsidRDefault="004806F6" w:rsidP="00661BD2">
      <w:pPr>
        <w:jc w:val="both"/>
        <w:sectPr w:rsidR="004806F6" w:rsidRPr="00661BD2" w:rsidSect="00C42807">
          <w:type w:val="continuous"/>
          <w:pgSz w:w="11900" w:h="16840" w:code="9"/>
          <w:pgMar w:top="1440" w:right="1440" w:bottom="1440" w:left="1440" w:header="680" w:footer="680" w:gutter="0"/>
          <w:cols w:space="720"/>
          <w:docGrid w:linePitch="299"/>
        </w:sectPr>
      </w:pPr>
    </w:p>
    <w:p w14:paraId="1A3F359E" w14:textId="77777777" w:rsidR="00996A6F" w:rsidRPr="00ED3175" w:rsidRDefault="00996A6F" w:rsidP="00123C08">
      <w:pPr>
        <w:pStyle w:val="BodyText"/>
        <w:ind w:left="0"/>
        <w:jc w:val="both"/>
        <w:rPr>
          <w:rFonts w:asciiTheme="minorHAnsi" w:hAnsiTheme="minorHAnsi"/>
          <w:b/>
          <w:bCs/>
          <w:sz w:val="22"/>
          <w:szCs w:val="22"/>
        </w:rPr>
      </w:pPr>
      <w:r w:rsidRPr="00ED3175">
        <w:rPr>
          <w:rFonts w:asciiTheme="minorHAnsi" w:hAnsiTheme="minorHAnsi"/>
          <w:b/>
          <w:bCs/>
          <w:sz w:val="22"/>
          <w:szCs w:val="22"/>
        </w:rPr>
        <w:t>Trends</w:t>
      </w:r>
    </w:p>
    <w:p w14:paraId="2FB1712D" w14:textId="77777777" w:rsidR="00996A6F" w:rsidRPr="00ED3175" w:rsidRDefault="00996A6F" w:rsidP="00123C08">
      <w:pPr>
        <w:pStyle w:val="BodyText"/>
        <w:ind w:left="0"/>
        <w:jc w:val="both"/>
        <w:rPr>
          <w:rFonts w:asciiTheme="minorHAnsi" w:hAnsiTheme="minorHAnsi"/>
          <w:sz w:val="22"/>
          <w:szCs w:val="22"/>
        </w:rPr>
      </w:pPr>
    </w:p>
    <w:p w14:paraId="2105AE03" w14:textId="77777777" w:rsidR="00DC0512" w:rsidRDefault="00123C08" w:rsidP="00DC0512">
      <w:pPr>
        <w:pStyle w:val="BodyText"/>
        <w:ind w:left="0"/>
        <w:jc w:val="both"/>
        <w:rPr>
          <w:rFonts w:asciiTheme="minorHAnsi" w:hAnsiTheme="minorHAnsi"/>
          <w:spacing w:val="-1"/>
          <w:sz w:val="22"/>
          <w:szCs w:val="22"/>
        </w:rPr>
      </w:pPr>
      <w:r w:rsidRPr="00ED3175">
        <w:rPr>
          <w:rFonts w:asciiTheme="minorHAnsi" w:hAnsiTheme="minorHAnsi"/>
          <w:sz w:val="22"/>
          <w:szCs w:val="22"/>
        </w:rPr>
        <w:t>The real and nominal margins over the data period for beef, lamb</w:t>
      </w:r>
      <w:r w:rsidR="00B976BD" w:rsidRPr="00ED3175">
        <w:rPr>
          <w:rFonts w:asciiTheme="minorHAnsi" w:hAnsiTheme="minorHAnsi"/>
          <w:sz w:val="22"/>
          <w:szCs w:val="22"/>
        </w:rPr>
        <w:t>,</w:t>
      </w:r>
      <w:r w:rsidRPr="00ED3175">
        <w:rPr>
          <w:rFonts w:asciiTheme="minorHAnsi" w:hAnsiTheme="minorHAnsi"/>
          <w:sz w:val="22"/>
          <w:szCs w:val="22"/>
        </w:rPr>
        <w:t xml:space="preserve"> </w:t>
      </w:r>
      <w:r w:rsidR="00510754" w:rsidRPr="00ED3175">
        <w:rPr>
          <w:rFonts w:asciiTheme="minorHAnsi" w:hAnsiTheme="minorHAnsi"/>
          <w:sz w:val="22"/>
          <w:szCs w:val="22"/>
        </w:rPr>
        <w:t xml:space="preserve">and </w:t>
      </w:r>
      <w:r w:rsidRPr="00ED3175">
        <w:rPr>
          <w:rFonts w:asciiTheme="minorHAnsi" w:hAnsiTheme="minorHAnsi"/>
          <w:sz w:val="22"/>
          <w:szCs w:val="22"/>
        </w:rPr>
        <w:t>pork</w:t>
      </w:r>
      <w:r w:rsidR="00B976BD" w:rsidRPr="00ED3175">
        <w:rPr>
          <w:rFonts w:asciiTheme="minorHAnsi" w:hAnsiTheme="minorHAnsi"/>
          <w:sz w:val="22"/>
          <w:szCs w:val="22"/>
        </w:rPr>
        <w:t xml:space="preserve"> </w:t>
      </w:r>
      <w:r w:rsidRPr="00ED3175">
        <w:rPr>
          <w:rFonts w:asciiTheme="minorHAnsi" w:hAnsiTheme="minorHAnsi"/>
          <w:sz w:val="22"/>
          <w:szCs w:val="22"/>
        </w:rPr>
        <w:t>are plotted in Figures 1-</w:t>
      </w:r>
      <w:r w:rsidR="00510754" w:rsidRPr="00ED3175">
        <w:rPr>
          <w:rFonts w:asciiTheme="minorHAnsi" w:hAnsiTheme="minorHAnsi"/>
          <w:sz w:val="22"/>
          <w:szCs w:val="22"/>
        </w:rPr>
        <w:t>3</w:t>
      </w:r>
      <w:r w:rsidRPr="00ED3175">
        <w:rPr>
          <w:rFonts w:asciiTheme="minorHAnsi" w:hAnsiTheme="minorHAnsi"/>
          <w:sz w:val="22"/>
          <w:szCs w:val="22"/>
        </w:rPr>
        <w:t xml:space="preserve"> respectively. </w:t>
      </w:r>
      <w:r w:rsidR="00DC0512" w:rsidRPr="00ED3175">
        <w:rPr>
          <w:rFonts w:asciiTheme="minorHAnsi" w:hAnsiTheme="minorHAnsi"/>
          <w:sz w:val="22"/>
          <w:szCs w:val="22"/>
        </w:rPr>
        <w:t>The graphs are quite similar for all three meat types. The nominal margins have followed a rising linear trend for each meat, reflecting the steeper increases in the price of meat relative to the price of livestock over time. However, the</w:t>
      </w:r>
      <w:r w:rsidR="00DC0512">
        <w:rPr>
          <w:rFonts w:asciiTheme="minorHAnsi" w:hAnsiTheme="minorHAnsi"/>
          <w:sz w:val="22"/>
          <w:szCs w:val="22"/>
        </w:rPr>
        <w:t>se</w:t>
      </w:r>
      <w:r w:rsidR="00DC0512" w:rsidRPr="00ED3175">
        <w:rPr>
          <w:rFonts w:asciiTheme="minorHAnsi" w:hAnsiTheme="minorHAnsi"/>
          <w:sz w:val="22"/>
          <w:szCs w:val="22"/>
        </w:rPr>
        <w:t xml:space="preserve"> nominal values take no account of the rising costs of providing market services, or the increased volume and perhaps </w:t>
      </w:r>
      <w:proofErr w:type="gramStart"/>
      <w:r w:rsidR="00DC0512" w:rsidRPr="00ED3175">
        <w:rPr>
          <w:rFonts w:asciiTheme="minorHAnsi" w:hAnsiTheme="minorHAnsi"/>
          <w:sz w:val="22"/>
          <w:szCs w:val="22"/>
        </w:rPr>
        <w:t>quality</w:t>
      </w:r>
      <w:proofErr w:type="gramEnd"/>
      <w:r w:rsidR="00DC0512" w:rsidRPr="00ED3175">
        <w:rPr>
          <w:rFonts w:asciiTheme="minorHAnsi" w:hAnsiTheme="minorHAnsi"/>
          <w:sz w:val="22"/>
          <w:szCs w:val="22"/>
        </w:rPr>
        <w:t xml:space="preserve"> of marketing services provided over time. Real margins have been calculated by adjusting the nominal margins by the Australian CPI (ABS, 20</w:t>
      </w:r>
      <w:r w:rsidR="00DC0512">
        <w:rPr>
          <w:rFonts w:asciiTheme="minorHAnsi" w:hAnsiTheme="minorHAnsi"/>
          <w:sz w:val="22"/>
          <w:szCs w:val="22"/>
        </w:rPr>
        <w:t>22</w:t>
      </w:r>
      <w:r w:rsidR="00DC0512" w:rsidRPr="00ED3175">
        <w:rPr>
          <w:rFonts w:asciiTheme="minorHAnsi" w:hAnsiTheme="minorHAnsi"/>
          <w:sz w:val="22"/>
          <w:szCs w:val="22"/>
        </w:rPr>
        <w:t>) as a general measure of cost inflation in the economy.</w:t>
      </w:r>
      <w:r w:rsidR="00DC0512" w:rsidRPr="00ED3175">
        <w:rPr>
          <w:rFonts w:asciiTheme="minorHAnsi" w:hAnsiTheme="minorHAnsi"/>
          <w:spacing w:val="-2"/>
          <w:sz w:val="22"/>
          <w:szCs w:val="22"/>
        </w:rPr>
        <w:t xml:space="preserve"> R</w:t>
      </w:r>
      <w:r w:rsidR="00DC0512" w:rsidRPr="00ED3175">
        <w:rPr>
          <w:rFonts w:asciiTheme="minorHAnsi" w:hAnsiTheme="minorHAnsi"/>
          <w:sz w:val="22"/>
          <w:szCs w:val="22"/>
        </w:rPr>
        <w:t xml:space="preserve">eal domestic meat margins have not risen much at all over the whole data period, and in fact since the early 1980s real margins have remained stable or have </w:t>
      </w:r>
      <w:proofErr w:type="gramStart"/>
      <w:r w:rsidR="00DC0512" w:rsidRPr="00ED3175">
        <w:rPr>
          <w:rFonts w:asciiTheme="minorHAnsi" w:hAnsiTheme="minorHAnsi"/>
          <w:sz w:val="22"/>
          <w:szCs w:val="22"/>
        </w:rPr>
        <w:t>actually declined</w:t>
      </w:r>
      <w:proofErr w:type="gramEnd"/>
      <w:r w:rsidR="00DC0512" w:rsidRPr="00ED3175">
        <w:rPr>
          <w:rFonts w:asciiTheme="minorHAnsi" w:hAnsiTheme="minorHAnsi"/>
          <w:sz w:val="22"/>
          <w:szCs w:val="22"/>
        </w:rPr>
        <w:t>.</w:t>
      </w:r>
      <w:r w:rsidR="00DC0512" w:rsidRPr="00ED3175">
        <w:rPr>
          <w:rFonts w:asciiTheme="minorHAnsi" w:hAnsiTheme="minorHAnsi"/>
          <w:spacing w:val="-1"/>
          <w:sz w:val="22"/>
          <w:szCs w:val="22"/>
        </w:rPr>
        <w:t xml:space="preserve"> </w:t>
      </w:r>
    </w:p>
    <w:p w14:paraId="5CCC8CF4" w14:textId="174CAC8A" w:rsidR="00B368D0" w:rsidRDefault="00363ED8" w:rsidP="0008538A">
      <w:pPr>
        <w:jc w:val="center"/>
        <w:rPr>
          <w:b/>
        </w:rPr>
      </w:pPr>
      <w:r w:rsidRPr="00694261">
        <w:rPr>
          <w:b/>
        </w:rPr>
        <w:lastRenderedPageBreak/>
        <w:t>Figure 1</w:t>
      </w:r>
      <w:r w:rsidR="00694261" w:rsidRPr="00694261">
        <w:rPr>
          <w:b/>
        </w:rPr>
        <w:t>.</w:t>
      </w:r>
      <w:r w:rsidRPr="00694261">
        <w:rPr>
          <w:b/>
        </w:rPr>
        <w:t xml:space="preserve"> Nominal and </w:t>
      </w:r>
      <w:r w:rsidR="006067D0">
        <w:rPr>
          <w:b/>
        </w:rPr>
        <w:t>r</w:t>
      </w:r>
      <w:r w:rsidRPr="00694261">
        <w:rPr>
          <w:b/>
        </w:rPr>
        <w:t xml:space="preserve">eal </w:t>
      </w:r>
      <w:r w:rsidR="00AC433B">
        <w:rPr>
          <w:b/>
        </w:rPr>
        <w:t xml:space="preserve">domestic </w:t>
      </w:r>
      <w:r w:rsidR="006067D0">
        <w:rPr>
          <w:b/>
        </w:rPr>
        <w:t>b</w:t>
      </w:r>
      <w:r w:rsidRPr="00694261">
        <w:rPr>
          <w:b/>
        </w:rPr>
        <w:t xml:space="preserve">eef </w:t>
      </w:r>
      <w:r w:rsidR="006067D0">
        <w:rPr>
          <w:b/>
        </w:rPr>
        <w:t>m</w:t>
      </w:r>
      <w:r w:rsidRPr="00694261">
        <w:rPr>
          <w:b/>
        </w:rPr>
        <w:t xml:space="preserve">arketing </w:t>
      </w:r>
      <w:r w:rsidR="006067D0">
        <w:rPr>
          <w:b/>
        </w:rPr>
        <w:t>m</w:t>
      </w:r>
      <w:r w:rsidRPr="00694261">
        <w:rPr>
          <w:b/>
        </w:rPr>
        <w:t>argins</w:t>
      </w:r>
      <w:r w:rsidR="006067D0">
        <w:rPr>
          <w:b/>
        </w:rPr>
        <w:t>,</w:t>
      </w:r>
      <w:r w:rsidRPr="00694261">
        <w:rPr>
          <w:b/>
        </w:rPr>
        <w:t xml:space="preserve"> 1970</w:t>
      </w:r>
      <w:r w:rsidR="004767E9">
        <w:rPr>
          <w:b/>
        </w:rPr>
        <w:t>-</w:t>
      </w:r>
      <w:r w:rsidRPr="00694261">
        <w:rPr>
          <w:b/>
        </w:rPr>
        <w:t>20</w:t>
      </w:r>
      <w:r w:rsidR="00D57F9B">
        <w:rPr>
          <w:b/>
        </w:rPr>
        <w:t>21</w:t>
      </w:r>
      <w:r w:rsidR="0008538A">
        <w:rPr>
          <w:b/>
        </w:rPr>
        <w:t xml:space="preserve"> </w:t>
      </w:r>
    </w:p>
    <w:p w14:paraId="510C9A10" w14:textId="24638F99" w:rsidR="0008538A" w:rsidRDefault="0008538A" w:rsidP="0008538A">
      <w:pPr>
        <w:jc w:val="center"/>
        <w:rPr>
          <w:rFonts w:eastAsia="Calibri" w:cs="Calibri"/>
          <w:b/>
        </w:rPr>
      </w:pPr>
      <w:r w:rsidRPr="00B73A45">
        <w:rPr>
          <w:rFonts w:eastAsia="Calibri" w:cs="Calibri"/>
          <w:b/>
        </w:rPr>
        <w:t>(real</w:t>
      </w:r>
      <w:r w:rsidRPr="00B73A45">
        <w:rPr>
          <w:rFonts w:eastAsia="Calibri" w:cs="Calibri"/>
          <w:b/>
          <w:spacing w:val="-3"/>
        </w:rPr>
        <w:t xml:space="preserve"> </w:t>
      </w:r>
      <w:r w:rsidR="00D57F9B">
        <w:rPr>
          <w:rFonts w:eastAsia="Calibri" w:cs="Calibri"/>
          <w:b/>
          <w:spacing w:val="-3"/>
        </w:rPr>
        <w:t>2010/11</w:t>
      </w:r>
      <w:r w:rsidRPr="00B73A45">
        <w:rPr>
          <w:rFonts w:eastAsia="Calibri" w:cs="Calibri"/>
          <w:b/>
        </w:rPr>
        <w:t xml:space="preserve"> cents per </w:t>
      </w:r>
      <w:r w:rsidR="008B4CE0">
        <w:rPr>
          <w:rFonts w:eastAsia="Calibri" w:cs="Calibri"/>
          <w:b/>
        </w:rPr>
        <w:t>k</w:t>
      </w:r>
      <w:r w:rsidRPr="00B73A45">
        <w:rPr>
          <w:rFonts w:eastAsia="Calibri" w:cs="Calibri"/>
          <w:b/>
        </w:rPr>
        <w:t>g)</w:t>
      </w:r>
    </w:p>
    <w:p w14:paraId="1ACB8A1E" w14:textId="77777777" w:rsidR="00DC0512" w:rsidRPr="00304713" w:rsidRDefault="00DC0512" w:rsidP="0008538A">
      <w:pPr>
        <w:jc w:val="center"/>
        <w:rPr>
          <w:rFonts w:eastAsia="Calibri" w:cs="Calibri"/>
          <w:b/>
        </w:rPr>
      </w:pPr>
    </w:p>
    <w:p w14:paraId="7B9D0CD8" w14:textId="4204F162" w:rsidR="004806F6" w:rsidRPr="00694261" w:rsidRDefault="00510754" w:rsidP="00FC1F34">
      <w:pPr>
        <w:pStyle w:val="BodyText"/>
        <w:ind w:left="0"/>
        <w:jc w:val="center"/>
        <w:rPr>
          <w:rFonts w:asciiTheme="minorHAnsi" w:hAnsiTheme="minorHAnsi"/>
          <w:b/>
          <w:sz w:val="22"/>
          <w:szCs w:val="22"/>
        </w:rPr>
      </w:pPr>
      <w:r>
        <w:rPr>
          <w:noProof/>
        </w:rPr>
        <w:drawing>
          <wp:inline distT="0" distB="0" distL="0" distR="0" wp14:anchorId="52AD06B4" wp14:editId="191C6C43">
            <wp:extent cx="5618480" cy="2268416"/>
            <wp:effectExtent l="0" t="0" r="1270" b="17780"/>
            <wp:docPr id="769503569" name="Chart 1">
              <a:extLst xmlns:a="http://schemas.openxmlformats.org/drawingml/2006/main">
                <a:ext uri="{FF2B5EF4-FFF2-40B4-BE49-F238E27FC236}">
                  <a16:creationId xmlns:a16="http://schemas.microsoft.com/office/drawing/2014/main" id="{DD1B48E5-7936-93CE-3ABC-D44C411ABE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172E8E" w14:textId="77777777" w:rsidR="00A976EA" w:rsidRDefault="00A976EA" w:rsidP="00F2319C">
      <w:pPr>
        <w:pStyle w:val="BodyText"/>
        <w:ind w:left="0"/>
        <w:jc w:val="both"/>
        <w:rPr>
          <w:rFonts w:asciiTheme="minorHAnsi" w:hAnsiTheme="minorHAnsi"/>
          <w:sz w:val="22"/>
          <w:szCs w:val="22"/>
        </w:rPr>
      </w:pPr>
    </w:p>
    <w:p w14:paraId="0E6C40CF" w14:textId="0ADA7A69" w:rsidR="004806F6" w:rsidRPr="00FC1F34" w:rsidRDefault="00363ED8" w:rsidP="00FC1F34">
      <w:pPr>
        <w:pStyle w:val="BodyText"/>
        <w:ind w:left="0"/>
        <w:jc w:val="center"/>
        <w:rPr>
          <w:rFonts w:asciiTheme="minorHAnsi" w:hAnsiTheme="minorHAnsi"/>
          <w:b/>
          <w:sz w:val="22"/>
          <w:szCs w:val="22"/>
        </w:rPr>
      </w:pPr>
      <w:r w:rsidRPr="00FC1F34">
        <w:rPr>
          <w:rFonts w:asciiTheme="minorHAnsi" w:hAnsiTheme="minorHAnsi"/>
          <w:b/>
          <w:sz w:val="22"/>
          <w:szCs w:val="22"/>
        </w:rPr>
        <w:t>Figure 2</w:t>
      </w:r>
      <w:r w:rsidR="00FC1F34" w:rsidRPr="00FC1F34">
        <w:rPr>
          <w:rFonts w:asciiTheme="minorHAnsi" w:hAnsiTheme="minorHAnsi"/>
          <w:b/>
          <w:sz w:val="22"/>
          <w:szCs w:val="22"/>
        </w:rPr>
        <w:t>.</w:t>
      </w:r>
      <w:r w:rsidRPr="00FC1F34">
        <w:rPr>
          <w:rFonts w:asciiTheme="minorHAnsi" w:hAnsiTheme="minorHAnsi"/>
          <w:b/>
          <w:sz w:val="22"/>
          <w:szCs w:val="22"/>
        </w:rPr>
        <w:t xml:space="preserve"> Nominal and </w:t>
      </w:r>
      <w:r w:rsidR="006067D0">
        <w:rPr>
          <w:rFonts w:asciiTheme="minorHAnsi" w:hAnsiTheme="minorHAnsi"/>
          <w:b/>
          <w:sz w:val="22"/>
          <w:szCs w:val="22"/>
        </w:rPr>
        <w:t>r</w:t>
      </w:r>
      <w:r w:rsidRPr="00FC1F34">
        <w:rPr>
          <w:rFonts w:asciiTheme="minorHAnsi" w:hAnsiTheme="minorHAnsi"/>
          <w:b/>
          <w:sz w:val="22"/>
          <w:szCs w:val="22"/>
        </w:rPr>
        <w:t xml:space="preserve">eal </w:t>
      </w:r>
      <w:r w:rsidR="00AC433B">
        <w:rPr>
          <w:rFonts w:asciiTheme="minorHAnsi" w:hAnsiTheme="minorHAnsi"/>
          <w:b/>
          <w:sz w:val="22"/>
          <w:szCs w:val="22"/>
        </w:rPr>
        <w:t xml:space="preserve">domestic </w:t>
      </w:r>
      <w:r w:rsidR="006067D0">
        <w:rPr>
          <w:rFonts w:asciiTheme="minorHAnsi" w:hAnsiTheme="minorHAnsi"/>
          <w:b/>
          <w:sz w:val="22"/>
          <w:szCs w:val="22"/>
        </w:rPr>
        <w:t>l</w:t>
      </w:r>
      <w:r w:rsidRPr="00FC1F34">
        <w:rPr>
          <w:rFonts w:asciiTheme="minorHAnsi" w:hAnsiTheme="minorHAnsi"/>
          <w:b/>
          <w:sz w:val="22"/>
          <w:szCs w:val="22"/>
        </w:rPr>
        <w:t xml:space="preserve">amb </w:t>
      </w:r>
      <w:r w:rsidR="006067D0">
        <w:rPr>
          <w:rFonts w:asciiTheme="minorHAnsi" w:hAnsiTheme="minorHAnsi"/>
          <w:b/>
          <w:sz w:val="22"/>
          <w:szCs w:val="22"/>
        </w:rPr>
        <w:t>m</w:t>
      </w:r>
      <w:r w:rsidRPr="00FC1F34">
        <w:rPr>
          <w:rFonts w:asciiTheme="minorHAnsi" w:hAnsiTheme="minorHAnsi"/>
          <w:b/>
          <w:sz w:val="22"/>
          <w:szCs w:val="22"/>
        </w:rPr>
        <w:t xml:space="preserve">arketing </w:t>
      </w:r>
      <w:r w:rsidR="006067D0">
        <w:rPr>
          <w:rFonts w:asciiTheme="minorHAnsi" w:hAnsiTheme="minorHAnsi"/>
          <w:b/>
          <w:sz w:val="22"/>
          <w:szCs w:val="22"/>
        </w:rPr>
        <w:t>m</w:t>
      </w:r>
      <w:r w:rsidRPr="00FC1F34">
        <w:rPr>
          <w:rFonts w:asciiTheme="minorHAnsi" w:hAnsiTheme="minorHAnsi"/>
          <w:b/>
          <w:sz w:val="22"/>
          <w:szCs w:val="22"/>
        </w:rPr>
        <w:t>argins</w:t>
      </w:r>
      <w:r w:rsidR="006067D0">
        <w:rPr>
          <w:rFonts w:asciiTheme="minorHAnsi" w:hAnsiTheme="minorHAnsi"/>
          <w:b/>
          <w:sz w:val="22"/>
          <w:szCs w:val="22"/>
        </w:rPr>
        <w:t>,</w:t>
      </w:r>
      <w:r w:rsidRPr="00FC1F34">
        <w:rPr>
          <w:rFonts w:asciiTheme="minorHAnsi" w:hAnsiTheme="minorHAnsi"/>
          <w:b/>
          <w:sz w:val="22"/>
          <w:szCs w:val="22"/>
        </w:rPr>
        <w:t xml:space="preserve"> 1970</w:t>
      </w:r>
      <w:r w:rsidR="004767E9">
        <w:rPr>
          <w:rFonts w:asciiTheme="minorHAnsi" w:hAnsiTheme="minorHAnsi"/>
          <w:b/>
          <w:sz w:val="22"/>
          <w:szCs w:val="22"/>
        </w:rPr>
        <w:t>-</w:t>
      </w:r>
      <w:r w:rsidR="006067D0">
        <w:rPr>
          <w:rFonts w:asciiTheme="minorHAnsi" w:hAnsiTheme="minorHAnsi"/>
          <w:b/>
          <w:sz w:val="22"/>
          <w:szCs w:val="22"/>
        </w:rPr>
        <w:t>2</w:t>
      </w:r>
      <w:r w:rsidRPr="00FC1F34">
        <w:rPr>
          <w:rFonts w:asciiTheme="minorHAnsi" w:hAnsiTheme="minorHAnsi"/>
          <w:b/>
          <w:sz w:val="22"/>
          <w:szCs w:val="22"/>
        </w:rPr>
        <w:t>0</w:t>
      </w:r>
      <w:r w:rsidR="00D57F9B">
        <w:rPr>
          <w:rFonts w:asciiTheme="minorHAnsi" w:hAnsiTheme="minorHAnsi"/>
          <w:b/>
          <w:sz w:val="22"/>
          <w:szCs w:val="22"/>
        </w:rPr>
        <w:t>21</w:t>
      </w:r>
    </w:p>
    <w:p w14:paraId="0BE54B38" w14:textId="0D8127F8" w:rsidR="0008538A" w:rsidRPr="00304713" w:rsidRDefault="0008538A" w:rsidP="0008538A">
      <w:pPr>
        <w:jc w:val="center"/>
        <w:rPr>
          <w:rFonts w:eastAsia="Calibri" w:cs="Calibri"/>
          <w:b/>
        </w:rPr>
      </w:pPr>
      <w:r w:rsidRPr="00B73A45">
        <w:rPr>
          <w:rFonts w:eastAsia="Calibri" w:cs="Calibri"/>
          <w:b/>
        </w:rPr>
        <w:t>(real</w:t>
      </w:r>
      <w:r w:rsidRPr="00B73A45">
        <w:rPr>
          <w:rFonts w:eastAsia="Calibri" w:cs="Calibri"/>
          <w:b/>
          <w:spacing w:val="-3"/>
        </w:rPr>
        <w:t xml:space="preserve"> </w:t>
      </w:r>
      <w:r w:rsidR="00D57F9B">
        <w:rPr>
          <w:rFonts w:eastAsia="Calibri" w:cs="Calibri"/>
          <w:b/>
          <w:spacing w:val="-3"/>
        </w:rPr>
        <w:t>2010/11</w:t>
      </w:r>
      <w:r w:rsidRPr="00B73A45">
        <w:rPr>
          <w:rFonts w:eastAsia="Calibri" w:cs="Calibri"/>
          <w:b/>
        </w:rPr>
        <w:t xml:space="preserve"> cents per </w:t>
      </w:r>
      <w:r w:rsidR="008B4CE0">
        <w:rPr>
          <w:rFonts w:eastAsia="Calibri" w:cs="Calibri"/>
          <w:b/>
        </w:rPr>
        <w:t>k</w:t>
      </w:r>
      <w:r w:rsidRPr="00B73A45">
        <w:rPr>
          <w:rFonts w:eastAsia="Calibri" w:cs="Calibri"/>
          <w:b/>
        </w:rPr>
        <w:t>g)</w:t>
      </w:r>
    </w:p>
    <w:p w14:paraId="69FF10F3" w14:textId="77777777" w:rsidR="004806F6" w:rsidRPr="00661BD2" w:rsidRDefault="004806F6" w:rsidP="00661BD2">
      <w:pPr>
        <w:jc w:val="both"/>
        <w:sectPr w:rsidR="004806F6" w:rsidRPr="00661BD2" w:rsidSect="00C42807">
          <w:type w:val="continuous"/>
          <w:pgSz w:w="11900" w:h="16840" w:code="9"/>
          <w:pgMar w:top="1440" w:right="1440" w:bottom="1440" w:left="1440" w:header="680" w:footer="680" w:gutter="0"/>
          <w:cols w:space="720"/>
          <w:docGrid w:linePitch="299"/>
        </w:sectPr>
      </w:pPr>
    </w:p>
    <w:p w14:paraId="793A2C9D" w14:textId="77777777" w:rsidR="004806F6" w:rsidRPr="00661BD2" w:rsidRDefault="004806F6" w:rsidP="00661BD2">
      <w:pPr>
        <w:jc w:val="both"/>
        <w:rPr>
          <w:rFonts w:eastAsia="Calibri" w:cs="Calibri"/>
        </w:rPr>
      </w:pPr>
    </w:p>
    <w:p w14:paraId="47CE8A48" w14:textId="30F99540" w:rsidR="004806F6" w:rsidRPr="00661BD2" w:rsidRDefault="00510754" w:rsidP="00FC1F34">
      <w:pPr>
        <w:jc w:val="center"/>
        <w:rPr>
          <w:rFonts w:eastAsia="Calibri" w:cs="Calibri"/>
        </w:rPr>
      </w:pPr>
      <w:r>
        <w:rPr>
          <w:noProof/>
        </w:rPr>
        <w:drawing>
          <wp:inline distT="0" distB="0" distL="0" distR="0" wp14:anchorId="71DF8B1E" wp14:editId="277A6F19">
            <wp:extent cx="5565775" cy="2227385"/>
            <wp:effectExtent l="0" t="0" r="15875" b="1905"/>
            <wp:docPr id="228007264" name="Chart 1">
              <a:extLst xmlns:a="http://schemas.openxmlformats.org/drawingml/2006/main">
                <a:ext uri="{FF2B5EF4-FFF2-40B4-BE49-F238E27FC236}">
                  <a16:creationId xmlns:a16="http://schemas.microsoft.com/office/drawing/2014/main" id="{030DA572-2BBD-A53E-A3C9-40F4FB08B7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99BC0C0" w14:textId="77777777" w:rsidR="004806F6" w:rsidRPr="00661BD2" w:rsidRDefault="004806F6" w:rsidP="00661BD2">
      <w:pPr>
        <w:jc w:val="both"/>
        <w:rPr>
          <w:rFonts w:eastAsia="Calibri" w:cs="Calibri"/>
        </w:rPr>
      </w:pPr>
    </w:p>
    <w:p w14:paraId="268DE54E" w14:textId="53CC66A6" w:rsidR="00B368D0" w:rsidRDefault="00FC1F34" w:rsidP="0008538A">
      <w:pPr>
        <w:jc w:val="center"/>
        <w:rPr>
          <w:b/>
        </w:rPr>
      </w:pPr>
      <w:r w:rsidRPr="00FC1F34">
        <w:rPr>
          <w:b/>
        </w:rPr>
        <w:t>Figure 3.</w:t>
      </w:r>
      <w:r w:rsidR="00363ED8" w:rsidRPr="00FC1F34">
        <w:rPr>
          <w:b/>
        </w:rPr>
        <w:t xml:space="preserve"> Nominal and </w:t>
      </w:r>
      <w:r w:rsidR="006067D0">
        <w:rPr>
          <w:b/>
        </w:rPr>
        <w:t>r</w:t>
      </w:r>
      <w:r w:rsidR="00363ED8" w:rsidRPr="00FC1F34">
        <w:rPr>
          <w:b/>
        </w:rPr>
        <w:t xml:space="preserve">eal </w:t>
      </w:r>
      <w:r w:rsidR="00AC433B">
        <w:rPr>
          <w:b/>
        </w:rPr>
        <w:t xml:space="preserve">domestic </w:t>
      </w:r>
      <w:r w:rsidR="006067D0">
        <w:rPr>
          <w:b/>
        </w:rPr>
        <w:t>p</w:t>
      </w:r>
      <w:r w:rsidR="00363ED8" w:rsidRPr="00FC1F34">
        <w:rPr>
          <w:b/>
        </w:rPr>
        <w:t xml:space="preserve">ork </w:t>
      </w:r>
      <w:r w:rsidR="006067D0">
        <w:rPr>
          <w:b/>
        </w:rPr>
        <w:t>m</w:t>
      </w:r>
      <w:r w:rsidR="00363ED8" w:rsidRPr="00FC1F34">
        <w:rPr>
          <w:b/>
        </w:rPr>
        <w:t xml:space="preserve">arketing </w:t>
      </w:r>
      <w:r w:rsidR="006067D0">
        <w:rPr>
          <w:b/>
        </w:rPr>
        <w:t>m</w:t>
      </w:r>
      <w:r w:rsidR="00363ED8" w:rsidRPr="00FC1F34">
        <w:rPr>
          <w:b/>
        </w:rPr>
        <w:t>argins</w:t>
      </w:r>
      <w:r w:rsidR="006067D0">
        <w:rPr>
          <w:b/>
        </w:rPr>
        <w:t>,</w:t>
      </w:r>
      <w:r w:rsidR="00363ED8" w:rsidRPr="00FC1F34">
        <w:rPr>
          <w:b/>
        </w:rPr>
        <w:t xml:space="preserve"> 1970</w:t>
      </w:r>
      <w:r w:rsidR="004767E9">
        <w:rPr>
          <w:b/>
        </w:rPr>
        <w:t>-</w:t>
      </w:r>
      <w:r w:rsidR="00363ED8" w:rsidRPr="00FC1F34">
        <w:rPr>
          <w:b/>
        </w:rPr>
        <w:t>20</w:t>
      </w:r>
      <w:r w:rsidR="00D57F9B">
        <w:rPr>
          <w:b/>
        </w:rPr>
        <w:t>21</w:t>
      </w:r>
      <w:r w:rsidR="0008538A">
        <w:rPr>
          <w:b/>
        </w:rPr>
        <w:t xml:space="preserve"> </w:t>
      </w:r>
    </w:p>
    <w:p w14:paraId="294FF4D3" w14:textId="0682A525" w:rsidR="0008538A" w:rsidRPr="00304713" w:rsidRDefault="0008538A" w:rsidP="0008538A">
      <w:pPr>
        <w:jc w:val="center"/>
        <w:rPr>
          <w:rFonts w:eastAsia="Calibri" w:cs="Calibri"/>
          <w:b/>
        </w:rPr>
      </w:pPr>
      <w:r w:rsidRPr="00B73A45">
        <w:rPr>
          <w:rFonts w:eastAsia="Calibri" w:cs="Calibri"/>
          <w:b/>
        </w:rPr>
        <w:t>(real</w:t>
      </w:r>
      <w:r w:rsidRPr="00B73A45">
        <w:rPr>
          <w:rFonts w:eastAsia="Calibri" w:cs="Calibri"/>
          <w:b/>
          <w:spacing w:val="-3"/>
        </w:rPr>
        <w:t xml:space="preserve"> </w:t>
      </w:r>
      <w:r w:rsidR="00D57F9B">
        <w:rPr>
          <w:rFonts w:eastAsia="Calibri" w:cs="Calibri"/>
          <w:b/>
          <w:spacing w:val="-3"/>
        </w:rPr>
        <w:t>2010/11</w:t>
      </w:r>
      <w:r w:rsidRPr="00B73A45">
        <w:rPr>
          <w:rFonts w:eastAsia="Calibri" w:cs="Calibri"/>
          <w:b/>
        </w:rPr>
        <w:t xml:space="preserve"> cents per </w:t>
      </w:r>
      <w:r w:rsidR="008B4CE0">
        <w:rPr>
          <w:rFonts w:eastAsia="Calibri" w:cs="Calibri"/>
          <w:b/>
        </w:rPr>
        <w:t>k</w:t>
      </w:r>
      <w:r w:rsidRPr="00B73A45">
        <w:rPr>
          <w:rFonts w:eastAsia="Calibri" w:cs="Calibri"/>
          <w:b/>
        </w:rPr>
        <w:t>g)</w:t>
      </w:r>
    </w:p>
    <w:p w14:paraId="0338AD84" w14:textId="77777777" w:rsidR="00FC1F34" w:rsidRPr="00661BD2" w:rsidRDefault="00FC1F34" w:rsidP="00661BD2">
      <w:pPr>
        <w:pStyle w:val="BodyText"/>
        <w:ind w:left="0"/>
        <w:jc w:val="both"/>
        <w:rPr>
          <w:rFonts w:asciiTheme="minorHAnsi" w:hAnsiTheme="minorHAnsi"/>
          <w:sz w:val="22"/>
          <w:szCs w:val="22"/>
        </w:rPr>
      </w:pPr>
    </w:p>
    <w:p w14:paraId="306560A5" w14:textId="751CF576" w:rsidR="004806F6" w:rsidRPr="00661BD2" w:rsidRDefault="00510754" w:rsidP="00FC1F34">
      <w:pPr>
        <w:jc w:val="center"/>
        <w:rPr>
          <w:rFonts w:eastAsia="Calibri" w:cs="Calibri"/>
        </w:rPr>
      </w:pPr>
      <w:r>
        <w:rPr>
          <w:noProof/>
        </w:rPr>
        <w:drawing>
          <wp:inline distT="0" distB="0" distL="0" distR="0" wp14:anchorId="7301B35D" wp14:editId="23F8AD8D">
            <wp:extent cx="5534660" cy="2391507"/>
            <wp:effectExtent l="0" t="0" r="8890" b="8890"/>
            <wp:docPr id="745584370" name="Chart 1">
              <a:extLst xmlns:a="http://schemas.openxmlformats.org/drawingml/2006/main">
                <a:ext uri="{FF2B5EF4-FFF2-40B4-BE49-F238E27FC236}">
                  <a16:creationId xmlns:a16="http://schemas.microsoft.com/office/drawing/2014/main" id="{DE9DF8F1-DA85-1817-8CA6-33A4804E8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EB63C16" w14:textId="2A926560" w:rsidR="00045A9A" w:rsidRPr="00661BD2" w:rsidRDefault="00045A9A" w:rsidP="00045A9A">
      <w:pPr>
        <w:pStyle w:val="BodyText"/>
        <w:ind w:left="0"/>
        <w:jc w:val="both"/>
        <w:rPr>
          <w:rFonts w:asciiTheme="minorHAnsi" w:hAnsiTheme="minorHAnsi"/>
          <w:sz w:val="22"/>
          <w:szCs w:val="22"/>
        </w:rPr>
      </w:pPr>
      <w:r w:rsidRPr="000F11A4">
        <w:rPr>
          <w:rFonts w:asciiTheme="minorHAnsi" w:hAnsiTheme="minorHAnsi"/>
          <w:sz w:val="22"/>
          <w:szCs w:val="22"/>
        </w:rPr>
        <w:lastRenderedPageBreak/>
        <w:t xml:space="preserve">While drawing conclusions from examining graphs of prices </w:t>
      </w:r>
      <w:proofErr w:type="gramStart"/>
      <w:r w:rsidRPr="000F11A4">
        <w:rPr>
          <w:rFonts w:asciiTheme="minorHAnsi" w:hAnsiTheme="minorHAnsi"/>
          <w:sz w:val="22"/>
          <w:szCs w:val="22"/>
        </w:rPr>
        <w:t>requires</w:t>
      </w:r>
      <w:proofErr w:type="gramEnd"/>
      <w:r w:rsidRPr="000F11A4">
        <w:rPr>
          <w:rFonts w:asciiTheme="minorHAnsi" w:hAnsiTheme="minorHAnsi"/>
          <w:sz w:val="22"/>
          <w:szCs w:val="22"/>
        </w:rPr>
        <w:t xml:space="preserve"> extreme caution, these patterns suggest that the actors in the fresh meat value chains have not</w:t>
      </w:r>
      <w:r w:rsidRPr="000F11A4">
        <w:rPr>
          <w:rFonts w:asciiTheme="minorHAnsi" w:hAnsiTheme="minorHAnsi"/>
          <w:w w:val="99"/>
          <w:sz w:val="22"/>
          <w:szCs w:val="22"/>
        </w:rPr>
        <w:t xml:space="preserve"> been </w:t>
      </w:r>
      <w:r w:rsidRPr="000F11A4">
        <w:rPr>
          <w:rFonts w:asciiTheme="minorHAnsi" w:hAnsiTheme="minorHAnsi"/>
          <w:sz w:val="22"/>
          <w:szCs w:val="22"/>
        </w:rPr>
        <w:t>increasing their profits over time. Popular sentiment is that rising food prices reflect the</w:t>
      </w:r>
      <w:r w:rsidRPr="000F11A4">
        <w:rPr>
          <w:rFonts w:asciiTheme="minorHAnsi" w:hAnsiTheme="minorHAnsi"/>
          <w:spacing w:val="-3"/>
          <w:sz w:val="22"/>
          <w:szCs w:val="22"/>
        </w:rPr>
        <w:t xml:space="preserve"> </w:t>
      </w:r>
      <w:r w:rsidRPr="000F11A4">
        <w:rPr>
          <w:rFonts w:asciiTheme="minorHAnsi" w:hAnsiTheme="minorHAnsi"/>
          <w:sz w:val="22"/>
          <w:szCs w:val="22"/>
        </w:rPr>
        <w:t>ever-increasing profit of large supermarkets. This sentiment is reflected with nominal prices</w:t>
      </w:r>
      <w:r w:rsidRPr="000F11A4">
        <w:rPr>
          <w:rFonts w:asciiTheme="minorHAnsi" w:hAnsiTheme="minorHAnsi"/>
          <w:spacing w:val="-2"/>
          <w:sz w:val="22"/>
          <w:szCs w:val="22"/>
        </w:rPr>
        <w:t xml:space="preserve"> </w:t>
      </w:r>
      <w:r w:rsidRPr="000F11A4">
        <w:rPr>
          <w:rFonts w:asciiTheme="minorHAnsi" w:hAnsiTheme="minorHAnsi"/>
          <w:sz w:val="22"/>
          <w:szCs w:val="22"/>
        </w:rPr>
        <w:t xml:space="preserve">of retail food growing much faster than the farmgate price. However, the data </w:t>
      </w:r>
      <w:r>
        <w:rPr>
          <w:rFonts w:asciiTheme="minorHAnsi" w:hAnsiTheme="minorHAnsi"/>
          <w:sz w:val="22"/>
          <w:szCs w:val="22"/>
        </w:rPr>
        <w:t xml:space="preserve">presented here </w:t>
      </w:r>
      <w:r w:rsidRPr="000F11A4">
        <w:rPr>
          <w:rFonts w:asciiTheme="minorHAnsi" w:hAnsiTheme="minorHAnsi"/>
          <w:sz w:val="22"/>
          <w:szCs w:val="22"/>
        </w:rPr>
        <w:t>suggest that the rise in nominal prices for meat products is a result of cost inflation,</w:t>
      </w:r>
      <w:r w:rsidRPr="000F11A4">
        <w:rPr>
          <w:rFonts w:asciiTheme="minorHAnsi" w:hAnsiTheme="minorHAnsi"/>
          <w:spacing w:val="1"/>
          <w:sz w:val="22"/>
          <w:szCs w:val="22"/>
        </w:rPr>
        <w:t xml:space="preserve"> </w:t>
      </w:r>
      <w:r w:rsidRPr="000F11A4">
        <w:rPr>
          <w:rFonts w:asciiTheme="minorHAnsi" w:hAnsiTheme="minorHAnsi"/>
          <w:sz w:val="22"/>
          <w:szCs w:val="22"/>
        </w:rPr>
        <w:t>rather</w:t>
      </w:r>
      <w:r w:rsidRPr="000F11A4">
        <w:rPr>
          <w:rFonts w:asciiTheme="minorHAnsi" w:hAnsiTheme="minorHAnsi"/>
          <w:w w:val="99"/>
          <w:sz w:val="22"/>
          <w:szCs w:val="22"/>
        </w:rPr>
        <w:t xml:space="preserve"> </w:t>
      </w:r>
      <w:r w:rsidRPr="000F11A4">
        <w:rPr>
          <w:rFonts w:asciiTheme="minorHAnsi" w:hAnsiTheme="minorHAnsi"/>
          <w:sz w:val="22"/>
          <w:szCs w:val="22"/>
        </w:rPr>
        <w:t>than an expansion of the margin due to increasing profits. Between individual years, there is variation in the real marketing margins. However, it is anticipated that this variation can be attributed</w:t>
      </w:r>
      <w:r w:rsidRPr="000F11A4">
        <w:rPr>
          <w:rFonts w:asciiTheme="minorHAnsi" w:hAnsiTheme="minorHAnsi"/>
          <w:spacing w:val="-1"/>
          <w:sz w:val="22"/>
          <w:szCs w:val="22"/>
        </w:rPr>
        <w:t xml:space="preserve"> </w:t>
      </w:r>
      <w:r w:rsidRPr="000F11A4">
        <w:rPr>
          <w:rFonts w:asciiTheme="minorHAnsi" w:hAnsiTheme="minorHAnsi"/>
          <w:sz w:val="22"/>
          <w:szCs w:val="22"/>
        </w:rPr>
        <w:t>to commodity price variability driven by international trade or seasonal conditions, rather than the persistent exercise of market power. This issue is addressed in the formal analysis to follow.</w:t>
      </w:r>
    </w:p>
    <w:p w14:paraId="717EC353" w14:textId="77777777" w:rsidR="00045A9A" w:rsidRDefault="00045A9A" w:rsidP="00AC433B">
      <w:pPr>
        <w:jc w:val="both"/>
        <w:rPr>
          <w:rFonts w:cstheme="minorHAnsi"/>
        </w:rPr>
      </w:pPr>
    </w:p>
    <w:p w14:paraId="5E91A096" w14:textId="402BF5BA" w:rsidR="00AC433B" w:rsidRPr="00383429" w:rsidRDefault="000F11A4" w:rsidP="00AC433B">
      <w:pPr>
        <w:jc w:val="both"/>
        <w:rPr>
          <w:rFonts w:cstheme="minorHAnsi"/>
        </w:rPr>
      </w:pPr>
      <w:r w:rsidRPr="000F11A4">
        <w:rPr>
          <w:rFonts w:cstheme="minorHAnsi"/>
        </w:rPr>
        <w:t xml:space="preserve">Chicken is a different story </w:t>
      </w:r>
      <w:proofErr w:type="gramStart"/>
      <w:r w:rsidRPr="000F11A4">
        <w:rPr>
          <w:rFonts w:cstheme="minorHAnsi"/>
        </w:rPr>
        <w:t>as</w:t>
      </w:r>
      <w:proofErr w:type="gramEnd"/>
      <w:r w:rsidRPr="000F11A4">
        <w:rPr>
          <w:rFonts w:cstheme="minorHAnsi"/>
        </w:rPr>
        <w:t xml:space="preserve"> shown in Figure 4.</w:t>
      </w:r>
      <w:r w:rsidR="00AC433B" w:rsidRPr="000F11A4">
        <w:rPr>
          <w:rFonts w:cstheme="minorHAnsi"/>
        </w:rPr>
        <w:t xml:space="preserve"> The nominal margins, which do not account for inflation, have a slight increasing trend over the whole data period, suggesting a rise in the price of chicken meat relative to the price of chickens. However, there is considerable variability, with two periods of consistent upward trend, and a period of significant decline in the early 1990s. In contrast, the real margins have an overall downward trend, especially between 1974 and 1994, with a very slight downward trend in the second half of the data series. </w:t>
      </w:r>
    </w:p>
    <w:p w14:paraId="6DA63B77" w14:textId="77777777" w:rsidR="00A976EA" w:rsidRDefault="00A976EA" w:rsidP="00AC433B">
      <w:pPr>
        <w:jc w:val="center"/>
        <w:rPr>
          <w:rFonts w:cstheme="minorHAnsi"/>
          <w:b/>
          <w:bCs/>
        </w:rPr>
      </w:pPr>
    </w:p>
    <w:p w14:paraId="42397412" w14:textId="6709248C" w:rsidR="00AC433B" w:rsidRDefault="00AC433B" w:rsidP="007416B0">
      <w:pPr>
        <w:jc w:val="center"/>
        <w:rPr>
          <w:rFonts w:cstheme="minorHAnsi"/>
          <w:b/>
          <w:bCs/>
        </w:rPr>
      </w:pPr>
      <w:r w:rsidRPr="007E4936">
        <w:rPr>
          <w:rFonts w:cstheme="minorHAnsi"/>
          <w:b/>
          <w:bCs/>
        </w:rPr>
        <w:t xml:space="preserve">Figure </w:t>
      </w:r>
      <w:r>
        <w:rPr>
          <w:rFonts w:cstheme="minorHAnsi"/>
          <w:b/>
          <w:bCs/>
        </w:rPr>
        <w:t>4</w:t>
      </w:r>
      <w:r w:rsidRPr="007E4936">
        <w:rPr>
          <w:rFonts w:cstheme="minorHAnsi"/>
          <w:b/>
          <w:bCs/>
        </w:rPr>
        <w:t xml:space="preserve">. Nominal and real </w:t>
      </w:r>
      <w:r>
        <w:rPr>
          <w:rFonts w:cstheme="minorHAnsi"/>
          <w:b/>
          <w:bCs/>
        </w:rPr>
        <w:t xml:space="preserve">domestic </w:t>
      </w:r>
      <w:r w:rsidRPr="007E4936">
        <w:rPr>
          <w:rFonts w:cstheme="minorHAnsi"/>
          <w:b/>
          <w:bCs/>
        </w:rPr>
        <w:t>chicken marketing margins</w:t>
      </w:r>
      <w:r>
        <w:rPr>
          <w:rFonts w:cstheme="minorHAnsi"/>
          <w:b/>
          <w:bCs/>
        </w:rPr>
        <w:t>,</w:t>
      </w:r>
      <w:r w:rsidRPr="007E4936">
        <w:rPr>
          <w:rFonts w:cstheme="minorHAnsi"/>
          <w:b/>
          <w:bCs/>
        </w:rPr>
        <w:t xml:space="preserve"> 197</w:t>
      </w:r>
      <w:r>
        <w:rPr>
          <w:rFonts w:cstheme="minorHAnsi"/>
          <w:b/>
          <w:bCs/>
        </w:rPr>
        <w:t>4</w:t>
      </w:r>
      <w:r w:rsidRPr="007E4936">
        <w:rPr>
          <w:rFonts w:cstheme="minorHAnsi"/>
          <w:b/>
          <w:bCs/>
        </w:rPr>
        <w:t xml:space="preserve"> to 20</w:t>
      </w:r>
      <w:r w:rsidR="008A5B65">
        <w:rPr>
          <w:rFonts w:cstheme="minorHAnsi"/>
          <w:b/>
          <w:bCs/>
        </w:rPr>
        <w:t>21</w:t>
      </w:r>
      <w:r w:rsidR="000F11A4">
        <w:rPr>
          <w:rFonts w:cstheme="minorHAnsi"/>
          <w:b/>
          <w:bCs/>
        </w:rPr>
        <w:t xml:space="preserve"> (base 1990)</w:t>
      </w:r>
    </w:p>
    <w:p w14:paraId="35A28B07" w14:textId="77777777" w:rsidR="00AC433B" w:rsidRPr="007E4936" w:rsidRDefault="00AC433B" w:rsidP="00AC433B">
      <w:pPr>
        <w:jc w:val="center"/>
        <w:rPr>
          <w:rFonts w:cstheme="minorHAnsi"/>
          <w:b/>
          <w:bCs/>
        </w:rPr>
      </w:pPr>
    </w:p>
    <w:p w14:paraId="2358A573" w14:textId="38036F85" w:rsidR="00DE0807" w:rsidRDefault="008A5B65" w:rsidP="00DE0807">
      <w:pPr>
        <w:pStyle w:val="BodyText"/>
        <w:ind w:left="0"/>
        <w:jc w:val="both"/>
        <w:rPr>
          <w:rFonts w:asciiTheme="minorHAnsi" w:hAnsiTheme="minorHAnsi"/>
          <w:sz w:val="22"/>
          <w:szCs w:val="22"/>
        </w:rPr>
      </w:pPr>
      <w:r w:rsidRPr="008A5B65">
        <w:rPr>
          <w:noProof/>
          <w:bdr w:val="single" w:sz="4" w:space="0" w:color="auto"/>
        </w:rPr>
        <w:drawing>
          <wp:inline distT="0" distB="0" distL="0" distR="0" wp14:anchorId="76DA0978" wp14:editId="48E78C16">
            <wp:extent cx="5627370" cy="2465615"/>
            <wp:effectExtent l="0" t="0" r="11430" b="11430"/>
            <wp:docPr id="530768058" name="Chart 1">
              <a:extLst xmlns:a="http://schemas.openxmlformats.org/drawingml/2006/main">
                <a:ext uri="{FF2B5EF4-FFF2-40B4-BE49-F238E27FC236}">
                  <a16:creationId xmlns:a16="http://schemas.microsoft.com/office/drawing/2014/main" id="{BC4F38E1-4719-5C63-2D91-21C4B821D3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60823F7" w14:textId="77777777" w:rsidR="00AC433B" w:rsidRDefault="00AC433B" w:rsidP="00F737B2">
      <w:pPr>
        <w:jc w:val="both"/>
        <w:rPr>
          <w:b/>
          <w:bCs/>
        </w:rPr>
      </w:pPr>
    </w:p>
    <w:p w14:paraId="6943F2BC" w14:textId="77777777" w:rsidR="00A976EA" w:rsidRPr="00B73A45" w:rsidRDefault="00A976EA" w:rsidP="00A976EA">
      <w:pPr>
        <w:jc w:val="both"/>
        <w:rPr>
          <w:b/>
          <w:bCs/>
        </w:rPr>
      </w:pPr>
      <w:r w:rsidRPr="00B73A45">
        <w:rPr>
          <w:b/>
          <w:bCs/>
        </w:rPr>
        <w:t>Unit root tests</w:t>
      </w:r>
    </w:p>
    <w:p w14:paraId="6EC407BC" w14:textId="77777777" w:rsidR="00A976EA" w:rsidRPr="00B73A45" w:rsidRDefault="00A976EA" w:rsidP="00A976EA">
      <w:pPr>
        <w:autoSpaceDE w:val="0"/>
        <w:autoSpaceDN w:val="0"/>
        <w:adjustRightInd w:val="0"/>
        <w:jc w:val="both"/>
      </w:pPr>
    </w:p>
    <w:p w14:paraId="5585D566" w14:textId="77777777" w:rsidR="00F26E69" w:rsidRDefault="00A976EA" w:rsidP="00F26E69">
      <w:pPr>
        <w:jc w:val="both"/>
      </w:pPr>
      <w:r w:rsidRPr="00B73A45">
        <w:t>Even though real prices and costs are used</w:t>
      </w:r>
      <w:r w:rsidRPr="000F11A4">
        <w:t>, and the graphs do not suggest strong trends</w:t>
      </w:r>
      <w:r>
        <w:t xml:space="preserve"> in the real margins</w:t>
      </w:r>
      <w:r w:rsidR="00045A9A">
        <w:t xml:space="preserve"> (except chicken)</w:t>
      </w:r>
      <w:r w:rsidRPr="000F11A4">
        <w:t>, it</w:t>
      </w:r>
      <w:r w:rsidRPr="00B73A45">
        <w:t xml:space="preserve"> is necessary to test for stationarity before proceeding further.</w:t>
      </w:r>
      <w:r>
        <w:t xml:space="preserve"> </w:t>
      </w:r>
      <w:r w:rsidR="00B21109" w:rsidRPr="00B73A45">
        <w:rPr>
          <w:rFonts w:cstheme="minorHAnsi"/>
        </w:rPr>
        <w:t xml:space="preserve">Most of econometric estimation techniques assume that the time series being examined are stationary, that is “the mean and variance are constant over time and the covariance between two values from the series depends only on the length of time separating the two values and not on the actual time at which the variables are observed” (Hill et al., 2001, p.335). If the series are non-stationary, spurious regressions may result, where significant relationships are found when there are none. The stationarity of a time series can be tested by using a unit root test. Here the augmented Dickey-Fuller test </w:t>
      </w:r>
      <w:r w:rsidR="00A24E71">
        <w:rPr>
          <w:rFonts w:cstheme="minorHAnsi"/>
        </w:rPr>
        <w:t xml:space="preserve">is used </w:t>
      </w:r>
      <w:r w:rsidR="00B21109" w:rsidRPr="00B73A45">
        <w:rPr>
          <w:rFonts w:cstheme="minorHAnsi"/>
        </w:rPr>
        <w:t>which allows the addition of constant and trend variables, and where appropriate, other exogenous variables such as dummy variables</w:t>
      </w:r>
      <w:r w:rsidR="00745ADC" w:rsidRPr="00B73A45">
        <w:rPr>
          <w:rFonts w:cstheme="minorHAnsi"/>
        </w:rPr>
        <w:t xml:space="preserve"> (Hall and Cummins, 2003, pp.42-48)</w:t>
      </w:r>
      <w:r w:rsidR="00B21109" w:rsidRPr="00B73A45">
        <w:rPr>
          <w:rFonts w:cstheme="minorHAnsi"/>
        </w:rPr>
        <w:t xml:space="preserve">. For the various series to be considered as stationary, the Dickey-Fuller tau statistic should be significantly different from zero. The results of applying these tests </w:t>
      </w:r>
      <w:r w:rsidR="00045A9A">
        <w:rPr>
          <w:rFonts w:cstheme="minorHAnsi"/>
        </w:rPr>
        <w:t xml:space="preserve">to the domestic market variables </w:t>
      </w:r>
      <w:r w:rsidR="00B21109" w:rsidRPr="00B73A45">
        <w:rPr>
          <w:rFonts w:cstheme="minorHAnsi"/>
        </w:rPr>
        <w:t xml:space="preserve">are shown in Table </w:t>
      </w:r>
      <w:r w:rsidR="00D5452B">
        <w:rPr>
          <w:rFonts w:cstheme="minorHAnsi"/>
        </w:rPr>
        <w:t>4</w:t>
      </w:r>
      <w:r w:rsidR="00B21109" w:rsidRPr="00B73A45">
        <w:rPr>
          <w:rFonts w:cstheme="minorHAnsi"/>
        </w:rPr>
        <w:t>.</w:t>
      </w:r>
      <w:r w:rsidR="00F26E69">
        <w:rPr>
          <w:rFonts w:cstheme="minorHAnsi"/>
        </w:rPr>
        <w:t xml:space="preserve"> </w:t>
      </w:r>
      <w:r w:rsidR="00F26E69">
        <w:t>Note that a</w:t>
      </w:r>
      <w:r w:rsidR="00F26E69" w:rsidRPr="00661BD2">
        <w:t xml:space="preserve"> table of abbreviations is presented in </w:t>
      </w:r>
      <w:r w:rsidR="00F26E69">
        <w:t>Ap</w:t>
      </w:r>
      <w:r w:rsidR="00F26E69" w:rsidRPr="00661BD2">
        <w:t xml:space="preserve">pendix Table </w:t>
      </w:r>
      <w:r w:rsidR="00F26E69">
        <w:t>1 to assist i</w:t>
      </w:r>
      <w:r w:rsidR="00F26E69" w:rsidRPr="00661BD2">
        <w:t>n interpreting the</w:t>
      </w:r>
      <w:r w:rsidR="00F26E69" w:rsidRPr="00661BD2">
        <w:rPr>
          <w:spacing w:val="-1"/>
        </w:rPr>
        <w:t xml:space="preserve"> </w:t>
      </w:r>
      <w:r w:rsidR="00F26E69" w:rsidRPr="00661BD2">
        <w:t>results.</w:t>
      </w:r>
    </w:p>
    <w:p w14:paraId="769C0B1B" w14:textId="0A5881CD" w:rsidR="00B21109" w:rsidRPr="00B73A45" w:rsidRDefault="00B21109" w:rsidP="00A976EA">
      <w:pPr>
        <w:autoSpaceDE w:val="0"/>
        <w:autoSpaceDN w:val="0"/>
        <w:adjustRightInd w:val="0"/>
        <w:jc w:val="both"/>
        <w:rPr>
          <w:rFonts w:cstheme="minorHAnsi"/>
        </w:rPr>
      </w:pPr>
    </w:p>
    <w:p w14:paraId="44382FFB" w14:textId="24392BB1" w:rsidR="00045A9A" w:rsidRPr="00B73A45" w:rsidRDefault="00045A9A" w:rsidP="00045A9A">
      <w:pPr>
        <w:jc w:val="both"/>
      </w:pPr>
      <w:r>
        <w:lastRenderedPageBreak/>
        <w:t>There is one significant tau statistic, and several are weakly significant (between the 5 and 10</w:t>
      </w:r>
      <w:r w:rsidR="001978CC">
        <w:t xml:space="preserve"> per cent</w:t>
      </w:r>
      <w:r>
        <w:t xml:space="preserve"> significance levels) but the great majority are not significant. </w:t>
      </w:r>
      <w:r w:rsidRPr="00B73A45">
        <w:t>Given these unit root test</w:t>
      </w:r>
      <w:r>
        <w:t xml:space="preserve"> result</w:t>
      </w:r>
      <w:r w:rsidRPr="00B73A45">
        <w:t>s, the analysis can</w:t>
      </w:r>
      <w:r>
        <w:t>not</w:t>
      </w:r>
      <w:r w:rsidRPr="00B73A45">
        <w:t xml:space="preserve"> proceed with the variables as defined </w:t>
      </w:r>
      <w:r>
        <w:t xml:space="preserve">in levels </w:t>
      </w:r>
      <w:r w:rsidRPr="00B73A45">
        <w:t>without the need for further transformation</w:t>
      </w:r>
      <w:r>
        <w:t>. First-</w:t>
      </w:r>
      <w:proofErr w:type="gramStart"/>
      <w:r>
        <w:t>differencing</w:t>
      </w:r>
      <w:proofErr w:type="gramEnd"/>
      <w:r>
        <w:t xml:space="preserve"> of the data is the common response</w:t>
      </w:r>
      <w:r w:rsidRPr="00B73A45">
        <w:t>.</w:t>
      </w:r>
      <w:r>
        <w:t xml:space="preserve"> It should be noted that this is a very different outcome from the same tests applied in Hilli and Griffith (2022) and Dhakal and Griffith (2024), where stationarity was found for all variables. The extension of the data set, and possibly the different base of the updated CPI series, has made quite a difference.</w:t>
      </w:r>
    </w:p>
    <w:p w14:paraId="0932F1A5" w14:textId="77777777" w:rsidR="00045A9A" w:rsidRDefault="00045A9A" w:rsidP="00DE129F">
      <w:pPr>
        <w:jc w:val="center"/>
        <w:rPr>
          <w:b/>
          <w:bCs/>
        </w:rPr>
      </w:pPr>
    </w:p>
    <w:p w14:paraId="51E48CE9" w14:textId="38C21881" w:rsidR="00521954" w:rsidRPr="00B73A45" w:rsidRDefault="009C4FE3" w:rsidP="00DE129F">
      <w:pPr>
        <w:jc w:val="center"/>
        <w:rPr>
          <w:b/>
          <w:bCs/>
        </w:rPr>
      </w:pPr>
      <w:r w:rsidRPr="00B73A45">
        <w:rPr>
          <w:b/>
          <w:bCs/>
        </w:rPr>
        <w:t xml:space="preserve">Table </w:t>
      </w:r>
      <w:r w:rsidR="00D5452B">
        <w:rPr>
          <w:b/>
          <w:bCs/>
        </w:rPr>
        <w:t>4</w:t>
      </w:r>
      <w:r w:rsidRPr="00B73A45">
        <w:rPr>
          <w:b/>
          <w:bCs/>
        </w:rPr>
        <w:t>. Unit root tests</w:t>
      </w:r>
      <w:r w:rsidR="00D5452B">
        <w:rPr>
          <w:b/>
          <w:bCs/>
        </w:rPr>
        <w:t xml:space="preserve"> for the domestic market variables</w:t>
      </w:r>
      <w:r w:rsidRPr="00B73A45">
        <w:rPr>
          <w:b/>
          <w:bCs/>
        </w:rPr>
        <w:t>, 197</w:t>
      </w:r>
      <w:r w:rsidR="00606C89">
        <w:rPr>
          <w:b/>
          <w:bCs/>
        </w:rPr>
        <w:t>6</w:t>
      </w:r>
      <w:r w:rsidRPr="00B73A45">
        <w:rPr>
          <w:b/>
          <w:bCs/>
        </w:rPr>
        <w:t>-20</w:t>
      </w:r>
      <w:r w:rsidR="00DE4012">
        <w:rPr>
          <w:b/>
          <w:bCs/>
        </w:rPr>
        <w:t>21</w:t>
      </w:r>
    </w:p>
    <w:p w14:paraId="4A25C657" w14:textId="2636C7C8" w:rsidR="009C4FE3" w:rsidRPr="00B73A45" w:rsidRDefault="009C4FE3" w:rsidP="00F737B2">
      <w:pPr>
        <w:jc w:val="both"/>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258"/>
        <w:gridCol w:w="2253"/>
        <w:gridCol w:w="2255"/>
      </w:tblGrid>
      <w:tr w:rsidR="00606C89" w:rsidRPr="00B73A45" w14:paraId="0F2D6516" w14:textId="77777777" w:rsidTr="00606C89">
        <w:trPr>
          <w:jc w:val="center"/>
        </w:trPr>
        <w:tc>
          <w:tcPr>
            <w:tcW w:w="2258" w:type="dxa"/>
          </w:tcPr>
          <w:p w14:paraId="1E8353D7" w14:textId="07A4E6BA" w:rsidR="00606C89" w:rsidRPr="00B73A45" w:rsidRDefault="00606C89" w:rsidP="00F737B2">
            <w:pPr>
              <w:jc w:val="both"/>
            </w:pPr>
            <w:r w:rsidRPr="00B73A45">
              <w:t>Variable</w:t>
            </w:r>
          </w:p>
        </w:tc>
        <w:tc>
          <w:tcPr>
            <w:tcW w:w="2253" w:type="dxa"/>
          </w:tcPr>
          <w:p w14:paraId="2F342012" w14:textId="0107A33A" w:rsidR="00606C89" w:rsidRPr="00B73A45" w:rsidRDefault="00606C89" w:rsidP="00DE129F">
            <w:pPr>
              <w:jc w:val="right"/>
            </w:pPr>
            <w:r w:rsidRPr="00B73A45">
              <w:t>Tau statistic</w:t>
            </w:r>
          </w:p>
        </w:tc>
        <w:tc>
          <w:tcPr>
            <w:tcW w:w="2255" w:type="dxa"/>
          </w:tcPr>
          <w:p w14:paraId="7DBF1885" w14:textId="2FEC6527" w:rsidR="00606C89" w:rsidRPr="00B73A45" w:rsidRDefault="00606C89" w:rsidP="00DE129F">
            <w:pPr>
              <w:jc w:val="right"/>
            </w:pPr>
            <w:r w:rsidRPr="00B73A45">
              <w:t>P value</w:t>
            </w:r>
          </w:p>
        </w:tc>
      </w:tr>
      <w:tr w:rsidR="00606C89" w:rsidRPr="00B73A45" w14:paraId="77FD02A5" w14:textId="77777777" w:rsidTr="00606C89">
        <w:trPr>
          <w:jc w:val="center"/>
        </w:trPr>
        <w:tc>
          <w:tcPr>
            <w:tcW w:w="2258" w:type="dxa"/>
          </w:tcPr>
          <w:p w14:paraId="5B8BBBA2" w14:textId="442D4ACB" w:rsidR="00606C89" w:rsidRPr="00B73A45" w:rsidRDefault="00606C89" w:rsidP="00F737B2">
            <w:pPr>
              <w:jc w:val="both"/>
            </w:pPr>
            <w:r w:rsidRPr="00B73A45">
              <w:t>MMBFR</w:t>
            </w:r>
          </w:p>
        </w:tc>
        <w:tc>
          <w:tcPr>
            <w:tcW w:w="2253" w:type="dxa"/>
          </w:tcPr>
          <w:p w14:paraId="1AAA0A00" w14:textId="413ADDBA" w:rsidR="00606C89" w:rsidRPr="00B73A45" w:rsidRDefault="00606C89" w:rsidP="00DE129F">
            <w:pPr>
              <w:jc w:val="right"/>
            </w:pPr>
            <w:r w:rsidRPr="00B73A45">
              <w:t>-</w:t>
            </w:r>
            <w:r>
              <w:t>2.68</w:t>
            </w:r>
          </w:p>
        </w:tc>
        <w:tc>
          <w:tcPr>
            <w:tcW w:w="2255" w:type="dxa"/>
          </w:tcPr>
          <w:p w14:paraId="084E54CE" w14:textId="6D679029" w:rsidR="00606C89" w:rsidRPr="00B73A45" w:rsidRDefault="00606C89" w:rsidP="00DE129F">
            <w:pPr>
              <w:jc w:val="right"/>
            </w:pPr>
            <w:r w:rsidRPr="00B73A45">
              <w:t>0.</w:t>
            </w:r>
            <w:r>
              <w:t>24</w:t>
            </w:r>
          </w:p>
        </w:tc>
      </w:tr>
      <w:tr w:rsidR="00606C89" w:rsidRPr="00B73A45" w14:paraId="5B7D124F" w14:textId="77777777" w:rsidTr="00606C89">
        <w:trPr>
          <w:jc w:val="center"/>
        </w:trPr>
        <w:tc>
          <w:tcPr>
            <w:tcW w:w="2258" w:type="dxa"/>
          </w:tcPr>
          <w:p w14:paraId="405B6529" w14:textId="46A97CC5" w:rsidR="00606C89" w:rsidRPr="00B73A45" w:rsidRDefault="00606C89" w:rsidP="00F737B2">
            <w:pPr>
              <w:jc w:val="both"/>
            </w:pPr>
            <w:r w:rsidRPr="00B73A45">
              <w:t>MMLBR</w:t>
            </w:r>
          </w:p>
        </w:tc>
        <w:tc>
          <w:tcPr>
            <w:tcW w:w="2253" w:type="dxa"/>
          </w:tcPr>
          <w:p w14:paraId="0D449B0F" w14:textId="496868C2" w:rsidR="00606C89" w:rsidRPr="00B73A45" w:rsidRDefault="00606C89" w:rsidP="00DE129F">
            <w:pPr>
              <w:jc w:val="right"/>
            </w:pPr>
            <w:r w:rsidRPr="00B73A45">
              <w:t>-3.</w:t>
            </w:r>
            <w:r>
              <w:t>26</w:t>
            </w:r>
          </w:p>
        </w:tc>
        <w:tc>
          <w:tcPr>
            <w:tcW w:w="2255" w:type="dxa"/>
          </w:tcPr>
          <w:p w14:paraId="1BFD34AA" w14:textId="7F9E38DB" w:rsidR="00606C89" w:rsidRPr="00B73A45" w:rsidRDefault="00606C89" w:rsidP="00DE129F">
            <w:pPr>
              <w:jc w:val="right"/>
            </w:pPr>
            <w:r w:rsidRPr="00B73A45">
              <w:t>0.0</w:t>
            </w:r>
            <w:r>
              <w:t>7</w:t>
            </w:r>
          </w:p>
        </w:tc>
      </w:tr>
      <w:tr w:rsidR="00606C89" w:rsidRPr="00B73A45" w14:paraId="52B82975" w14:textId="77777777" w:rsidTr="00606C89">
        <w:trPr>
          <w:jc w:val="center"/>
        </w:trPr>
        <w:tc>
          <w:tcPr>
            <w:tcW w:w="2258" w:type="dxa"/>
          </w:tcPr>
          <w:p w14:paraId="68343956" w14:textId="44AC592B" w:rsidR="00606C89" w:rsidRPr="00B73A45" w:rsidRDefault="00606C89" w:rsidP="00F737B2">
            <w:pPr>
              <w:jc w:val="both"/>
            </w:pPr>
            <w:r w:rsidRPr="00B73A45">
              <w:t>MMPKR</w:t>
            </w:r>
          </w:p>
        </w:tc>
        <w:tc>
          <w:tcPr>
            <w:tcW w:w="2253" w:type="dxa"/>
          </w:tcPr>
          <w:p w14:paraId="368893E0" w14:textId="07312ACA" w:rsidR="00606C89" w:rsidRPr="00B73A45" w:rsidRDefault="00606C89" w:rsidP="00DE129F">
            <w:pPr>
              <w:jc w:val="right"/>
            </w:pPr>
            <w:r w:rsidRPr="00B73A45">
              <w:t>-3.</w:t>
            </w:r>
            <w:r>
              <w:t>09</w:t>
            </w:r>
          </w:p>
        </w:tc>
        <w:tc>
          <w:tcPr>
            <w:tcW w:w="2255" w:type="dxa"/>
          </w:tcPr>
          <w:p w14:paraId="309DC6FA" w14:textId="7F3034C5" w:rsidR="00606C89" w:rsidRPr="00B73A45" w:rsidRDefault="00606C89" w:rsidP="00DE129F">
            <w:pPr>
              <w:jc w:val="right"/>
            </w:pPr>
            <w:r w:rsidRPr="00B73A45">
              <w:t>0.</w:t>
            </w:r>
            <w:r>
              <w:t>11</w:t>
            </w:r>
          </w:p>
        </w:tc>
      </w:tr>
      <w:tr w:rsidR="00606C89" w:rsidRPr="00B73A45" w14:paraId="37F742E4" w14:textId="77777777" w:rsidTr="00606C89">
        <w:trPr>
          <w:jc w:val="center"/>
        </w:trPr>
        <w:tc>
          <w:tcPr>
            <w:tcW w:w="2258" w:type="dxa"/>
          </w:tcPr>
          <w:p w14:paraId="5803D7D5" w14:textId="633D1E47" w:rsidR="00606C89" w:rsidRPr="00B73A45" w:rsidRDefault="00606C89" w:rsidP="00F737B2">
            <w:pPr>
              <w:jc w:val="both"/>
            </w:pPr>
            <w:r>
              <w:t>MMCKR</w:t>
            </w:r>
          </w:p>
        </w:tc>
        <w:tc>
          <w:tcPr>
            <w:tcW w:w="2253" w:type="dxa"/>
          </w:tcPr>
          <w:p w14:paraId="267BEE4E" w14:textId="2F4BA3FB" w:rsidR="00606C89" w:rsidRPr="00B73A45" w:rsidRDefault="00606C89" w:rsidP="00DE129F">
            <w:pPr>
              <w:jc w:val="right"/>
            </w:pPr>
            <w:r>
              <w:t>-2.56</w:t>
            </w:r>
          </w:p>
        </w:tc>
        <w:tc>
          <w:tcPr>
            <w:tcW w:w="2255" w:type="dxa"/>
          </w:tcPr>
          <w:p w14:paraId="7B71FDB3" w14:textId="062C9B56" w:rsidR="00606C89" w:rsidRPr="00B73A45" w:rsidRDefault="00606C89" w:rsidP="00DE129F">
            <w:pPr>
              <w:jc w:val="right"/>
            </w:pPr>
            <w:r>
              <w:t>0.30</w:t>
            </w:r>
          </w:p>
        </w:tc>
      </w:tr>
      <w:tr w:rsidR="00606C89" w:rsidRPr="00B73A45" w14:paraId="685B5C36" w14:textId="77777777" w:rsidTr="00606C89">
        <w:trPr>
          <w:jc w:val="center"/>
        </w:trPr>
        <w:tc>
          <w:tcPr>
            <w:tcW w:w="2258" w:type="dxa"/>
          </w:tcPr>
          <w:p w14:paraId="7E1B5042" w14:textId="1C0623D3" w:rsidR="00606C89" w:rsidRPr="00B73A45" w:rsidRDefault="00606C89" w:rsidP="00F737B2">
            <w:pPr>
              <w:jc w:val="both"/>
            </w:pPr>
            <w:r w:rsidRPr="00B73A45">
              <w:t>DMBF</w:t>
            </w:r>
          </w:p>
        </w:tc>
        <w:tc>
          <w:tcPr>
            <w:tcW w:w="2253" w:type="dxa"/>
          </w:tcPr>
          <w:p w14:paraId="78E2DD3F" w14:textId="5C7E10EA" w:rsidR="00606C89" w:rsidRPr="00B73A45" w:rsidRDefault="00606C89" w:rsidP="00DE129F">
            <w:pPr>
              <w:jc w:val="right"/>
            </w:pPr>
            <w:r w:rsidRPr="00B73A45">
              <w:t>-</w:t>
            </w:r>
            <w:r>
              <w:t>2.77</w:t>
            </w:r>
          </w:p>
        </w:tc>
        <w:tc>
          <w:tcPr>
            <w:tcW w:w="2255" w:type="dxa"/>
          </w:tcPr>
          <w:p w14:paraId="324EC208" w14:textId="396622D1" w:rsidR="00606C89" w:rsidRPr="00B73A45" w:rsidRDefault="00606C89" w:rsidP="00DE129F">
            <w:pPr>
              <w:jc w:val="right"/>
            </w:pPr>
            <w:r w:rsidRPr="00B73A45">
              <w:t>0.</w:t>
            </w:r>
            <w:r>
              <w:t>21</w:t>
            </w:r>
          </w:p>
        </w:tc>
      </w:tr>
      <w:tr w:rsidR="00606C89" w:rsidRPr="00B73A45" w14:paraId="0FE4E44D" w14:textId="77777777" w:rsidTr="00606C89">
        <w:trPr>
          <w:jc w:val="center"/>
        </w:trPr>
        <w:tc>
          <w:tcPr>
            <w:tcW w:w="2258" w:type="dxa"/>
          </w:tcPr>
          <w:p w14:paraId="13ED7570" w14:textId="08BE11B6" w:rsidR="00606C89" w:rsidRPr="00B73A45" w:rsidRDefault="00606C89" w:rsidP="00F737B2">
            <w:pPr>
              <w:jc w:val="both"/>
            </w:pPr>
            <w:r w:rsidRPr="00B73A45">
              <w:t>DMLB</w:t>
            </w:r>
          </w:p>
        </w:tc>
        <w:tc>
          <w:tcPr>
            <w:tcW w:w="2253" w:type="dxa"/>
          </w:tcPr>
          <w:p w14:paraId="17BEF9CB" w14:textId="5D6F7452" w:rsidR="00606C89" w:rsidRPr="00B73A45" w:rsidRDefault="00606C89" w:rsidP="00DE129F">
            <w:pPr>
              <w:jc w:val="right"/>
            </w:pPr>
            <w:r w:rsidRPr="00B73A45">
              <w:t>-</w:t>
            </w:r>
            <w:r>
              <w:t>2.93</w:t>
            </w:r>
          </w:p>
        </w:tc>
        <w:tc>
          <w:tcPr>
            <w:tcW w:w="2255" w:type="dxa"/>
          </w:tcPr>
          <w:p w14:paraId="1481ABC1" w14:textId="6501E253" w:rsidR="00606C89" w:rsidRPr="00B73A45" w:rsidRDefault="00606C89" w:rsidP="00DE129F">
            <w:pPr>
              <w:jc w:val="right"/>
            </w:pPr>
            <w:r w:rsidRPr="00B73A45">
              <w:t>0.</w:t>
            </w:r>
            <w:r>
              <w:t>15</w:t>
            </w:r>
          </w:p>
        </w:tc>
      </w:tr>
      <w:tr w:rsidR="00606C89" w:rsidRPr="00B73A45" w14:paraId="540906EF" w14:textId="77777777" w:rsidTr="00606C89">
        <w:trPr>
          <w:jc w:val="center"/>
        </w:trPr>
        <w:tc>
          <w:tcPr>
            <w:tcW w:w="2258" w:type="dxa"/>
          </w:tcPr>
          <w:p w14:paraId="5B170861" w14:textId="2AC39CAE" w:rsidR="00606C89" w:rsidRPr="00B73A45" w:rsidRDefault="00606C89" w:rsidP="00F737B2">
            <w:pPr>
              <w:jc w:val="both"/>
            </w:pPr>
            <w:r w:rsidRPr="00B73A45">
              <w:t>DMPK</w:t>
            </w:r>
          </w:p>
        </w:tc>
        <w:tc>
          <w:tcPr>
            <w:tcW w:w="2253" w:type="dxa"/>
          </w:tcPr>
          <w:p w14:paraId="1DA96A1A" w14:textId="3FD39D02" w:rsidR="00606C89" w:rsidRPr="00B73A45" w:rsidRDefault="00606C89" w:rsidP="00DE129F">
            <w:pPr>
              <w:jc w:val="right"/>
            </w:pPr>
            <w:r w:rsidRPr="00B73A45">
              <w:t>-</w:t>
            </w:r>
            <w:r>
              <w:t>3.26</w:t>
            </w:r>
          </w:p>
        </w:tc>
        <w:tc>
          <w:tcPr>
            <w:tcW w:w="2255" w:type="dxa"/>
          </w:tcPr>
          <w:p w14:paraId="07581A66" w14:textId="73A71EC4" w:rsidR="00606C89" w:rsidRPr="00B73A45" w:rsidRDefault="00606C89" w:rsidP="00DE129F">
            <w:pPr>
              <w:jc w:val="right"/>
            </w:pPr>
            <w:r w:rsidRPr="00B73A45">
              <w:t>0.0</w:t>
            </w:r>
            <w:r>
              <w:t>7</w:t>
            </w:r>
          </w:p>
        </w:tc>
      </w:tr>
      <w:tr w:rsidR="00606C89" w:rsidRPr="00B73A45" w14:paraId="658B71EF" w14:textId="77777777" w:rsidTr="00606C89">
        <w:trPr>
          <w:jc w:val="center"/>
        </w:trPr>
        <w:tc>
          <w:tcPr>
            <w:tcW w:w="2258" w:type="dxa"/>
          </w:tcPr>
          <w:p w14:paraId="0F390C8B" w14:textId="0C7001E6" w:rsidR="00606C89" w:rsidRPr="00B73A45" w:rsidRDefault="00606C89" w:rsidP="00F737B2">
            <w:pPr>
              <w:jc w:val="both"/>
            </w:pPr>
            <w:r>
              <w:t>DMCK</w:t>
            </w:r>
          </w:p>
        </w:tc>
        <w:tc>
          <w:tcPr>
            <w:tcW w:w="2253" w:type="dxa"/>
          </w:tcPr>
          <w:p w14:paraId="1AA2F98E" w14:textId="4EF621AA" w:rsidR="00606C89" w:rsidRPr="00B73A45" w:rsidRDefault="00606C89" w:rsidP="00DE129F">
            <w:pPr>
              <w:jc w:val="right"/>
            </w:pPr>
            <w:r>
              <w:t>-3.34</w:t>
            </w:r>
          </w:p>
        </w:tc>
        <w:tc>
          <w:tcPr>
            <w:tcW w:w="2255" w:type="dxa"/>
          </w:tcPr>
          <w:p w14:paraId="794C73E1" w14:textId="2BE50671" w:rsidR="00606C89" w:rsidRPr="00B73A45" w:rsidRDefault="00606C89" w:rsidP="00DE129F">
            <w:pPr>
              <w:jc w:val="right"/>
            </w:pPr>
            <w:r>
              <w:t>0.06</w:t>
            </w:r>
          </w:p>
        </w:tc>
      </w:tr>
      <w:tr w:rsidR="00606C89" w:rsidRPr="00B73A45" w14:paraId="590B7C4D" w14:textId="77777777" w:rsidTr="00606C89">
        <w:trPr>
          <w:jc w:val="center"/>
        </w:trPr>
        <w:tc>
          <w:tcPr>
            <w:tcW w:w="2258" w:type="dxa"/>
          </w:tcPr>
          <w:p w14:paraId="795BF0C9" w14:textId="4FD371D9" w:rsidR="00606C89" w:rsidRPr="00B73A45" w:rsidRDefault="00606C89" w:rsidP="00F737B2">
            <w:pPr>
              <w:jc w:val="both"/>
            </w:pPr>
            <w:r w:rsidRPr="00B73A45">
              <w:t>DMBFI</w:t>
            </w:r>
          </w:p>
        </w:tc>
        <w:tc>
          <w:tcPr>
            <w:tcW w:w="2253" w:type="dxa"/>
          </w:tcPr>
          <w:p w14:paraId="573159C9" w14:textId="54BDF677" w:rsidR="00606C89" w:rsidRPr="00B73A45" w:rsidRDefault="00606C89" w:rsidP="00DE129F">
            <w:pPr>
              <w:jc w:val="right"/>
            </w:pPr>
            <w:r w:rsidRPr="00B73A45">
              <w:t>-</w:t>
            </w:r>
            <w:r>
              <w:t>2.77</w:t>
            </w:r>
          </w:p>
        </w:tc>
        <w:tc>
          <w:tcPr>
            <w:tcW w:w="2255" w:type="dxa"/>
          </w:tcPr>
          <w:p w14:paraId="1B4E5D26" w14:textId="40784E67" w:rsidR="00606C89" w:rsidRPr="00B73A45" w:rsidRDefault="00606C89" w:rsidP="00DE129F">
            <w:pPr>
              <w:jc w:val="right"/>
            </w:pPr>
            <w:r w:rsidRPr="00B73A45">
              <w:t>0.</w:t>
            </w:r>
            <w:r>
              <w:t>21</w:t>
            </w:r>
          </w:p>
        </w:tc>
      </w:tr>
      <w:tr w:rsidR="00606C89" w:rsidRPr="00B73A45" w14:paraId="3909FAAF" w14:textId="77777777" w:rsidTr="00606C89">
        <w:trPr>
          <w:jc w:val="center"/>
        </w:trPr>
        <w:tc>
          <w:tcPr>
            <w:tcW w:w="2258" w:type="dxa"/>
          </w:tcPr>
          <w:p w14:paraId="3BE70082" w14:textId="4E4E286A" w:rsidR="00606C89" w:rsidRPr="00B73A45" w:rsidRDefault="00606C89" w:rsidP="00F737B2">
            <w:pPr>
              <w:jc w:val="both"/>
            </w:pPr>
            <w:r w:rsidRPr="00B73A45">
              <w:t>DMLBI</w:t>
            </w:r>
          </w:p>
        </w:tc>
        <w:tc>
          <w:tcPr>
            <w:tcW w:w="2253" w:type="dxa"/>
          </w:tcPr>
          <w:p w14:paraId="280B4E53" w14:textId="3765B9CB" w:rsidR="00606C89" w:rsidRPr="00B73A45" w:rsidRDefault="00606C89" w:rsidP="00DE129F">
            <w:pPr>
              <w:jc w:val="right"/>
            </w:pPr>
            <w:r w:rsidRPr="00B73A45">
              <w:t>-</w:t>
            </w:r>
            <w:r>
              <w:t>2.88</w:t>
            </w:r>
          </w:p>
        </w:tc>
        <w:tc>
          <w:tcPr>
            <w:tcW w:w="2255" w:type="dxa"/>
          </w:tcPr>
          <w:p w14:paraId="54C88A7C" w14:textId="6B6A3003" w:rsidR="00606C89" w:rsidRPr="00B73A45" w:rsidRDefault="00606C89" w:rsidP="00DE129F">
            <w:pPr>
              <w:jc w:val="right"/>
            </w:pPr>
            <w:r w:rsidRPr="00B73A45">
              <w:t>0.</w:t>
            </w:r>
            <w:r>
              <w:t>1</w:t>
            </w:r>
            <w:r w:rsidRPr="00B73A45">
              <w:t>7</w:t>
            </w:r>
          </w:p>
        </w:tc>
      </w:tr>
      <w:tr w:rsidR="00606C89" w:rsidRPr="00B73A45" w14:paraId="6DC5B0FE" w14:textId="77777777" w:rsidTr="00606C89">
        <w:trPr>
          <w:jc w:val="center"/>
        </w:trPr>
        <w:tc>
          <w:tcPr>
            <w:tcW w:w="2258" w:type="dxa"/>
          </w:tcPr>
          <w:p w14:paraId="3E34B22F" w14:textId="3DDC6D13" w:rsidR="00606C89" w:rsidRPr="00B73A45" w:rsidRDefault="00606C89" w:rsidP="00F737B2">
            <w:pPr>
              <w:jc w:val="both"/>
            </w:pPr>
            <w:r w:rsidRPr="00B73A45">
              <w:t>DMPKI</w:t>
            </w:r>
          </w:p>
        </w:tc>
        <w:tc>
          <w:tcPr>
            <w:tcW w:w="2253" w:type="dxa"/>
          </w:tcPr>
          <w:p w14:paraId="06A47D16" w14:textId="3F55C0A8" w:rsidR="00606C89" w:rsidRPr="00B73A45" w:rsidRDefault="00606C89" w:rsidP="00DE129F">
            <w:pPr>
              <w:jc w:val="right"/>
            </w:pPr>
            <w:r w:rsidRPr="00B73A45">
              <w:t>-4.</w:t>
            </w:r>
            <w:r>
              <w:t>79</w:t>
            </w:r>
          </w:p>
        </w:tc>
        <w:tc>
          <w:tcPr>
            <w:tcW w:w="2255" w:type="dxa"/>
          </w:tcPr>
          <w:p w14:paraId="6F5F65D8" w14:textId="4D7FCBE7" w:rsidR="00606C89" w:rsidRPr="00B73A45" w:rsidRDefault="00606C89" w:rsidP="00DE129F">
            <w:pPr>
              <w:jc w:val="right"/>
            </w:pPr>
            <w:r w:rsidRPr="00B73A45">
              <w:t>0.000</w:t>
            </w:r>
            <w:r>
              <w:t>5</w:t>
            </w:r>
          </w:p>
        </w:tc>
      </w:tr>
      <w:tr w:rsidR="00606C89" w:rsidRPr="00B73A45" w14:paraId="629AAC8F" w14:textId="77777777" w:rsidTr="00606C89">
        <w:trPr>
          <w:jc w:val="center"/>
        </w:trPr>
        <w:tc>
          <w:tcPr>
            <w:tcW w:w="2258" w:type="dxa"/>
          </w:tcPr>
          <w:p w14:paraId="385004C7" w14:textId="17B8B961" w:rsidR="00606C89" w:rsidRPr="00B73A45" w:rsidRDefault="00606C89" w:rsidP="00F737B2">
            <w:pPr>
              <w:jc w:val="both"/>
            </w:pPr>
            <w:r>
              <w:t>DMCKI</w:t>
            </w:r>
          </w:p>
        </w:tc>
        <w:tc>
          <w:tcPr>
            <w:tcW w:w="2253" w:type="dxa"/>
          </w:tcPr>
          <w:p w14:paraId="70D42633" w14:textId="14991DB9" w:rsidR="00606C89" w:rsidRPr="00B73A45" w:rsidRDefault="00606C89" w:rsidP="00DE129F">
            <w:pPr>
              <w:jc w:val="right"/>
            </w:pPr>
            <w:r>
              <w:t>-2.51</w:t>
            </w:r>
          </w:p>
        </w:tc>
        <w:tc>
          <w:tcPr>
            <w:tcW w:w="2255" w:type="dxa"/>
          </w:tcPr>
          <w:p w14:paraId="15CA5F8D" w14:textId="3EC6F8F0" w:rsidR="00606C89" w:rsidRPr="00B73A45" w:rsidRDefault="00606C89" w:rsidP="00DE129F">
            <w:pPr>
              <w:jc w:val="right"/>
            </w:pPr>
            <w:r>
              <w:t>0.32</w:t>
            </w:r>
          </w:p>
        </w:tc>
      </w:tr>
      <w:tr w:rsidR="00606C89" w:rsidRPr="00B73A45" w14:paraId="50795EE3" w14:textId="77777777" w:rsidTr="00606C89">
        <w:trPr>
          <w:jc w:val="center"/>
        </w:trPr>
        <w:tc>
          <w:tcPr>
            <w:tcW w:w="2258" w:type="dxa"/>
          </w:tcPr>
          <w:p w14:paraId="6DDB11C1" w14:textId="0AFDDDA7" w:rsidR="00606C89" w:rsidRPr="00B73A45" w:rsidRDefault="00606C89" w:rsidP="00F737B2">
            <w:pPr>
              <w:jc w:val="both"/>
            </w:pPr>
            <w:r w:rsidRPr="00B73A45">
              <w:t>COSTIND</w:t>
            </w:r>
          </w:p>
        </w:tc>
        <w:tc>
          <w:tcPr>
            <w:tcW w:w="2253" w:type="dxa"/>
          </w:tcPr>
          <w:p w14:paraId="0844F804" w14:textId="57CF99B6" w:rsidR="00606C89" w:rsidRPr="00B73A45" w:rsidRDefault="00606C89" w:rsidP="00DE129F">
            <w:pPr>
              <w:jc w:val="right"/>
            </w:pPr>
            <w:r w:rsidRPr="00B73A45">
              <w:t>-</w:t>
            </w:r>
            <w:r>
              <w:t>3.35</w:t>
            </w:r>
          </w:p>
        </w:tc>
        <w:tc>
          <w:tcPr>
            <w:tcW w:w="2255" w:type="dxa"/>
          </w:tcPr>
          <w:p w14:paraId="58EB53B2" w14:textId="44AD45B7" w:rsidR="00606C89" w:rsidRPr="00B73A45" w:rsidRDefault="00606C89" w:rsidP="00DE129F">
            <w:pPr>
              <w:jc w:val="right"/>
            </w:pPr>
            <w:r w:rsidRPr="00B73A45">
              <w:t>0.0</w:t>
            </w:r>
            <w:r>
              <w:t>6</w:t>
            </w:r>
          </w:p>
        </w:tc>
      </w:tr>
    </w:tbl>
    <w:p w14:paraId="7431385E" w14:textId="77777777" w:rsidR="00A5773C" w:rsidRPr="00B73A45" w:rsidRDefault="00A5773C" w:rsidP="00F737B2">
      <w:pPr>
        <w:jc w:val="both"/>
      </w:pPr>
    </w:p>
    <w:p w14:paraId="7F735B57" w14:textId="77777777" w:rsidR="00A5773C" w:rsidRPr="00A5773C" w:rsidRDefault="00A5773C" w:rsidP="00F737B2">
      <w:pPr>
        <w:jc w:val="both"/>
        <w:rPr>
          <w:b/>
          <w:bCs/>
        </w:rPr>
      </w:pPr>
      <w:r w:rsidRPr="00B73A45">
        <w:rPr>
          <w:b/>
          <w:bCs/>
        </w:rPr>
        <w:t>The range of results</w:t>
      </w:r>
    </w:p>
    <w:p w14:paraId="73311E14" w14:textId="77777777" w:rsidR="00A5773C" w:rsidRDefault="00A5773C" w:rsidP="00F737B2">
      <w:pPr>
        <w:jc w:val="both"/>
      </w:pPr>
    </w:p>
    <w:p w14:paraId="67A9E51F" w14:textId="6AA5FCFD" w:rsidR="00F737B2" w:rsidRDefault="00F737B2" w:rsidP="00F737B2">
      <w:pPr>
        <w:jc w:val="both"/>
      </w:pPr>
      <w:r>
        <w:t>There are many possible equations</w:t>
      </w:r>
      <w:r w:rsidR="001978CC">
        <w:t xml:space="preserve"> to be estimated</w:t>
      </w:r>
      <w:r>
        <w:t xml:space="preserve">: </w:t>
      </w:r>
      <w:r w:rsidR="00E24B21">
        <w:t>four</w:t>
      </w:r>
      <w:r>
        <w:t xml:space="preserve"> meat types; three estimation methods; with none, one or more dummy variables; with or without autocorrelation; and with or without restrictions on coefficients being non-negative. </w:t>
      </w:r>
    </w:p>
    <w:p w14:paraId="7BC7CC58" w14:textId="77777777" w:rsidR="00F737B2" w:rsidRDefault="00F737B2" w:rsidP="00F737B2">
      <w:pPr>
        <w:jc w:val="both"/>
      </w:pPr>
    </w:p>
    <w:p w14:paraId="3AF7565D" w14:textId="21380481" w:rsidR="00F737B2" w:rsidRDefault="00F737B2" w:rsidP="00F737B2">
      <w:pPr>
        <w:jc w:val="both"/>
      </w:pPr>
      <w:r>
        <w:t>The first way that the total number of possible equations can be minimized is by checking for autocorrelation. The results presented in Appendix Table 2 for the OLSQ and AR1 versions of the same simplified equations estimated by Chung and Griffith (2009) show that for each pair of equations, the OLSQ equation is always improved by an autocorrelation correction. The Durbin-Watson statistic is substantially improved</w:t>
      </w:r>
      <w:r w:rsidR="00D763E2">
        <w:t>, except for the case of pork which has a remarkably high negative rho coefficient, and the a</w:t>
      </w:r>
      <w:r>
        <w:t>djusted R</w:t>
      </w:r>
      <w:r>
        <w:rPr>
          <w:vertAlign w:val="superscript"/>
        </w:rPr>
        <w:t>2</w:t>
      </w:r>
      <w:r w:rsidR="003F0507">
        <w:rPr>
          <w:vertAlign w:val="superscript"/>
        </w:rPr>
        <w:t xml:space="preserve"> </w:t>
      </w:r>
      <w:r w:rsidR="00D763E2" w:rsidRPr="00D763E2">
        <w:t>are not adversely effected</w:t>
      </w:r>
      <w:r>
        <w:t>.  This is confirmed by the highly significant t statistic on the estimated rho coefficient in the AR1 versions</w:t>
      </w:r>
      <w:r w:rsidR="00045A9A">
        <w:t xml:space="preserve"> (except for lamb)</w:t>
      </w:r>
      <w:r w:rsidR="003F0507">
        <w:t>, even though the rho coefficient is often negative (a common result when using first-differenced data)</w:t>
      </w:r>
      <w:r>
        <w:t>.  While not shown</w:t>
      </w:r>
      <w:r w:rsidR="00E24B21">
        <w:t xml:space="preserve"> here for brevity</w:t>
      </w:r>
      <w:r>
        <w:t xml:space="preserve">, this pattern was the same for every estimated pair of equations (across the </w:t>
      </w:r>
      <w:r w:rsidR="00E24B21">
        <w:t>four</w:t>
      </w:r>
      <w:r>
        <w:t xml:space="preserve"> meat types, across the three estimation methods and </w:t>
      </w:r>
      <w:proofErr w:type="gramStart"/>
      <w:r>
        <w:t>whether or not</w:t>
      </w:r>
      <w:proofErr w:type="gramEnd"/>
      <w:r>
        <w:t xml:space="preserve"> dummy variables are included)</w:t>
      </w:r>
      <w:r w:rsidR="00E24B21">
        <w:t>.</w:t>
      </w:r>
      <w:r>
        <w:t xml:space="preserve"> </w:t>
      </w:r>
      <w:r w:rsidR="00E24B21">
        <w:t>A</w:t>
      </w:r>
      <w:r>
        <w:t>n autocorrelation correction was always required. From here on, only autocorrelation-corrected equations are reported.</w:t>
      </w:r>
    </w:p>
    <w:p w14:paraId="23DE9615" w14:textId="77777777" w:rsidR="00F2319C" w:rsidRDefault="00F2319C" w:rsidP="00752343">
      <w:pPr>
        <w:jc w:val="both"/>
      </w:pPr>
    </w:p>
    <w:p w14:paraId="21963730" w14:textId="12FE2388" w:rsidR="00752343" w:rsidRDefault="00FA6750" w:rsidP="00752343">
      <w:pPr>
        <w:jc w:val="both"/>
      </w:pPr>
      <w:r>
        <w:t>Ne</w:t>
      </w:r>
      <w:r w:rsidR="001E698B" w:rsidRPr="00662CF0">
        <w:t>xt</w:t>
      </w:r>
      <w:r>
        <w:t>,</w:t>
      </w:r>
      <w:r w:rsidR="001E698B" w:rsidRPr="00662CF0">
        <w:t xml:space="preserve"> </w:t>
      </w:r>
      <w:proofErr w:type="gramStart"/>
      <w:r w:rsidR="001E698B" w:rsidRPr="00662CF0">
        <w:t>whether or not</w:t>
      </w:r>
      <w:proofErr w:type="gramEnd"/>
      <w:r w:rsidR="001E698B" w:rsidRPr="00662CF0">
        <w:t xml:space="preserve"> the various dummy variables constructed to reflect different policy regimes and industry adjustments should be included in the margin equations </w:t>
      </w:r>
      <w:r>
        <w:t>is tested</w:t>
      </w:r>
      <w:r w:rsidR="001E698B" w:rsidRPr="00662CF0">
        <w:t xml:space="preserve">. </w:t>
      </w:r>
      <w:r w:rsidR="00540EBC" w:rsidRPr="00662CF0">
        <w:t xml:space="preserve"> Some of the key alternate specifications for the dummy variables are reported in Appendix Tables 3, 4 and 5</w:t>
      </w:r>
      <w:r w:rsidR="00540EBC" w:rsidRPr="00D763E2">
        <w:t xml:space="preserve">. For beef (Appendix Table 3), DUM75 </w:t>
      </w:r>
      <w:r w:rsidR="004F1B2C">
        <w:t xml:space="preserve">and </w:t>
      </w:r>
      <w:r w:rsidR="00540EBC" w:rsidRPr="00D763E2">
        <w:t>DUM11 w</w:t>
      </w:r>
      <w:r w:rsidR="004F1B2C">
        <w:t>ere</w:t>
      </w:r>
      <w:r w:rsidR="00540EBC" w:rsidRPr="00D763E2">
        <w:t xml:space="preserve"> mostly </w:t>
      </w:r>
      <w:proofErr w:type="gramStart"/>
      <w:r w:rsidR="00540EBC" w:rsidRPr="00D763E2">
        <w:t>significant</w:t>
      </w:r>
      <w:proofErr w:type="gramEnd"/>
      <w:r w:rsidR="00540EBC" w:rsidRPr="00D763E2">
        <w:t xml:space="preserve"> and the time trend variable was also always significant, and </w:t>
      </w:r>
      <w:r w:rsidR="00045A9A">
        <w:t>most</w:t>
      </w:r>
      <w:r w:rsidR="00540EBC" w:rsidRPr="00D763E2">
        <w:t xml:space="preserve"> had consistent signs. DUM95 and DUM07 were never </w:t>
      </w:r>
      <w:proofErr w:type="gramStart"/>
      <w:r w:rsidR="00540EBC" w:rsidRPr="00D763E2">
        <w:t>significant</w:t>
      </w:r>
      <w:proofErr w:type="gramEnd"/>
      <w:r w:rsidR="00540EBC" w:rsidRPr="00D763E2">
        <w:t xml:space="preserve"> </w:t>
      </w:r>
      <w:r w:rsidR="00045A9A">
        <w:t>a</w:t>
      </w:r>
      <w:r w:rsidR="00540EBC" w:rsidRPr="00D763E2">
        <w:t>nd the signs were inconsistent.   The preferred beef equation therefore contained TIME, DUM75 and DUM11.</w:t>
      </w:r>
      <w:r w:rsidR="001B26DC" w:rsidRPr="00D763E2">
        <w:t xml:space="preserve"> </w:t>
      </w:r>
      <w:r w:rsidR="00F03C70" w:rsidRPr="00D763E2">
        <w:rPr>
          <w:rFonts w:eastAsia="Calibri" w:cs="Calibri"/>
        </w:rPr>
        <w:t xml:space="preserve">For lamb (Appendix Table 4), none of the dummy variables proved </w:t>
      </w:r>
      <w:r w:rsidR="00045A9A">
        <w:rPr>
          <w:rFonts w:eastAsia="Calibri" w:cs="Calibri"/>
        </w:rPr>
        <w:t>to have consistent signs</w:t>
      </w:r>
      <w:r w:rsidR="00F03C70" w:rsidRPr="00D763E2">
        <w:rPr>
          <w:rFonts w:eastAsia="Calibri" w:cs="Calibri"/>
        </w:rPr>
        <w:t xml:space="preserve">, so the </w:t>
      </w:r>
      <w:r w:rsidR="00F03C70" w:rsidRPr="00D763E2">
        <w:rPr>
          <w:rFonts w:eastAsia="Calibri" w:cs="Calibri"/>
        </w:rPr>
        <w:lastRenderedPageBreak/>
        <w:t>preferred lamb margin equation was the same as that reported by Chung and Griffith (2009).</w:t>
      </w:r>
      <w:r w:rsidR="001B26DC" w:rsidRPr="00D763E2">
        <w:rPr>
          <w:rFonts w:eastAsia="Calibri" w:cs="Calibri"/>
        </w:rPr>
        <w:t xml:space="preserve"> </w:t>
      </w:r>
      <w:r w:rsidR="00F03C70" w:rsidRPr="00D763E2">
        <w:rPr>
          <w:rFonts w:eastAsia="Calibri" w:cs="Calibri"/>
        </w:rPr>
        <w:t>Finally for pork (Appendix Table 5)</w:t>
      </w:r>
      <w:r w:rsidR="00C4429C" w:rsidRPr="00D763E2">
        <w:rPr>
          <w:rFonts w:eastAsia="Calibri" w:cs="Calibri"/>
        </w:rPr>
        <w:t>, DUM95</w:t>
      </w:r>
      <w:r w:rsidR="00045A9A">
        <w:rPr>
          <w:rFonts w:eastAsia="Calibri" w:cs="Calibri"/>
        </w:rPr>
        <w:t>,</w:t>
      </w:r>
      <w:r w:rsidR="00C4429C" w:rsidRPr="00D763E2">
        <w:rPr>
          <w:rFonts w:eastAsia="Calibri" w:cs="Calibri"/>
        </w:rPr>
        <w:t xml:space="preserve"> DUM07 </w:t>
      </w:r>
      <w:r w:rsidR="00045A9A">
        <w:rPr>
          <w:rFonts w:eastAsia="Calibri" w:cs="Calibri"/>
        </w:rPr>
        <w:t xml:space="preserve">and TIME </w:t>
      </w:r>
      <w:r w:rsidR="00C4429C" w:rsidRPr="00D763E2">
        <w:rPr>
          <w:rFonts w:eastAsia="Calibri" w:cs="Calibri"/>
        </w:rPr>
        <w:t>were con</w:t>
      </w:r>
      <w:r w:rsidR="00752343" w:rsidRPr="00D763E2">
        <w:rPr>
          <w:rFonts w:eastAsia="Calibri" w:cs="Calibri"/>
        </w:rPr>
        <w:t>s</w:t>
      </w:r>
      <w:r w:rsidR="00C4429C" w:rsidRPr="00D763E2">
        <w:rPr>
          <w:rFonts w:eastAsia="Calibri" w:cs="Calibri"/>
        </w:rPr>
        <w:t>istently insignificant, while DUM90 was always significant.</w:t>
      </w:r>
      <w:r w:rsidR="00752343" w:rsidRPr="00D763E2">
        <w:rPr>
          <w:rFonts w:eastAsia="Calibri" w:cs="Calibri"/>
        </w:rPr>
        <w:t xml:space="preserve"> </w:t>
      </w:r>
      <w:r w:rsidR="00752343" w:rsidRPr="00D763E2">
        <w:t xml:space="preserve">The preferred pork equation therefore contained </w:t>
      </w:r>
      <w:r w:rsidR="00045A9A">
        <w:t>just</w:t>
      </w:r>
      <w:r w:rsidR="00752343" w:rsidRPr="00D763E2">
        <w:t xml:space="preserve"> DUM90.</w:t>
      </w:r>
    </w:p>
    <w:p w14:paraId="3E6D924D" w14:textId="77777777" w:rsidR="0002143A" w:rsidRDefault="0002143A" w:rsidP="00752343">
      <w:pPr>
        <w:jc w:val="both"/>
      </w:pPr>
    </w:p>
    <w:p w14:paraId="69324EBB" w14:textId="288862D3" w:rsidR="0002143A" w:rsidRDefault="0002143A" w:rsidP="00752343">
      <w:pPr>
        <w:jc w:val="both"/>
      </w:pPr>
      <w:r>
        <w:t xml:space="preserve">There were no significant dummy variables in the chicken </w:t>
      </w:r>
      <w:r w:rsidR="003F0507">
        <w:t>equations,</w:t>
      </w:r>
      <w:r>
        <w:t xml:space="preserve"> so chicken is not included in this set of </w:t>
      </w:r>
      <w:r w:rsidR="003F0507">
        <w:t xml:space="preserve">Appendix </w:t>
      </w:r>
      <w:r>
        <w:t>tables.</w:t>
      </w:r>
    </w:p>
    <w:p w14:paraId="423E3B22" w14:textId="77777777" w:rsidR="00DC0512" w:rsidRDefault="00DC0512" w:rsidP="00060C08">
      <w:pPr>
        <w:jc w:val="both"/>
        <w:rPr>
          <w:rFonts w:eastAsia="Calibri" w:cs="Calibri"/>
          <w:b/>
          <w:bCs/>
        </w:rPr>
      </w:pPr>
    </w:p>
    <w:p w14:paraId="572CD958" w14:textId="0D7E52E1" w:rsidR="00B368D0" w:rsidRPr="00B368D0" w:rsidRDefault="00B368D0" w:rsidP="00060C08">
      <w:pPr>
        <w:jc w:val="both"/>
        <w:rPr>
          <w:rFonts w:eastAsia="Calibri" w:cs="Calibri"/>
          <w:b/>
          <w:bCs/>
        </w:rPr>
      </w:pPr>
      <w:r w:rsidRPr="00B73A45">
        <w:rPr>
          <w:rFonts w:eastAsia="Calibri" w:cs="Calibri"/>
          <w:b/>
          <w:bCs/>
        </w:rPr>
        <w:t xml:space="preserve">Preferred </w:t>
      </w:r>
      <w:proofErr w:type="gramStart"/>
      <w:r w:rsidRPr="00B73A45">
        <w:rPr>
          <w:rFonts w:eastAsia="Calibri" w:cs="Calibri"/>
          <w:b/>
          <w:bCs/>
        </w:rPr>
        <w:t>unrestricted models</w:t>
      </w:r>
      <w:proofErr w:type="gramEnd"/>
    </w:p>
    <w:p w14:paraId="45208B5B" w14:textId="77777777" w:rsidR="00B368D0" w:rsidRDefault="00B368D0" w:rsidP="00060C08">
      <w:pPr>
        <w:jc w:val="both"/>
        <w:rPr>
          <w:rFonts w:eastAsia="Calibri" w:cs="Calibri"/>
        </w:rPr>
      </w:pPr>
    </w:p>
    <w:p w14:paraId="0E705031" w14:textId="67F5D36D" w:rsidR="004767E9" w:rsidRPr="00661BD2" w:rsidRDefault="00060C08" w:rsidP="00060C08">
      <w:pPr>
        <w:jc w:val="both"/>
      </w:pPr>
      <w:r>
        <w:rPr>
          <w:rFonts w:eastAsia="Calibri" w:cs="Calibri"/>
        </w:rPr>
        <w:t>The preferred unrestricted equations for the beef, lamb</w:t>
      </w:r>
      <w:r w:rsidR="00BE33C0">
        <w:rPr>
          <w:rFonts w:eastAsia="Calibri" w:cs="Calibri"/>
        </w:rPr>
        <w:t>,</w:t>
      </w:r>
      <w:r>
        <w:rPr>
          <w:rFonts w:eastAsia="Calibri" w:cs="Calibri"/>
        </w:rPr>
        <w:t xml:space="preserve"> pork </w:t>
      </w:r>
      <w:r w:rsidR="00BE33C0">
        <w:rPr>
          <w:rFonts w:eastAsia="Calibri" w:cs="Calibri"/>
        </w:rPr>
        <w:t xml:space="preserve">and chicken </w:t>
      </w:r>
      <w:r w:rsidR="00D763E2">
        <w:rPr>
          <w:rFonts w:eastAsia="Calibri" w:cs="Calibri"/>
        </w:rPr>
        <w:t xml:space="preserve">domestic </w:t>
      </w:r>
      <w:r>
        <w:rPr>
          <w:rFonts w:eastAsia="Calibri" w:cs="Calibri"/>
        </w:rPr>
        <w:t>margins, respectively, are shown in Tables 5</w:t>
      </w:r>
      <w:r w:rsidR="00BE33C0">
        <w:rPr>
          <w:rFonts w:eastAsia="Calibri" w:cs="Calibri"/>
        </w:rPr>
        <w:t>,</w:t>
      </w:r>
      <w:r w:rsidR="00DE0807">
        <w:rPr>
          <w:rFonts w:eastAsia="Calibri" w:cs="Calibri"/>
        </w:rPr>
        <w:t xml:space="preserve"> 6</w:t>
      </w:r>
      <w:r w:rsidR="00BE33C0">
        <w:rPr>
          <w:rFonts w:eastAsia="Calibri" w:cs="Calibri"/>
        </w:rPr>
        <w:t>, 7 and 8</w:t>
      </w:r>
      <w:r>
        <w:rPr>
          <w:rFonts w:eastAsia="Calibri" w:cs="Calibri"/>
        </w:rPr>
        <w:t xml:space="preserve">, for each of the three estimation techniques. </w:t>
      </w:r>
      <w:r w:rsidR="004767E9" w:rsidRPr="00661BD2">
        <w:t>The key components of each equation are R</w:t>
      </w:r>
      <w:r w:rsidR="004767E9" w:rsidRPr="006F4C36">
        <w:rPr>
          <w:vertAlign w:val="superscript"/>
        </w:rPr>
        <w:t>2</w:t>
      </w:r>
      <w:r w:rsidR="004767E9" w:rsidRPr="00661BD2">
        <w:t>, Durbin Watson (DW) and t-statistics</w:t>
      </w:r>
      <w:r w:rsidR="004F1B2C">
        <w:t xml:space="preserve"> in brackets</w:t>
      </w:r>
      <w:r w:rsidR="004767E9" w:rsidRPr="00661BD2">
        <w:t xml:space="preserve">. </w:t>
      </w:r>
      <w:r w:rsidR="001B26DC" w:rsidRPr="00D763E2">
        <w:t xml:space="preserve">A coefficient </w:t>
      </w:r>
      <w:r w:rsidR="004767E9" w:rsidRPr="00D763E2">
        <w:t xml:space="preserve">is significant </w:t>
      </w:r>
      <w:r w:rsidR="001B26DC" w:rsidRPr="00D763E2">
        <w:t xml:space="preserve">at the 5 per cent level </w:t>
      </w:r>
      <w:r w:rsidR="004767E9" w:rsidRPr="00D763E2">
        <w:t>where the t-statistic is greater than 2.01 (using a two tailed test,</w:t>
      </w:r>
      <w:r w:rsidR="004767E9" w:rsidRPr="00D763E2">
        <w:rPr>
          <w:spacing w:val="-1"/>
        </w:rPr>
        <w:t xml:space="preserve"> for 47 </w:t>
      </w:r>
      <w:r w:rsidR="004767E9" w:rsidRPr="00D763E2">
        <w:t>degrees of freedom)</w:t>
      </w:r>
      <w:r w:rsidR="004E402D" w:rsidRPr="00D763E2">
        <w:t>, while at the 10 per cent level the critical value is 1.67</w:t>
      </w:r>
      <w:r w:rsidR="004767E9" w:rsidRPr="00D763E2">
        <w:t>.</w:t>
      </w:r>
      <w:r w:rsidR="004767E9">
        <w:t xml:space="preserve"> </w:t>
      </w:r>
    </w:p>
    <w:p w14:paraId="3CCF5581" w14:textId="77777777" w:rsidR="00060C08" w:rsidRDefault="00060C08" w:rsidP="00060C08">
      <w:pPr>
        <w:jc w:val="both"/>
        <w:rPr>
          <w:rFonts w:eastAsia="Calibri" w:cs="Calibri"/>
        </w:rPr>
      </w:pPr>
    </w:p>
    <w:p w14:paraId="7A28D85A" w14:textId="24060806" w:rsidR="00060C08" w:rsidRDefault="00060C08" w:rsidP="00060C08">
      <w:pPr>
        <w:jc w:val="both"/>
        <w:rPr>
          <w:rFonts w:eastAsia="Calibri" w:cs="Calibri"/>
        </w:rPr>
      </w:pPr>
      <w:r>
        <w:rPr>
          <w:rFonts w:eastAsia="Calibri" w:cs="Calibri"/>
        </w:rPr>
        <w:t>For beef</w:t>
      </w:r>
      <w:r w:rsidR="001B26DC">
        <w:rPr>
          <w:rFonts w:eastAsia="Calibri" w:cs="Calibri"/>
        </w:rPr>
        <w:t xml:space="preserve"> (Table </w:t>
      </w:r>
      <w:r w:rsidR="00BE33C0">
        <w:rPr>
          <w:rFonts w:eastAsia="Calibri" w:cs="Calibri"/>
        </w:rPr>
        <w:t>5</w:t>
      </w:r>
      <w:r w:rsidR="001B26DC">
        <w:rPr>
          <w:rFonts w:eastAsia="Calibri" w:cs="Calibri"/>
        </w:rPr>
        <w:t>)</w:t>
      </w:r>
      <w:r>
        <w:rPr>
          <w:rFonts w:eastAsia="Calibri" w:cs="Calibri"/>
        </w:rPr>
        <w:t xml:space="preserve">, all three equations show a similar pattern. The cost index </w:t>
      </w:r>
      <w:r w:rsidR="00D763E2">
        <w:rPr>
          <w:rFonts w:eastAsia="Calibri" w:cs="Calibri"/>
        </w:rPr>
        <w:t>and the trend variable are both</w:t>
      </w:r>
      <w:r>
        <w:rPr>
          <w:rFonts w:eastAsia="Calibri" w:cs="Calibri"/>
        </w:rPr>
        <w:t xml:space="preserve"> positive and </w:t>
      </w:r>
      <w:r w:rsidR="00D763E2">
        <w:rPr>
          <w:rFonts w:eastAsia="Calibri" w:cs="Calibri"/>
        </w:rPr>
        <w:t xml:space="preserve">strongly </w:t>
      </w:r>
      <w:r>
        <w:rPr>
          <w:rFonts w:eastAsia="Calibri" w:cs="Calibri"/>
        </w:rPr>
        <w:t xml:space="preserve">significant, and both the included dummy variables are negative and </w:t>
      </w:r>
      <w:r w:rsidR="009A2DC9">
        <w:rPr>
          <w:rFonts w:eastAsia="Calibri" w:cs="Calibri"/>
        </w:rPr>
        <w:t xml:space="preserve">mostly </w:t>
      </w:r>
      <w:r>
        <w:rPr>
          <w:rFonts w:eastAsia="Calibri" w:cs="Calibri"/>
        </w:rPr>
        <w:t xml:space="preserve">significant. </w:t>
      </w:r>
      <w:r w:rsidR="009A2DC9">
        <w:rPr>
          <w:rFonts w:eastAsia="Calibri" w:cs="Calibri"/>
        </w:rPr>
        <w:t xml:space="preserve">The consolidation of red meat processing capacity around 2010/11 seems to have had a </w:t>
      </w:r>
      <w:proofErr w:type="gramStart"/>
      <w:r w:rsidR="009A2DC9">
        <w:rPr>
          <w:rFonts w:eastAsia="Calibri" w:cs="Calibri"/>
        </w:rPr>
        <w:t>long term</w:t>
      </w:r>
      <w:proofErr w:type="gramEnd"/>
      <w:r w:rsidR="009A2DC9">
        <w:rPr>
          <w:rFonts w:eastAsia="Calibri" w:cs="Calibri"/>
        </w:rPr>
        <w:t xml:space="preserve"> effect of placing downward pressure on domestic beef margins. </w:t>
      </w:r>
      <w:r>
        <w:rPr>
          <w:rFonts w:eastAsia="Calibri" w:cs="Calibri"/>
        </w:rPr>
        <w:t xml:space="preserve">The coefficient on the DMBF variable is uniformly </w:t>
      </w:r>
      <w:r w:rsidR="009A2DC9">
        <w:rPr>
          <w:rFonts w:eastAsia="Calibri" w:cs="Calibri"/>
        </w:rPr>
        <w:t>negative and in</w:t>
      </w:r>
      <w:r>
        <w:rPr>
          <w:rFonts w:eastAsia="Calibri" w:cs="Calibri"/>
        </w:rPr>
        <w:t xml:space="preserve">significant, while the coefficient on the DMBFI variable is always positive but </w:t>
      </w:r>
      <w:r w:rsidR="009A2DC9">
        <w:rPr>
          <w:rFonts w:eastAsia="Calibri" w:cs="Calibri"/>
        </w:rPr>
        <w:t xml:space="preserve">not </w:t>
      </w:r>
      <w:r>
        <w:rPr>
          <w:rFonts w:eastAsia="Calibri" w:cs="Calibri"/>
        </w:rPr>
        <w:t>significant.</w:t>
      </w:r>
      <w:r w:rsidR="009A2DC9">
        <w:rPr>
          <w:rFonts w:eastAsia="Calibri" w:cs="Calibri"/>
        </w:rPr>
        <w:t xml:space="preserve"> There is no evidence of any type of market power in these unrestricted beef margin equations.</w:t>
      </w:r>
    </w:p>
    <w:p w14:paraId="3B1235A7" w14:textId="77777777" w:rsidR="00304713" w:rsidRDefault="00304713" w:rsidP="006B14FA">
      <w:pPr>
        <w:jc w:val="center"/>
        <w:rPr>
          <w:rFonts w:eastAsia="Calibri" w:cs="Calibri"/>
          <w:b/>
        </w:rPr>
      </w:pPr>
    </w:p>
    <w:p w14:paraId="72E13937" w14:textId="6FED719C" w:rsidR="009A2DC9" w:rsidRDefault="006F4C36" w:rsidP="009A2DC9">
      <w:pPr>
        <w:jc w:val="both"/>
        <w:rPr>
          <w:rFonts w:eastAsia="Calibri" w:cs="Calibri"/>
        </w:rPr>
      </w:pPr>
      <w:r>
        <w:rPr>
          <w:rFonts w:eastAsia="Calibri" w:cs="Calibri"/>
        </w:rPr>
        <w:t>For lamb</w:t>
      </w:r>
      <w:r w:rsidR="000A6855">
        <w:rPr>
          <w:rFonts w:eastAsia="Calibri" w:cs="Calibri"/>
        </w:rPr>
        <w:t xml:space="preserve"> (Table 6)</w:t>
      </w:r>
      <w:r>
        <w:rPr>
          <w:rFonts w:eastAsia="Calibri" w:cs="Calibri"/>
        </w:rPr>
        <w:t xml:space="preserve">, the results are </w:t>
      </w:r>
      <w:r w:rsidR="009A2DC9">
        <w:rPr>
          <w:rFonts w:eastAsia="Calibri" w:cs="Calibri"/>
        </w:rPr>
        <w:t xml:space="preserve">very </w:t>
      </w:r>
      <w:r>
        <w:rPr>
          <w:rFonts w:eastAsia="Calibri" w:cs="Calibri"/>
        </w:rPr>
        <w:t xml:space="preserve">similar to those for beef. The cost index </w:t>
      </w:r>
      <w:r w:rsidR="009A2DC9">
        <w:rPr>
          <w:rFonts w:eastAsia="Calibri" w:cs="Calibri"/>
        </w:rPr>
        <w:t>and the trend variable are</w:t>
      </w:r>
      <w:r>
        <w:rPr>
          <w:rFonts w:eastAsia="Calibri" w:cs="Calibri"/>
        </w:rPr>
        <w:t xml:space="preserve"> again positive and significant, and </w:t>
      </w:r>
      <w:r w:rsidR="009A2DC9">
        <w:rPr>
          <w:rFonts w:eastAsia="Calibri" w:cs="Calibri"/>
        </w:rPr>
        <w:t>DUM11 is again uniformly negative and significant</w:t>
      </w:r>
      <w:r>
        <w:rPr>
          <w:rFonts w:eastAsia="Calibri" w:cs="Calibri"/>
        </w:rPr>
        <w:t xml:space="preserve">. </w:t>
      </w:r>
      <w:r w:rsidR="009A2DC9">
        <w:rPr>
          <w:rFonts w:eastAsia="Calibri" w:cs="Calibri"/>
        </w:rPr>
        <w:t>T</w:t>
      </w:r>
      <w:r>
        <w:rPr>
          <w:rFonts w:eastAsia="Calibri" w:cs="Calibri"/>
        </w:rPr>
        <w:t>he coefficients on the DMLBI variable are uniformly insignificant</w:t>
      </w:r>
      <w:r w:rsidR="009A2DC9">
        <w:rPr>
          <w:rFonts w:eastAsia="Calibri" w:cs="Calibri"/>
        </w:rPr>
        <w:t>, while those on the DMLB variable are all negative but approaching weak significance levels</w:t>
      </w:r>
      <w:r>
        <w:rPr>
          <w:rFonts w:eastAsia="Calibri" w:cs="Calibri"/>
        </w:rPr>
        <w:t>.</w:t>
      </w:r>
      <w:r w:rsidR="009A2DC9" w:rsidRPr="009A2DC9">
        <w:rPr>
          <w:rFonts w:eastAsia="Calibri" w:cs="Calibri"/>
        </w:rPr>
        <w:t xml:space="preserve"> </w:t>
      </w:r>
      <w:r w:rsidR="009A2DC9">
        <w:rPr>
          <w:rFonts w:eastAsia="Calibri" w:cs="Calibri"/>
        </w:rPr>
        <w:t>There is no evidence of any type of market power in these unrestricted lamb margin equations.</w:t>
      </w:r>
    </w:p>
    <w:p w14:paraId="0388C10A" w14:textId="32033249" w:rsidR="006F4C36" w:rsidRDefault="006F4C36" w:rsidP="006B14FA">
      <w:pPr>
        <w:jc w:val="center"/>
        <w:rPr>
          <w:rFonts w:eastAsia="Calibri" w:cs="Calibri"/>
          <w:b/>
        </w:rPr>
      </w:pPr>
    </w:p>
    <w:p w14:paraId="3831E2D5" w14:textId="71990EBE" w:rsidR="00EE3D30" w:rsidRDefault="00F737B2" w:rsidP="00EE3D30">
      <w:pPr>
        <w:jc w:val="both"/>
        <w:rPr>
          <w:rFonts w:eastAsia="Calibri" w:cs="Calibri"/>
        </w:rPr>
      </w:pPr>
      <w:r w:rsidRPr="00661C29">
        <w:rPr>
          <w:rFonts w:cs="Calibri"/>
        </w:rPr>
        <w:t>For pork</w:t>
      </w:r>
      <w:r w:rsidR="000A6855">
        <w:rPr>
          <w:rFonts w:cs="Calibri"/>
        </w:rPr>
        <w:t xml:space="preserve"> (Table 7)</w:t>
      </w:r>
      <w:r w:rsidRPr="00661C29">
        <w:rPr>
          <w:rFonts w:cs="Calibri"/>
        </w:rPr>
        <w:t xml:space="preserve">, the results are quite different. </w:t>
      </w:r>
      <w:r w:rsidR="000A6855">
        <w:rPr>
          <w:rFonts w:cs="Calibri"/>
        </w:rPr>
        <w:t>The trend variable is no</w:t>
      </w:r>
      <w:r w:rsidR="00EE3D30">
        <w:rPr>
          <w:rFonts w:cs="Calibri"/>
        </w:rPr>
        <w:t>t</w:t>
      </w:r>
      <w:r w:rsidR="000A6855">
        <w:rPr>
          <w:rFonts w:cs="Calibri"/>
        </w:rPr>
        <w:t xml:space="preserve"> significant and the </w:t>
      </w:r>
      <w:r w:rsidRPr="00661C29">
        <w:rPr>
          <w:rFonts w:cs="Calibri"/>
        </w:rPr>
        <w:t xml:space="preserve">cost index </w:t>
      </w:r>
      <w:r w:rsidR="000A6855">
        <w:rPr>
          <w:rFonts w:cs="Calibri"/>
        </w:rPr>
        <w:t>while positive is only significant in one case.</w:t>
      </w:r>
      <w:r w:rsidRPr="00661C29">
        <w:rPr>
          <w:rFonts w:cs="Calibri"/>
        </w:rPr>
        <w:t xml:space="preserve"> </w:t>
      </w:r>
      <w:r w:rsidR="000A6855">
        <w:rPr>
          <w:rFonts w:cs="Calibri"/>
        </w:rPr>
        <w:t>T</w:t>
      </w:r>
      <w:r w:rsidRPr="00661C29">
        <w:rPr>
          <w:rFonts w:cs="Calibri"/>
        </w:rPr>
        <w:t>he DUM90 variable is consistently negative and significant</w:t>
      </w:r>
      <w:r w:rsidR="000A6855">
        <w:rPr>
          <w:rFonts w:cs="Calibri"/>
        </w:rPr>
        <w:t xml:space="preserve">, showing the sustained downward pressure on pork margins </w:t>
      </w:r>
      <w:proofErr w:type="gramStart"/>
      <w:r w:rsidR="000A6855">
        <w:rPr>
          <w:rFonts w:cs="Calibri"/>
        </w:rPr>
        <w:t>as a result of</w:t>
      </w:r>
      <w:proofErr w:type="gramEnd"/>
      <w:r w:rsidR="000A6855">
        <w:rPr>
          <w:rFonts w:cs="Calibri"/>
        </w:rPr>
        <w:t xml:space="preserve"> the decision in 1990 to allow imports of pigmeat for further processing.</w:t>
      </w:r>
      <w:r w:rsidRPr="00661C29">
        <w:rPr>
          <w:rFonts w:cs="Calibri"/>
        </w:rPr>
        <w:t xml:space="preserve"> </w:t>
      </w:r>
      <w:r w:rsidR="000A6855">
        <w:rPr>
          <w:rFonts w:cs="Calibri"/>
        </w:rPr>
        <w:t xml:space="preserve">The big difference though is the </w:t>
      </w:r>
      <w:proofErr w:type="gramStart"/>
      <w:r w:rsidR="000A6855">
        <w:rPr>
          <w:rFonts w:cs="Calibri"/>
        </w:rPr>
        <w:t xml:space="preserve">consistent </w:t>
      </w:r>
      <w:r w:rsidRPr="00661C29">
        <w:rPr>
          <w:rFonts w:cs="Calibri"/>
        </w:rPr>
        <w:t xml:space="preserve"> </w:t>
      </w:r>
      <w:r w:rsidR="000A6855" w:rsidRPr="00661C29">
        <w:rPr>
          <w:rFonts w:cs="Calibri"/>
        </w:rPr>
        <w:t>positive</w:t>
      </w:r>
      <w:proofErr w:type="gramEnd"/>
      <w:r w:rsidR="000A6855" w:rsidRPr="00661C29">
        <w:rPr>
          <w:rFonts w:cs="Calibri"/>
        </w:rPr>
        <w:t xml:space="preserve"> and significant</w:t>
      </w:r>
      <w:r w:rsidR="000A6855">
        <w:rPr>
          <w:rFonts w:cs="Calibri"/>
        </w:rPr>
        <w:t xml:space="preserve"> coefficient on </w:t>
      </w:r>
      <w:r w:rsidRPr="00661C29">
        <w:rPr>
          <w:rFonts w:cs="Calibri"/>
        </w:rPr>
        <w:t xml:space="preserve">the DMPKI variable </w:t>
      </w:r>
      <w:r w:rsidR="000A6855">
        <w:rPr>
          <w:rFonts w:cs="Calibri"/>
        </w:rPr>
        <w:t>un</w:t>
      </w:r>
      <w:r>
        <w:rPr>
          <w:rFonts w:cs="Calibri"/>
        </w:rPr>
        <w:t>der all three estimation methods</w:t>
      </w:r>
      <w:r w:rsidRPr="00661C29">
        <w:rPr>
          <w:rFonts w:cs="Calibri"/>
        </w:rPr>
        <w:t xml:space="preserve">. </w:t>
      </w:r>
      <w:r w:rsidR="000A6855">
        <w:rPr>
          <w:rFonts w:cs="Calibri"/>
        </w:rPr>
        <w:t xml:space="preserve">This is clear evidence of market power in the input market for live </w:t>
      </w:r>
      <w:r w:rsidR="00EE3D30">
        <w:rPr>
          <w:rFonts w:cs="Calibri"/>
        </w:rPr>
        <w:t>pigs</w:t>
      </w:r>
      <w:r w:rsidR="000A6855">
        <w:rPr>
          <w:rFonts w:cs="Calibri"/>
        </w:rPr>
        <w:t>.</w:t>
      </w:r>
      <w:r w:rsidR="002D4398">
        <w:rPr>
          <w:rFonts w:cs="Calibri"/>
        </w:rPr>
        <w:t xml:space="preserve"> This accords with the results of Hilli and Griffith (2022) and was explained by those authors as arising from the widespread vertical coordination arrangements in that industry.</w:t>
      </w:r>
      <w:r w:rsidR="00EE3D30">
        <w:rPr>
          <w:rFonts w:cs="Calibri"/>
        </w:rPr>
        <w:t xml:space="preserve"> </w:t>
      </w:r>
      <w:r w:rsidR="00EE3D30">
        <w:rPr>
          <w:rFonts w:eastAsia="Calibri" w:cs="Calibri"/>
        </w:rPr>
        <w:t>There is no evidence of output market power in the unrestricted pork margin equations.</w:t>
      </w:r>
    </w:p>
    <w:p w14:paraId="2259ECE8" w14:textId="6CD7CA76" w:rsidR="00F737B2" w:rsidRDefault="00F737B2" w:rsidP="00F737B2">
      <w:pPr>
        <w:pStyle w:val="BodyText"/>
        <w:ind w:left="0"/>
        <w:jc w:val="both"/>
        <w:rPr>
          <w:rFonts w:asciiTheme="minorHAnsi" w:hAnsiTheme="minorHAnsi" w:cs="Calibri"/>
          <w:sz w:val="22"/>
          <w:szCs w:val="22"/>
        </w:rPr>
      </w:pPr>
    </w:p>
    <w:p w14:paraId="1C361AEA" w14:textId="7BE3606D" w:rsidR="00EE3D30" w:rsidRDefault="000A6855" w:rsidP="00EE3D30">
      <w:pPr>
        <w:jc w:val="both"/>
        <w:rPr>
          <w:rFonts w:eastAsia="Calibri" w:cs="Calibri"/>
        </w:rPr>
      </w:pPr>
      <w:r>
        <w:rPr>
          <w:rFonts w:cs="Calibri"/>
        </w:rPr>
        <w:t>The c</w:t>
      </w:r>
      <w:r w:rsidR="00BE33C0">
        <w:rPr>
          <w:rFonts w:cs="Calibri"/>
        </w:rPr>
        <w:t xml:space="preserve">hicken </w:t>
      </w:r>
      <w:r>
        <w:rPr>
          <w:rFonts w:cs="Calibri"/>
        </w:rPr>
        <w:t>farm-retail margin (T</w:t>
      </w:r>
      <w:r w:rsidR="00BE33C0">
        <w:rPr>
          <w:rFonts w:cs="Calibri"/>
        </w:rPr>
        <w:t>able 8</w:t>
      </w:r>
      <w:r>
        <w:rPr>
          <w:rFonts w:cs="Calibri"/>
        </w:rPr>
        <w:t xml:space="preserve">) is pretty much driven only by cost increases. The cost variable is </w:t>
      </w:r>
      <w:r w:rsidR="00EE3D30">
        <w:rPr>
          <w:rFonts w:cs="Calibri"/>
        </w:rPr>
        <w:t xml:space="preserve">positive and </w:t>
      </w:r>
      <w:proofErr w:type="gramStart"/>
      <w:r>
        <w:rPr>
          <w:rFonts w:cs="Calibri"/>
        </w:rPr>
        <w:t>very strongly</w:t>
      </w:r>
      <w:proofErr w:type="gramEnd"/>
      <w:r>
        <w:rPr>
          <w:rFonts w:cs="Calibri"/>
        </w:rPr>
        <w:t xml:space="preserve"> significant in all cases. There is some weak evidence of market power on the input side of the market</w:t>
      </w:r>
      <w:r w:rsidR="002D4398">
        <w:rPr>
          <w:rFonts w:cs="Calibri"/>
        </w:rPr>
        <w:t>, and again it is no surprise that the chicken industry also relies on a primarily vertical integration business model.</w:t>
      </w:r>
      <w:r w:rsidR="00EE3D30">
        <w:rPr>
          <w:rFonts w:cs="Calibri"/>
        </w:rPr>
        <w:t xml:space="preserve"> Again, t</w:t>
      </w:r>
      <w:r w:rsidR="00EE3D30">
        <w:rPr>
          <w:rFonts w:eastAsia="Calibri" w:cs="Calibri"/>
        </w:rPr>
        <w:t>here is no evidence of output market power in the unrestricted chicken margin equations.</w:t>
      </w:r>
    </w:p>
    <w:p w14:paraId="6EE248CF" w14:textId="77777777" w:rsidR="00F737B2" w:rsidRPr="00661BD2" w:rsidRDefault="00F737B2" w:rsidP="00F737B2">
      <w:pPr>
        <w:jc w:val="both"/>
        <w:rPr>
          <w:rFonts w:eastAsia="Calibri" w:cs="Calibri"/>
        </w:rPr>
      </w:pPr>
    </w:p>
    <w:p w14:paraId="1F0A7D62" w14:textId="331CA380" w:rsidR="00A5773C" w:rsidRPr="0008538A" w:rsidRDefault="00A5773C" w:rsidP="00F737B2">
      <w:pPr>
        <w:pStyle w:val="BodyText"/>
        <w:ind w:left="0"/>
        <w:jc w:val="both"/>
        <w:rPr>
          <w:rFonts w:asciiTheme="minorHAnsi" w:hAnsiTheme="minorHAnsi"/>
          <w:b/>
          <w:bCs/>
          <w:sz w:val="22"/>
          <w:szCs w:val="22"/>
        </w:rPr>
      </w:pPr>
      <w:r w:rsidRPr="00B73A45">
        <w:rPr>
          <w:rFonts w:asciiTheme="minorHAnsi" w:hAnsiTheme="minorHAnsi"/>
          <w:b/>
          <w:bCs/>
          <w:sz w:val="22"/>
          <w:szCs w:val="22"/>
        </w:rPr>
        <w:t>Preferred res</w:t>
      </w:r>
      <w:r w:rsidR="00B368D0" w:rsidRPr="00B73A45">
        <w:rPr>
          <w:rFonts w:asciiTheme="minorHAnsi" w:hAnsiTheme="minorHAnsi"/>
          <w:b/>
          <w:bCs/>
          <w:sz w:val="22"/>
          <w:szCs w:val="22"/>
        </w:rPr>
        <w:t>tricted models</w:t>
      </w:r>
    </w:p>
    <w:p w14:paraId="6522EDF8" w14:textId="77777777" w:rsidR="00A5773C" w:rsidRDefault="00A5773C" w:rsidP="00F737B2">
      <w:pPr>
        <w:pStyle w:val="BodyText"/>
        <w:ind w:left="0"/>
        <w:jc w:val="both"/>
        <w:rPr>
          <w:rFonts w:asciiTheme="minorHAnsi" w:hAnsiTheme="minorHAnsi"/>
          <w:sz w:val="22"/>
          <w:szCs w:val="22"/>
        </w:rPr>
      </w:pPr>
    </w:p>
    <w:p w14:paraId="0A513712" w14:textId="7D11882D" w:rsidR="00BE33C0" w:rsidRDefault="00B7150E" w:rsidP="00DC0512">
      <w:pPr>
        <w:pStyle w:val="BodyText"/>
        <w:ind w:left="0"/>
        <w:jc w:val="both"/>
        <w:rPr>
          <w:rFonts w:asciiTheme="minorHAnsi" w:hAnsiTheme="minorHAnsi" w:cs="Calibri"/>
          <w:sz w:val="22"/>
          <w:szCs w:val="22"/>
        </w:rPr>
      </w:pPr>
      <w:r>
        <w:rPr>
          <w:rFonts w:asciiTheme="minorHAnsi" w:hAnsiTheme="minorHAnsi"/>
          <w:sz w:val="22"/>
          <w:szCs w:val="22"/>
        </w:rPr>
        <w:t xml:space="preserve">In all </w:t>
      </w:r>
      <w:r w:rsidR="002D4398">
        <w:rPr>
          <w:rFonts w:asciiTheme="minorHAnsi" w:hAnsiTheme="minorHAnsi"/>
          <w:sz w:val="22"/>
          <w:szCs w:val="22"/>
        </w:rPr>
        <w:t>equations</w:t>
      </w:r>
      <w:r>
        <w:rPr>
          <w:rFonts w:asciiTheme="minorHAnsi" w:hAnsiTheme="minorHAnsi"/>
          <w:sz w:val="22"/>
          <w:szCs w:val="22"/>
        </w:rPr>
        <w:t xml:space="preserve"> in Tables 5-8</w:t>
      </w:r>
      <w:r w:rsidR="002D4398">
        <w:rPr>
          <w:rFonts w:asciiTheme="minorHAnsi" w:hAnsiTheme="minorHAnsi"/>
          <w:sz w:val="22"/>
          <w:szCs w:val="22"/>
        </w:rPr>
        <w:t>, t</w:t>
      </w:r>
      <w:r w:rsidR="00F737B2">
        <w:rPr>
          <w:rFonts w:asciiTheme="minorHAnsi" w:hAnsiTheme="minorHAnsi"/>
          <w:sz w:val="22"/>
          <w:szCs w:val="22"/>
        </w:rPr>
        <w:t>he preferred u</w:t>
      </w:r>
      <w:r w:rsidR="00F737B2" w:rsidRPr="00661BD2">
        <w:rPr>
          <w:rFonts w:asciiTheme="minorHAnsi" w:hAnsiTheme="minorHAnsi"/>
          <w:sz w:val="22"/>
          <w:szCs w:val="22"/>
        </w:rPr>
        <w:t xml:space="preserve">nrestricted equations </w:t>
      </w:r>
      <w:r>
        <w:rPr>
          <w:rFonts w:asciiTheme="minorHAnsi" w:hAnsiTheme="minorHAnsi"/>
          <w:sz w:val="22"/>
          <w:szCs w:val="22"/>
        </w:rPr>
        <w:t>showed</w:t>
      </w:r>
      <w:r w:rsidR="00F737B2" w:rsidRPr="00661BD2">
        <w:rPr>
          <w:rFonts w:asciiTheme="minorHAnsi" w:hAnsiTheme="minorHAnsi"/>
          <w:sz w:val="22"/>
          <w:szCs w:val="22"/>
        </w:rPr>
        <w:t xml:space="preserve"> negative</w:t>
      </w:r>
      <w:r w:rsidR="00F737B2" w:rsidRPr="00661BD2">
        <w:rPr>
          <w:rFonts w:asciiTheme="minorHAnsi" w:hAnsiTheme="minorHAnsi"/>
          <w:w w:val="99"/>
          <w:sz w:val="22"/>
          <w:szCs w:val="22"/>
        </w:rPr>
        <w:t xml:space="preserve"> </w:t>
      </w:r>
      <w:r w:rsidR="00F737B2">
        <w:rPr>
          <w:rFonts w:asciiTheme="minorHAnsi" w:hAnsiTheme="minorHAnsi"/>
          <w:w w:val="99"/>
          <w:sz w:val="22"/>
          <w:szCs w:val="22"/>
        </w:rPr>
        <w:t xml:space="preserve">coefficients </w:t>
      </w:r>
      <w:proofErr w:type="gramStart"/>
      <w:r w:rsidR="00F737B2">
        <w:rPr>
          <w:rFonts w:asciiTheme="minorHAnsi" w:hAnsiTheme="minorHAnsi"/>
          <w:w w:val="99"/>
          <w:sz w:val="22"/>
          <w:szCs w:val="22"/>
        </w:rPr>
        <w:t>on</w:t>
      </w:r>
      <w:proofErr w:type="gramEnd"/>
      <w:r w:rsidR="00F737B2">
        <w:rPr>
          <w:rFonts w:asciiTheme="minorHAnsi" w:hAnsiTheme="minorHAnsi"/>
          <w:w w:val="99"/>
          <w:sz w:val="22"/>
          <w:szCs w:val="22"/>
        </w:rPr>
        <w:t xml:space="preserve"> the </w:t>
      </w:r>
      <w:r w:rsidR="00F737B2" w:rsidRPr="00661BD2">
        <w:rPr>
          <w:rFonts w:asciiTheme="minorHAnsi" w:hAnsiTheme="minorHAnsi"/>
          <w:sz w:val="22"/>
          <w:szCs w:val="22"/>
        </w:rPr>
        <w:t>input conjectural coefficients</w:t>
      </w:r>
      <w:r>
        <w:rPr>
          <w:rFonts w:asciiTheme="minorHAnsi" w:hAnsiTheme="minorHAnsi"/>
          <w:sz w:val="22"/>
          <w:szCs w:val="22"/>
        </w:rPr>
        <w:t>, some of which were significant or close to significance levels.</w:t>
      </w:r>
      <w:r w:rsidR="00F737B2" w:rsidRPr="00661BD2">
        <w:rPr>
          <w:rFonts w:asciiTheme="minorHAnsi" w:hAnsiTheme="minorHAnsi"/>
          <w:sz w:val="22"/>
          <w:szCs w:val="22"/>
        </w:rPr>
        <w:t xml:space="preserve"> </w:t>
      </w:r>
      <w:r w:rsidR="00F737B2">
        <w:rPr>
          <w:rFonts w:asciiTheme="minorHAnsi" w:hAnsiTheme="minorHAnsi"/>
          <w:sz w:val="22"/>
          <w:szCs w:val="22"/>
        </w:rPr>
        <w:t>T</w:t>
      </w:r>
      <w:r w:rsidR="00F737B2" w:rsidRPr="00661BD2">
        <w:rPr>
          <w:rFonts w:asciiTheme="minorHAnsi" w:hAnsiTheme="minorHAnsi"/>
          <w:sz w:val="22"/>
          <w:szCs w:val="22"/>
        </w:rPr>
        <w:t xml:space="preserve">he same equations were </w:t>
      </w:r>
      <w:r>
        <w:rPr>
          <w:rFonts w:asciiTheme="minorHAnsi" w:hAnsiTheme="minorHAnsi"/>
          <w:sz w:val="22"/>
          <w:szCs w:val="22"/>
        </w:rPr>
        <w:t>then</w:t>
      </w:r>
      <w:r w:rsidR="00F737B2" w:rsidRPr="00661BD2">
        <w:rPr>
          <w:rFonts w:asciiTheme="minorHAnsi" w:hAnsiTheme="minorHAnsi"/>
          <w:sz w:val="22"/>
          <w:szCs w:val="22"/>
        </w:rPr>
        <w:t xml:space="preserve"> tested with a non-negative</w:t>
      </w:r>
      <w:r w:rsidR="00F737B2" w:rsidRPr="00661BD2">
        <w:rPr>
          <w:rFonts w:asciiTheme="minorHAnsi" w:hAnsiTheme="minorHAnsi"/>
          <w:spacing w:val="-2"/>
          <w:sz w:val="22"/>
          <w:szCs w:val="22"/>
        </w:rPr>
        <w:t xml:space="preserve"> </w:t>
      </w:r>
      <w:r w:rsidR="00F737B2" w:rsidRPr="00661BD2">
        <w:rPr>
          <w:rFonts w:asciiTheme="minorHAnsi" w:hAnsiTheme="minorHAnsi"/>
          <w:sz w:val="22"/>
          <w:szCs w:val="22"/>
        </w:rPr>
        <w:t>restriction on the input and output conjectural coefficients</w:t>
      </w:r>
      <w:r w:rsidR="00F737B2">
        <w:rPr>
          <w:rFonts w:asciiTheme="minorHAnsi" w:hAnsiTheme="minorHAnsi"/>
          <w:sz w:val="22"/>
          <w:szCs w:val="22"/>
        </w:rPr>
        <w:t xml:space="preserve"> </w:t>
      </w:r>
      <w:r w:rsidR="00F737B2" w:rsidRPr="00661BD2">
        <w:rPr>
          <w:rFonts w:asciiTheme="minorHAnsi" w:hAnsiTheme="minorHAnsi"/>
          <w:position w:val="2"/>
          <w:sz w:val="22"/>
          <w:szCs w:val="22"/>
        </w:rPr>
        <w:t>β</w:t>
      </w:r>
      <w:r w:rsidR="00F737B2" w:rsidRPr="00661BD2">
        <w:rPr>
          <w:rFonts w:asciiTheme="minorHAnsi" w:hAnsiTheme="minorHAnsi"/>
          <w:sz w:val="22"/>
          <w:szCs w:val="22"/>
        </w:rPr>
        <w:t>j</w:t>
      </w:r>
      <w:r w:rsidR="00F737B2">
        <w:rPr>
          <w:rFonts w:asciiTheme="minorHAnsi" w:hAnsiTheme="minorHAnsi"/>
          <w:sz w:val="22"/>
          <w:szCs w:val="22"/>
        </w:rPr>
        <w:t xml:space="preserve"> and </w:t>
      </w:r>
      <w:r w:rsidR="00F737B2" w:rsidRPr="00661BD2">
        <w:rPr>
          <w:rFonts w:asciiTheme="minorHAnsi" w:hAnsiTheme="minorHAnsi"/>
          <w:position w:val="2"/>
          <w:sz w:val="22"/>
          <w:szCs w:val="22"/>
        </w:rPr>
        <w:t>γ</w:t>
      </w:r>
      <w:proofErr w:type="spellStart"/>
      <w:r w:rsidR="00F737B2" w:rsidRPr="00661BD2">
        <w:rPr>
          <w:rFonts w:asciiTheme="minorHAnsi" w:hAnsiTheme="minorHAnsi"/>
          <w:sz w:val="22"/>
          <w:szCs w:val="22"/>
        </w:rPr>
        <w:t>jm</w:t>
      </w:r>
      <w:r w:rsidR="00F737B2">
        <w:rPr>
          <w:rFonts w:asciiTheme="minorHAnsi" w:hAnsiTheme="minorHAnsi"/>
          <w:sz w:val="22"/>
          <w:szCs w:val="22"/>
        </w:rPr>
        <w:t>.</w:t>
      </w:r>
      <w:proofErr w:type="spellEnd"/>
      <w:r w:rsidR="00F737B2" w:rsidRPr="00661BD2">
        <w:rPr>
          <w:rFonts w:asciiTheme="minorHAnsi" w:hAnsiTheme="minorHAnsi"/>
          <w:sz w:val="22"/>
          <w:szCs w:val="22"/>
        </w:rPr>
        <w:t xml:space="preserve"> The restricted </w:t>
      </w:r>
      <w:r w:rsidR="00F737B2">
        <w:rPr>
          <w:rFonts w:asciiTheme="minorHAnsi" w:hAnsiTheme="minorHAnsi"/>
          <w:sz w:val="22"/>
          <w:szCs w:val="22"/>
        </w:rPr>
        <w:t xml:space="preserve">models for both LSQ and SUR techniques are shown in Tables </w:t>
      </w:r>
    </w:p>
    <w:p w14:paraId="1FACDC2A" w14:textId="77777777" w:rsidR="00D34327" w:rsidRDefault="00D34327" w:rsidP="00C215BC">
      <w:pPr>
        <w:jc w:val="center"/>
        <w:rPr>
          <w:rFonts w:eastAsia="Calibri" w:cs="Calibri"/>
          <w:b/>
        </w:rPr>
        <w:sectPr w:rsidR="00D34327" w:rsidSect="00D34327">
          <w:type w:val="continuous"/>
          <w:pgSz w:w="11900" w:h="16840" w:code="9"/>
          <w:pgMar w:top="1440" w:right="1440" w:bottom="1440" w:left="1440" w:header="680" w:footer="680" w:gutter="0"/>
          <w:cols w:space="720"/>
          <w:docGrid w:linePitch="299"/>
        </w:sectPr>
      </w:pPr>
    </w:p>
    <w:p w14:paraId="054DAEAF" w14:textId="1FB08F4F" w:rsidR="00C215BC" w:rsidRDefault="00C215BC" w:rsidP="00C215BC">
      <w:pPr>
        <w:jc w:val="center"/>
        <w:rPr>
          <w:rFonts w:eastAsia="Calibri" w:cs="Calibri"/>
          <w:b/>
        </w:rPr>
      </w:pPr>
      <w:r w:rsidRPr="006B14FA">
        <w:rPr>
          <w:rFonts w:eastAsia="Calibri" w:cs="Calibri"/>
          <w:b/>
        </w:rPr>
        <w:lastRenderedPageBreak/>
        <w:t>Table</w:t>
      </w:r>
      <w:r w:rsidRPr="006B14FA">
        <w:rPr>
          <w:rFonts w:eastAsia="Calibri" w:cs="Calibri"/>
          <w:b/>
          <w:spacing w:val="-4"/>
        </w:rPr>
        <w:t xml:space="preserve"> </w:t>
      </w:r>
      <w:r>
        <w:rPr>
          <w:rFonts w:eastAsia="Calibri" w:cs="Calibri"/>
          <w:b/>
          <w:spacing w:val="-4"/>
        </w:rPr>
        <w:t>5</w:t>
      </w:r>
      <w:r w:rsidRPr="006B14FA">
        <w:rPr>
          <w:rFonts w:eastAsia="Calibri" w:cs="Calibri"/>
          <w:b/>
        </w:rPr>
        <w:t>.</w:t>
      </w:r>
      <w:r w:rsidRPr="006B14FA">
        <w:rPr>
          <w:rFonts w:eastAsia="Calibri" w:cs="Calibri"/>
          <w:b/>
          <w:spacing w:val="-4"/>
        </w:rPr>
        <w:t xml:space="preserve"> </w:t>
      </w:r>
      <w:r>
        <w:rPr>
          <w:rFonts w:eastAsia="Calibri" w:cs="Calibri"/>
          <w:b/>
          <w:spacing w:val="-4"/>
        </w:rPr>
        <w:t>Preferred unrestricted r</w:t>
      </w:r>
      <w:r w:rsidRPr="006B14FA">
        <w:rPr>
          <w:rFonts w:eastAsia="Calibri" w:cs="Calibri"/>
          <w:b/>
        </w:rPr>
        <w:t>egression</w:t>
      </w:r>
      <w:r w:rsidRPr="006B14FA">
        <w:rPr>
          <w:rFonts w:eastAsia="Calibri" w:cs="Calibri"/>
          <w:b/>
          <w:spacing w:val="-4"/>
        </w:rPr>
        <w:t xml:space="preserve"> </w:t>
      </w:r>
      <w:r>
        <w:rPr>
          <w:rFonts w:eastAsia="Calibri" w:cs="Calibri"/>
          <w:b/>
          <w:spacing w:val="-4"/>
        </w:rPr>
        <w:t>e</w:t>
      </w:r>
      <w:r w:rsidRPr="006B14FA">
        <w:rPr>
          <w:rFonts w:eastAsia="Calibri" w:cs="Calibri"/>
          <w:b/>
        </w:rPr>
        <w:t>stimates</w:t>
      </w:r>
      <w:r w:rsidRPr="006B14FA">
        <w:rPr>
          <w:rFonts w:eastAsia="Calibri" w:cs="Calibri"/>
          <w:b/>
          <w:spacing w:val="-4"/>
        </w:rPr>
        <w:t xml:space="preserve"> </w:t>
      </w:r>
      <w:r w:rsidRPr="006B14FA">
        <w:rPr>
          <w:rFonts w:eastAsia="Calibri" w:cs="Calibri"/>
          <w:b/>
        </w:rPr>
        <w:t>for</w:t>
      </w:r>
      <w:r w:rsidRPr="006B14FA">
        <w:rPr>
          <w:rFonts w:eastAsia="Calibri" w:cs="Calibri"/>
          <w:b/>
          <w:spacing w:val="-4"/>
        </w:rPr>
        <w:t xml:space="preserve"> </w:t>
      </w:r>
      <w:r>
        <w:rPr>
          <w:rFonts w:eastAsia="Calibri" w:cs="Calibri"/>
          <w:b/>
          <w:spacing w:val="-4"/>
        </w:rPr>
        <w:t>r</w:t>
      </w:r>
      <w:r w:rsidRPr="006B14FA">
        <w:rPr>
          <w:rFonts w:eastAsia="Calibri" w:cs="Calibri"/>
          <w:b/>
        </w:rPr>
        <w:t>eal</w:t>
      </w:r>
      <w:r w:rsidRPr="006B14FA">
        <w:rPr>
          <w:rFonts w:eastAsia="Calibri" w:cs="Calibri"/>
          <w:b/>
          <w:spacing w:val="-4"/>
        </w:rPr>
        <w:t xml:space="preserve"> </w:t>
      </w:r>
      <w:r w:rsidR="00FF07B1">
        <w:rPr>
          <w:rFonts w:eastAsia="Calibri" w:cs="Calibri"/>
          <w:b/>
          <w:spacing w:val="-4"/>
        </w:rPr>
        <w:t xml:space="preserve">domestic beef </w:t>
      </w:r>
      <w:r>
        <w:rPr>
          <w:rFonts w:eastAsia="Calibri" w:cs="Calibri"/>
          <w:b/>
          <w:spacing w:val="-4"/>
        </w:rPr>
        <w:t>m</w:t>
      </w:r>
      <w:r w:rsidRPr="006B14FA">
        <w:rPr>
          <w:rFonts w:eastAsia="Calibri" w:cs="Calibri"/>
          <w:b/>
        </w:rPr>
        <w:t>argin</w:t>
      </w:r>
      <w:r w:rsidRPr="006B14FA">
        <w:rPr>
          <w:rFonts w:eastAsia="Calibri" w:cs="Calibri"/>
          <w:b/>
          <w:spacing w:val="-4"/>
        </w:rPr>
        <w:t xml:space="preserve"> </w:t>
      </w:r>
      <w:r>
        <w:rPr>
          <w:rFonts w:eastAsia="Calibri" w:cs="Calibri"/>
          <w:b/>
          <w:spacing w:val="-4"/>
        </w:rPr>
        <w:t>e</w:t>
      </w:r>
      <w:r w:rsidRPr="006B14FA">
        <w:rPr>
          <w:rFonts w:eastAsia="Calibri" w:cs="Calibri"/>
          <w:b/>
        </w:rPr>
        <w:t>quations</w:t>
      </w:r>
      <w:r w:rsidRPr="006B14FA">
        <w:rPr>
          <w:rFonts w:eastAsia="Calibri" w:cs="Calibri"/>
          <w:b/>
          <w:spacing w:val="-4"/>
        </w:rPr>
        <w:t xml:space="preserve"> </w:t>
      </w:r>
      <w:r w:rsidRPr="006B14FA">
        <w:rPr>
          <w:rFonts w:eastAsia="Calibri" w:cs="Calibri"/>
          <w:b/>
        </w:rPr>
        <w:t>197</w:t>
      </w:r>
      <w:r>
        <w:rPr>
          <w:rFonts w:eastAsia="Calibri" w:cs="Calibri"/>
          <w:b/>
        </w:rPr>
        <w:t>6</w:t>
      </w:r>
      <w:r w:rsidRPr="006B14FA">
        <w:rPr>
          <w:rFonts w:eastAsia="Calibri" w:cs="Calibri"/>
          <w:b/>
          <w:spacing w:val="-4"/>
        </w:rPr>
        <w:t xml:space="preserve"> </w:t>
      </w:r>
      <w:r w:rsidRPr="006B14FA">
        <w:rPr>
          <w:rFonts w:eastAsia="Calibri" w:cs="Calibri"/>
          <w:b/>
        </w:rPr>
        <w:t>–</w:t>
      </w:r>
      <w:r w:rsidRPr="006B14FA">
        <w:rPr>
          <w:rFonts w:eastAsia="Calibri" w:cs="Calibri"/>
          <w:b/>
          <w:spacing w:val="-4"/>
        </w:rPr>
        <w:t xml:space="preserve"> </w:t>
      </w:r>
      <w:r w:rsidRPr="006B14FA">
        <w:rPr>
          <w:rFonts w:eastAsia="Calibri" w:cs="Calibri"/>
          <w:b/>
        </w:rPr>
        <w:t>20</w:t>
      </w:r>
      <w:r>
        <w:rPr>
          <w:rFonts w:eastAsia="Calibri" w:cs="Calibri"/>
          <w:b/>
        </w:rPr>
        <w:t xml:space="preserve">21 </w:t>
      </w:r>
      <w:r w:rsidRPr="009203D1">
        <w:rPr>
          <w:rFonts w:eastAsia="Calibri" w:cs="Calibri"/>
          <w:b/>
        </w:rPr>
        <w:t>(</w:t>
      </w:r>
      <w:r w:rsidRPr="009203D1">
        <w:rPr>
          <w:b/>
          <w:w w:val="95"/>
        </w:rPr>
        <w:t>t</w:t>
      </w:r>
      <w:r w:rsidRPr="009203D1">
        <w:rPr>
          <w:b/>
        </w:rPr>
        <w:t>-statistics</w:t>
      </w:r>
      <w:r w:rsidRPr="009203D1">
        <w:rPr>
          <w:b/>
          <w:spacing w:val="-4"/>
        </w:rPr>
        <w:t xml:space="preserve"> </w:t>
      </w:r>
      <w:r w:rsidRPr="009203D1">
        <w:rPr>
          <w:b/>
        </w:rPr>
        <w:t>are</w:t>
      </w:r>
      <w:r w:rsidRPr="009203D1">
        <w:rPr>
          <w:b/>
          <w:spacing w:val="-4"/>
        </w:rPr>
        <w:t xml:space="preserve"> </w:t>
      </w:r>
      <w:r w:rsidRPr="009203D1">
        <w:rPr>
          <w:b/>
        </w:rPr>
        <w:t>in</w:t>
      </w:r>
      <w:r w:rsidRPr="009203D1">
        <w:rPr>
          <w:b/>
          <w:spacing w:val="-4"/>
        </w:rPr>
        <w:t xml:space="preserve"> </w:t>
      </w:r>
      <w:r w:rsidRPr="009203D1">
        <w:rPr>
          <w:b/>
        </w:rPr>
        <w:t>brackets)</w:t>
      </w:r>
    </w:p>
    <w:p w14:paraId="1033223B" w14:textId="77777777" w:rsidR="00C215BC" w:rsidRPr="00661BD2" w:rsidRDefault="00C215BC" w:rsidP="00C215BC">
      <w:pPr>
        <w:jc w:val="center"/>
        <w:rPr>
          <w:rFonts w:eastAsia="Calibri" w:cs="Calibri"/>
        </w:rPr>
      </w:pPr>
    </w:p>
    <w:tbl>
      <w:tblPr>
        <w:tblW w:w="13928" w:type="dxa"/>
        <w:jc w:val="center"/>
        <w:tblBorders>
          <w:top w:val="single" w:sz="4" w:space="0" w:color="BFBFBF"/>
          <w:bottom w:val="single" w:sz="4" w:space="0" w:color="BFBFBF"/>
          <w:insideH w:val="single" w:sz="4" w:space="0" w:color="BFBFBF"/>
        </w:tblBorders>
        <w:tblLayout w:type="fixed"/>
        <w:tblCellMar>
          <w:left w:w="0" w:type="dxa"/>
          <w:right w:w="0" w:type="dxa"/>
        </w:tblCellMar>
        <w:tblLook w:val="01E0" w:firstRow="1" w:lastRow="1" w:firstColumn="1" w:lastColumn="1" w:noHBand="0" w:noVBand="0"/>
      </w:tblPr>
      <w:tblGrid>
        <w:gridCol w:w="1170"/>
        <w:gridCol w:w="1276"/>
        <w:gridCol w:w="1276"/>
        <w:gridCol w:w="1275"/>
        <w:gridCol w:w="1134"/>
        <w:gridCol w:w="1134"/>
        <w:gridCol w:w="1134"/>
        <w:gridCol w:w="1134"/>
        <w:gridCol w:w="993"/>
        <w:gridCol w:w="1134"/>
        <w:gridCol w:w="2268"/>
      </w:tblGrid>
      <w:tr w:rsidR="00C215BC" w:rsidRPr="009203D1" w14:paraId="5243E87B" w14:textId="77777777" w:rsidTr="00A94739">
        <w:trPr>
          <w:trHeight w:hRule="exact" w:val="268"/>
          <w:jc w:val="center"/>
        </w:trPr>
        <w:tc>
          <w:tcPr>
            <w:tcW w:w="1170" w:type="dxa"/>
          </w:tcPr>
          <w:p w14:paraId="14B4DCD2" w14:textId="77777777" w:rsidR="00C215BC" w:rsidRPr="009203D1" w:rsidRDefault="00C215BC" w:rsidP="00887DB7">
            <w:pPr>
              <w:pStyle w:val="TableParagraph"/>
              <w:jc w:val="center"/>
              <w:rPr>
                <w:rFonts w:eastAsia="Calibri" w:cs="Calibri"/>
                <w:sz w:val="20"/>
                <w:szCs w:val="20"/>
              </w:rPr>
            </w:pPr>
            <w:r w:rsidRPr="009203D1">
              <w:rPr>
                <w:b/>
                <w:sz w:val="20"/>
                <w:szCs w:val="20"/>
              </w:rPr>
              <w:t>Constant</w:t>
            </w:r>
          </w:p>
        </w:tc>
        <w:tc>
          <w:tcPr>
            <w:tcW w:w="1276" w:type="dxa"/>
          </w:tcPr>
          <w:p w14:paraId="79881E48" w14:textId="77777777" w:rsidR="00C215BC" w:rsidRPr="009203D1" w:rsidRDefault="00C215BC" w:rsidP="00887DB7">
            <w:pPr>
              <w:pStyle w:val="TableParagraph"/>
              <w:jc w:val="center"/>
              <w:rPr>
                <w:rFonts w:eastAsia="Calibri" w:cs="Calibri"/>
                <w:sz w:val="20"/>
                <w:szCs w:val="20"/>
              </w:rPr>
            </w:pPr>
            <w:r w:rsidRPr="009203D1">
              <w:rPr>
                <w:b/>
                <w:sz w:val="20"/>
                <w:szCs w:val="20"/>
              </w:rPr>
              <w:t>COSTIND</w:t>
            </w:r>
          </w:p>
        </w:tc>
        <w:tc>
          <w:tcPr>
            <w:tcW w:w="1276" w:type="dxa"/>
          </w:tcPr>
          <w:p w14:paraId="75FEA09F" w14:textId="77777777" w:rsidR="00C215BC" w:rsidRPr="009203D1" w:rsidRDefault="00C215BC" w:rsidP="00887DB7">
            <w:pPr>
              <w:pStyle w:val="TableParagraph"/>
              <w:jc w:val="center"/>
              <w:rPr>
                <w:rFonts w:eastAsia="Calibri" w:cs="Calibri"/>
                <w:sz w:val="20"/>
                <w:szCs w:val="20"/>
              </w:rPr>
            </w:pPr>
            <w:r w:rsidRPr="009203D1">
              <w:rPr>
                <w:b/>
                <w:sz w:val="20"/>
                <w:szCs w:val="20"/>
              </w:rPr>
              <w:t>DMBF</w:t>
            </w:r>
          </w:p>
        </w:tc>
        <w:tc>
          <w:tcPr>
            <w:tcW w:w="1275" w:type="dxa"/>
          </w:tcPr>
          <w:p w14:paraId="4464E654" w14:textId="77777777" w:rsidR="00C215BC" w:rsidRPr="009203D1" w:rsidRDefault="00C215BC" w:rsidP="00887DB7">
            <w:pPr>
              <w:pStyle w:val="TableParagraph"/>
              <w:jc w:val="center"/>
              <w:rPr>
                <w:rFonts w:eastAsia="Calibri" w:cs="Calibri"/>
                <w:sz w:val="20"/>
                <w:szCs w:val="20"/>
              </w:rPr>
            </w:pPr>
            <w:proofErr w:type="spellStart"/>
            <w:r w:rsidRPr="009203D1">
              <w:rPr>
                <w:b/>
                <w:sz w:val="20"/>
                <w:szCs w:val="20"/>
              </w:rPr>
              <w:t>DMBFi</w:t>
            </w:r>
            <w:proofErr w:type="spellEnd"/>
          </w:p>
        </w:tc>
        <w:tc>
          <w:tcPr>
            <w:tcW w:w="1134" w:type="dxa"/>
          </w:tcPr>
          <w:p w14:paraId="6DE4F403" w14:textId="77777777" w:rsidR="00C215BC" w:rsidRPr="009203D1" w:rsidRDefault="00C215BC" w:rsidP="00887DB7">
            <w:pPr>
              <w:pStyle w:val="TableParagraph"/>
              <w:jc w:val="center"/>
              <w:rPr>
                <w:rFonts w:eastAsia="Calibri" w:cs="Calibri"/>
                <w:sz w:val="20"/>
                <w:szCs w:val="20"/>
              </w:rPr>
            </w:pPr>
            <w:r w:rsidRPr="009203D1">
              <w:rPr>
                <w:b/>
                <w:sz w:val="20"/>
                <w:szCs w:val="20"/>
              </w:rPr>
              <w:t>TIME</w:t>
            </w:r>
          </w:p>
        </w:tc>
        <w:tc>
          <w:tcPr>
            <w:tcW w:w="1134" w:type="dxa"/>
          </w:tcPr>
          <w:p w14:paraId="03720C95" w14:textId="77777777" w:rsidR="00C215BC" w:rsidRPr="009203D1" w:rsidRDefault="00C215BC" w:rsidP="00887DB7">
            <w:pPr>
              <w:pStyle w:val="TableParagraph"/>
              <w:jc w:val="center"/>
              <w:rPr>
                <w:b/>
                <w:sz w:val="20"/>
                <w:szCs w:val="20"/>
              </w:rPr>
            </w:pPr>
            <w:r w:rsidRPr="009203D1">
              <w:rPr>
                <w:b/>
                <w:sz w:val="20"/>
                <w:szCs w:val="20"/>
              </w:rPr>
              <w:t>DUM75</w:t>
            </w:r>
          </w:p>
        </w:tc>
        <w:tc>
          <w:tcPr>
            <w:tcW w:w="1134" w:type="dxa"/>
          </w:tcPr>
          <w:p w14:paraId="49595C69" w14:textId="77777777" w:rsidR="00C215BC" w:rsidRPr="009203D1" w:rsidRDefault="00C215BC" w:rsidP="00887DB7">
            <w:pPr>
              <w:pStyle w:val="TableParagraph"/>
              <w:jc w:val="center"/>
              <w:rPr>
                <w:b/>
                <w:sz w:val="20"/>
                <w:szCs w:val="20"/>
              </w:rPr>
            </w:pPr>
            <w:r w:rsidRPr="009203D1">
              <w:rPr>
                <w:b/>
                <w:sz w:val="20"/>
                <w:szCs w:val="20"/>
              </w:rPr>
              <w:t>DUM11</w:t>
            </w:r>
          </w:p>
        </w:tc>
        <w:tc>
          <w:tcPr>
            <w:tcW w:w="1134" w:type="dxa"/>
          </w:tcPr>
          <w:p w14:paraId="043B0F66" w14:textId="77777777" w:rsidR="00C215BC" w:rsidRPr="009203D1" w:rsidRDefault="00C215BC" w:rsidP="00887DB7">
            <w:pPr>
              <w:pStyle w:val="TableParagraph"/>
              <w:jc w:val="center"/>
              <w:rPr>
                <w:rFonts w:eastAsia="Calibri" w:cs="Calibri"/>
                <w:sz w:val="20"/>
                <w:szCs w:val="20"/>
              </w:rPr>
            </w:pPr>
            <w:r w:rsidRPr="009203D1">
              <w:rPr>
                <w:b/>
                <w:sz w:val="20"/>
                <w:szCs w:val="20"/>
              </w:rPr>
              <w:t>RHO</w:t>
            </w:r>
          </w:p>
        </w:tc>
        <w:tc>
          <w:tcPr>
            <w:tcW w:w="993" w:type="dxa"/>
          </w:tcPr>
          <w:p w14:paraId="68CA7B11" w14:textId="77777777" w:rsidR="00C215BC" w:rsidRPr="009203D1" w:rsidRDefault="00C215BC" w:rsidP="00887DB7">
            <w:pPr>
              <w:pStyle w:val="TableParagraph"/>
              <w:jc w:val="center"/>
              <w:rPr>
                <w:rFonts w:eastAsia="Calibri" w:cs="Calibri"/>
                <w:sz w:val="20"/>
                <w:szCs w:val="20"/>
              </w:rPr>
            </w:pPr>
            <w:r w:rsidRPr="009203D1">
              <w:rPr>
                <w:b/>
                <w:sz w:val="20"/>
                <w:szCs w:val="20"/>
              </w:rPr>
              <w:t>R</w:t>
            </w:r>
            <w:r w:rsidRPr="009203D1">
              <w:rPr>
                <w:b/>
                <w:sz w:val="20"/>
                <w:szCs w:val="20"/>
                <w:vertAlign w:val="superscript"/>
              </w:rPr>
              <w:t>2</w:t>
            </w:r>
          </w:p>
        </w:tc>
        <w:tc>
          <w:tcPr>
            <w:tcW w:w="1134" w:type="dxa"/>
          </w:tcPr>
          <w:p w14:paraId="3AE0322A" w14:textId="77777777" w:rsidR="00C215BC" w:rsidRPr="009203D1" w:rsidRDefault="00C215BC" w:rsidP="00887DB7">
            <w:pPr>
              <w:pStyle w:val="TableParagraph"/>
              <w:jc w:val="center"/>
              <w:rPr>
                <w:rFonts w:eastAsia="Calibri" w:cs="Calibri"/>
                <w:sz w:val="20"/>
                <w:szCs w:val="20"/>
              </w:rPr>
            </w:pPr>
            <w:r w:rsidRPr="009203D1">
              <w:rPr>
                <w:b/>
                <w:sz w:val="20"/>
                <w:szCs w:val="20"/>
              </w:rPr>
              <w:t>DW</w:t>
            </w:r>
          </w:p>
        </w:tc>
        <w:tc>
          <w:tcPr>
            <w:tcW w:w="2268" w:type="dxa"/>
          </w:tcPr>
          <w:p w14:paraId="45F139D1" w14:textId="77777777" w:rsidR="00C215BC" w:rsidRPr="009203D1" w:rsidRDefault="00C215BC" w:rsidP="00887DB7">
            <w:pPr>
              <w:pStyle w:val="TableParagraph"/>
              <w:jc w:val="center"/>
              <w:rPr>
                <w:rFonts w:eastAsia="Calibri" w:cs="Calibri"/>
                <w:sz w:val="20"/>
                <w:szCs w:val="20"/>
              </w:rPr>
            </w:pPr>
            <w:r w:rsidRPr="009203D1">
              <w:rPr>
                <w:b/>
                <w:sz w:val="20"/>
                <w:szCs w:val="20"/>
              </w:rPr>
              <w:t>Method</w:t>
            </w:r>
          </w:p>
        </w:tc>
      </w:tr>
      <w:tr w:rsidR="00C215BC" w:rsidRPr="002D4398" w14:paraId="6F025D19" w14:textId="77777777" w:rsidTr="00A94739">
        <w:trPr>
          <w:trHeight w:hRule="exact" w:val="268"/>
          <w:jc w:val="center"/>
        </w:trPr>
        <w:tc>
          <w:tcPr>
            <w:tcW w:w="1170" w:type="dxa"/>
            <w:shd w:val="clear" w:color="auto" w:fill="F2F2F2"/>
          </w:tcPr>
          <w:p w14:paraId="123AA38F" w14:textId="77777777" w:rsidR="00C215BC" w:rsidRPr="002D4398" w:rsidRDefault="00C215BC" w:rsidP="00887DB7">
            <w:pPr>
              <w:pStyle w:val="TableParagraph"/>
              <w:jc w:val="center"/>
              <w:rPr>
                <w:rFonts w:eastAsia="Calibri" w:cs="Calibri"/>
                <w:sz w:val="20"/>
                <w:szCs w:val="20"/>
              </w:rPr>
            </w:pPr>
            <w:r w:rsidRPr="002D4398">
              <w:rPr>
                <w:sz w:val="20"/>
                <w:szCs w:val="20"/>
              </w:rPr>
              <w:t>127.59</w:t>
            </w:r>
          </w:p>
        </w:tc>
        <w:tc>
          <w:tcPr>
            <w:tcW w:w="1276" w:type="dxa"/>
            <w:shd w:val="clear" w:color="auto" w:fill="F2F2F2"/>
          </w:tcPr>
          <w:p w14:paraId="6EA15580" w14:textId="77777777" w:rsidR="00C215BC" w:rsidRPr="002D4398" w:rsidRDefault="00C215BC" w:rsidP="00887DB7">
            <w:pPr>
              <w:pStyle w:val="TableParagraph"/>
              <w:jc w:val="center"/>
              <w:rPr>
                <w:rFonts w:eastAsia="Calibri" w:cs="Calibri"/>
                <w:sz w:val="20"/>
                <w:szCs w:val="20"/>
              </w:rPr>
            </w:pPr>
            <w:r w:rsidRPr="002D4398">
              <w:rPr>
                <w:sz w:val="20"/>
                <w:szCs w:val="20"/>
              </w:rPr>
              <w:t>5.328</w:t>
            </w:r>
          </w:p>
        </w:tc>
        <w:tc>
          <w:tcPr>
            <w:tcW w:w="1276" w:type="dxa"/>
            <w:shd w:val="clear" w:color="auto" w:fill="F2F2F2"/>
          </w:tcPr>
          <w:p w14:paraId="3E5A0450" w14:textId="77777777" w:rsidR="00C215BC" w:rsidRPr="002D4398" w:rsidRDefault="00C215BC" w:rsidP="00887DB7">
            <w:pPr>
              <w:pStyle w:val="TableParagraph"/>
              <w:jc w:val="center"/>
              <w:rPr>
                <w:rFonts w:eastAsia="Calibri" w:cs="Calibri"/>
                <w:sz w:val="20"/>
                <w:szCs w:val="20"/>
              </w:rPr>
            </w:pPr>
            <w:r w:rsidRPr="002D4398">
              <w:rPr>
                <w:sz w:val="20"/>
                <w:szCs w:val="20"/>
              </w:rPr>
              <w:t>-0.361</w:t>
            </w:r>
          </w:p>
        </w:tc>
        <w:tc>
          <w:tcPr>
            <w:tcW w:w="1275" w:type="dxa"/>
            <w:shd w:val="clear" w:color="auto" w:fill="F2F2F2"/>
          </w:tcPr>
          <w:p w14:paraId="1E6451CC" w14:textId="77777777" w:rsidR="00C215BC" w:rsidRPr="002D4398" w:rsidRDefault="00C215BC" w:rsidP="00887DB7">
            <w:pPr>
              <w:pStyle w:val="TableParagraph"/>
              <w:jc w:val="center"/>
              <w:rPr>
                <w:rFonts w:eastAsia="Calibri" w:cs="Calibri"/>
                <w:sz w:val="20"/>
                <w:szCs w:val="20"/>
              </w:rPr>
            </w:pPr>
            <w:r w:rsidRPr="002D4398">
              <w:rPr>
                <w:sz w:val="20"/>
                <w:szCs w:val="20"/>
              </w:rPr>
              <w:t>8.791</w:t>
            </w:r>
          </w:p>
        </w:tc>
        <w:tc>
          <w:tcPr>
            <w:tcW w:w="1134" w:type="dxa"/>
            <w:shd w:val="clear" w:color="auto" w:fill="F2F2F2"/>
          </w:tcPr>
          <w:p w14:paraId="09A2C5B2" w14:textId="77777777" w:rsidR="00C215BC" w:rsidRPr="002D4398" w:rsidRDefault="00C215BC" w:rsidP="00887DB7">
            <w:pPr>
              <w:pStyle w:val="TableParagraph"/>
              <w:jc w:val="center"/>
              <w:rPr>
                <w:rFonts w:eastAsia="Calibri" w:cs="Calibri"/>
                <w:sz w:val="20"/>
                <w:szCs w:val="20"/>
              </w:rPr>
            </w:pPr>
            <w:r w:rsidRPr="002D4398">
              <w:rPr>
                <w:sz w:val="20"/>
                <w:szCs w:val="20"/>
              </w:rPr>
              <w:t>8.347</w:t>
            </w:r>
          </w:p>
        </w:tc>
        <w:tc>
          <w:tcPr>
            <w:tcW w:w="1134" w:type="dxa"/>
            <w:shd w:val="clear" w:color="auto" w:fill="F2F2F2"/>
          </w:tcPr>
          <w:p w14:paraId="4486F530" w14:textId="77777777" w:rsidR="00C215BC" w:rsidRPr="002D4398" w:rsidRDefault="00C215BC" w:rsidP="00887DB7">
            <w:pPr>
              <w:pStyle w:val="TableParagraph"/>
              <w:jc w:val="center"/>
              <w:rPr>
                <w:sz w:val="20"/>
                <w:szCs w:val="20"/>
              </w:rPr>
            </w:pPr>
            <w:r w:rsidRPr="002D4398">
              <w:rPr>
                <w:sz w:val="20"/>
                <w:szCs w:val="20"/>
              </w:rPr>
              <w:t>-101.62</w:t>
            </w:r>
          </w:p>
        </w:tc>
        <w:tc>
          <w:tcPr>
            <w:tcW w:w="1134" w:type="dxa"/>
            <w:shd w:val="clear" w:color="auto" w:fill="F2F2F2"/>
          </w:tcPr>
          <w:p w14:paraId="0878FCC5" w14:textId="77777777" w:rsidR="00C215BC" w:rsidRPr="002D4398" w:rsidRDefault="00C215BC" w:rsidP="00887DB7">
            <w:pPr>
              <w:pStyle w:val="TableParagraph"/>
              <w:jc w:val="center"/>
              <w:rPr>
                <w:sz w:val="20"/>
                <w:szCs w:val="20"/>
              </w:rPr>
            </w:pPr>
            <w:r w:rsidRPr="002D4398">
              <w:rPr>
                <w:sz w:val="20"/>
                <w:szCs w:val="20"/>
              </w:rPr>
              <w:t>-125.05</w:t>
            </w:r>
          </w:p>
        </w:tc>
        <w:tc>
          <w:tcPr>
            <w:tcW w:w="1134" w:type="dxa"/>
            <w:shd w:val="clear" w:color="auto" w:fill="F2F2F2"/>
          </w:tcPr>
          <w:p w14:paraId="2485CC3D" w14:textId="77777777" w:rsidR="00C215BC" w:rsidRPr="002D4398" w:rsidRDefault="00C215BC" w:rsidP="00887DB7">
            <w:pPr>
              <w:pStyle w:val="TableParagraph"/>
              <w:jc w:val="center"/>
              <w:rPr>
                <w:rFonts w:eastAsia="Calibri" w:cs="Calibri"/>
                <w:sz w:val="20"/>
                <w:szCs w:val="20"/>
              </w:rPr>
            </w:pPr>
            <w:r w:rsidRPr="002D4398">
              <w:rPr>
                <w:sz w:val="20"/>
                <w:szCs w:val="20"/>
              </w:rPr>
              <w:t>0.222</w:t>
            </w:r>
          </w:p>
        </w:tc>
        <w:tc>
          <w:tcPr>
            <w:tcW w:w="993" w:type="dxa"/>
            <w:shd w:val="clear" w:color="auto" w:fill="F2F2F2"/>
          </w:tcPr>
          <w:p w14:paraId="3BF8FC41" w14:textId="77777777" w:rsidR="00C215BC" w:rsidRPr="002D4398" w:rsidRDefault="00C215BC" w:rsidP="00887DB7">
            <w:pPr>
              <w:pStyle w:val="TableParagraph"/>
              <w:jc w:val="center"/>
              <w:rPr>
                <w:rFonts w:eastAsia="Calibri" w:cs="Calibri"/>
                <w:sz w:val="20"/>
                <w:szCs w:val="20"/>
              </w:rPr>
            </w:pPr>
            <w:r w:rsidRPr="002D4398">
              <w:rPr>
                <w:sz w:val="20"/>
                <w:szCs w:val="20"/>
              </w:rPr>
              <w:t>0.99</w:t>
            </w:r>
          </w:p>
        </w:tc>
        <w:tc>
          <w:tcPr>
            <w:tcW w:w="1134" w:type="dxa"/>
            <w:shd w:val="clear" w:color="auto" w:fill="F2F2F2"/>
          </w:tcPr>
          <w:p w14:paraId="59F21703" w14:textId="77777777" w:rsidR="00C215BC" w:rsidRPr="002D4398" w:rsidRDefault="00C215BC" w:rsidP="00887DB7">
            <w:pPr>
              <w:pStyle w:val="TableParagraph"/>
              <w:jc w:val="center"/>
              <w:rPr>
                <w:rFonts w:eastAsia="Calibri" w:cs="Calibri"/>
                <w:sz w:val="20"/>
                <w:szCs w:val="20"/>
              </w:rPr>
            </w:pPr>
            <w:r w:rsidRPr="002D4398">
              <w:rPr>
                <w:sz w:val="20"/>
                <w:szCs w:val="20"/>
              </w:rPr>
              <w:t>2.00</w:t>
            </w:r>
          </w:p>
        </w:tc>
        <w:tc>
          <w:tcPr>
            <w:tcW w:w="2268" w:type="dxa"/>
            <w:shd w:val="clear" w:color="auto" w:fill="F2F2F2"/>
          </w:tcPr>
          <w:p w14:paraId="3769C048" w14:textId="77777777" w:rsidR="00C215BC" w:rsidRPr="002D4398" w:rsidRDefault="00C215BC" w:rsidP="00887DB7">
            <w:pPr>
              <w:pStyle w:val="TableParagraph"/>
              <w:jc w:val="center"/>
              <w:rPr>
                <w:rFonts w:eastAsia="Calibri" w:cs="Calibri"/>
                <w:sz w:val="20"/>
                <w:szCs w:val="20"/>
              </w:rPr>
            </w:pPr>
            <w:r w:rsidRPr="002D4398">
              <w:rPr>
                <w:sz w:val="20"/>
                <w:szCs w:val="20"/>
              </w:rPr>
              <w:t>OLS-AR1</w:t>
            </w:r>
          </w:p>
        </w:tc>
      </w:tr>
      <w:tr w:rsidR="00C215BC" w:rsidRPr="002D4398" w14:paraId="0C34E507" w14:textId="77777777" w:rsidTr="00A94739">
        <w:trPr>
          <w:trHeight w:hRule="exact" w:val="333"/>
          <w:jc w:val="center"/>
        </w:trPr>
        <w:tc>
          <w:tcPr>
            <w:tcW w:w="1170" w:type="dxa"/>
          </w:tcPr>
          <w:p w14:paraId="48BA8B35" w14:textId="77777777" w:rsidR="00C215BC" w:rsidRPr="002D4398" w:rsidRDefault="00C215BC" w:rsidP="00887DB7">
            <w:pPr>
              <w:pStyle w:val="TableParagraph"/>
              <w:jc w:val="center"/>
              <w:rPr>
                <w:rFonts w:eastAsia="Calibri" w:cs="Calibri"/>
                <w:sz w:val="20"/>
                <w:szCs w:val="20"/>
              </w:rPr>
            </w:pPr>
            <w:r w:rsidRPr="002D4398">
              <w:rPr>
                <w:sz w:val="20"/>
                <w:szCs w:val="20"/>
              </w:rPr>
              <w:t>(3.00)</w:t>
            </w:r>
          </w:p>
        </w:tc>
        <w:tc>
          <w:tcPr>
            <w:tcW w:w="1276" w:type="dxa"/>
          </w:tcPr>
          <w:p w14:paraId="377B454C" w14:textId="77777777" w:rsidR="00C215BC" w:rsidRPr="002D4398" w:rsidRDefault="00C215BC" w:rsidP="00887DB7">
            <w:pPr>
              <w:pStyle w:val="TableParagraph"/>
              <w:jc w:val="center"/>
              <w:rPr>
                <w:rFonts w:eastAsia="Calibri" w:cs="Calibri"/>
                <w:sz w:val="20"/>
                <w:szCs w:val="20"/>
              </w:rPr>
            </w:pPr>
            <w:r w:rsidRPr="002D4398">
              <w:rPr>
                <w:sz w:val="20"/>
                <w:szCs w:val="20"/>
              </w:rPr>
              <w:t>(9.27)</w:t>
            </w:r>
          </w:p>
        </w:tc>
        <w:tc>
          <w:tcPr>
            <w:tcW w:w="1276" w:type="dxa"/>
          </w:tcPr>
          <w:p w14:paraId="0F1E54AC" w14:textId="77777777" w:rsidR="00C215BC" w:rsidRPr="002D4398" w:rsidRDefault="00C215BC" w:rsidP="00887DB7">
            <w:pPr>
              <w:pStyle w:val="TableParagraph"/>
              <w:jc w:val="center"/>
              <w:rPr>
                <w:rFonts w:eastAsia="Calibri" w:cs="Calibri"/>
                <w:sz w:val="20"/>
                <w:szCs w:val="20"/>
              </w:rPr>
            </w:pPr>
            <w:r w:rsidRPr="002D4398">
              <w:rPr>
                <w:sz w:val="20"/>
                <w:szCs w:val="20"/>
              </w:rPr>
              <w:t>(-1.46)</w:t>
            </w:r>
          </w:p>
        </w:tc>
        <w:tc>
          <w:tcPr>
            <w:tcW w:w="1275" w:type="dxa"/>
          </w:tcPr>
          <w:p w14:paraId="19A2F8B8" w14:textId="77777777" w:rsidR="00C215BC" w:rsidRPr="002D4398" w:rsidRDefault="00C215BC" w:rsidP="00887DB7">
            <w:pPr>
              <w:pStyle w:val="TableParagraph"/>
              <w:jc w:val="center"/>
              <w:rPr>
                <w:rFonts w:eastAsia="Calibri" w:cs="Calibri"/>
                <w:sz w:val="20"/>
                <w:szCs w:val="20"/>
              </w:rPr>
            </w:pPr>
            <w:r w:rsidRPr="002D4398">
              <w:rPr>
                <w:sz w:val="20"/>
                <w:szCs w:val="20"/>
              </w:rPr>
              <w:t>(0.40)</w:t>
            </w:r>
          </w:p>
        </w:tc>
        <w:tc>
          <w:tcPr>
            <w:tcW w:w="1134" w:type="dxa"/>
          </w:tcPr>
          <w:p w14:paraId="1C2C6118" w14:textId="77777777" w:rsidR="00C215BC" w:rsidRPr="002D4398" w:rsidRDefault="00C215BC" w:rsidP="00887DB7">
            <w:pPr>
              <w:pStyle w:val="TableParagraph"/>
              <w:jc w:val="center"/>
              <w:rPr>
                <w:rFonts w:eastAsia="Calibri" w:cs="Calibri"/>
                <w:sz w:val="20"/>
                <w:szCs w:val="20"/>
              </w:rPr>
            </w:pPr>
            <w:r w:rsidRPr="002D4398">
              <w:rPr>
                <w:sz w:val="20"/>
                <w:szCs w:val="20"/>
              </w:rPr>
              <w:t>(5.50)</w:t>
            </w:r>
          </w:p>
        </w:tc>
        <w:tc>
          <w:tcPr>
            <w:tcW w:w="1134" w:type="dxa"/>
          </w:tcPr>
          <w:p w14:paraId="6D959CAC" w14:textId="77777777" w:rsidR="00C215BC" w:rsidRPr="002D4398" w:rsidRDefault="00C215BC" w:rsidP="00887DB7">
            <w:pPr>
              <w:pStyle w:val="TableParagraph"/>
              <w:jc w:val="center"/>
              <w:rPr>
                <w:sz w:val="20"/>
                <w:szCs w:val="20"/>
              </w:rPr>
            </w:pPr>
            <w:r w:rsidRPr="002D4398">
              <w:rPr>
                <w:sz w:val="20"/>
                <w:szCs w:val="20"/>
              </w:rPr>
              <w:t>(-2.09)</w:t>
            </w:r>
          </w:p>
        </w:tc>
        <w:tc>
          <w:tcPr>
            <w:tcW w:w="1134" w:type="dxa"/>
          </w:tcPr>
          <w:p w14:paraId="1FA87337" w14:textId="77777777" w:rsidR="00C215BC" w:rsidRPr="002D4398" w:rsidRDefault="00C215BC" w:rsidP="00887DB7">
            <w:pPr>
              <w:pStyle w:val="TableParagraph"/>
              <w:jc w:val="center"/>
              <w:rPr>
                <w:sz w:val="20"/>
                <w:szCs w:val="20"/>
              </w:rPr>
            </w:pPr>
            <w:r w:rsidRPr="002D4398">
              <w:rPr>
                <w:sz w:val="20"/>
                <w:szCs w:val="20"/>
              </w:rPr>
              <w:t>(-2.94)</w:t>
            </w:r>
          </w:p>
        </w:tc>
        <w:tc>
          <w:tcPr>
            <w:tcW w:w="1134" w:type="dxa"/>
          </w:tcPr>
          <w:p w14:paraId="1C58BADB" w14:textId="77777777" w:rsidR="00C215BC" w:rsidRPr="002D4398" w:rsidRDefault="00C215BC" w:rsidP="00887DB7">
            <w:pPr>
              <w:pStyle w:val="TableParagraph"/>
              <w:jc w:val="center"/>
              <w:rPr>
                <w:rFonts w:eastAsia="Calibri" w:cs="Calibri"/>
                <w:sz w:val="20"/>
                <w:szCs w:val="20"/>
              </w:rPr>
            </w:pPr>
            <w:r w:rsidRPr="002D4398">
              <w:rPr>
                <w:sz w:val="20"/>
                <w:szCs w:val="20"/>
              </w:rPr>
              <w:t>(1.45)</w:t>
            </w:r>
          </w:p>
        </w:tc>
        <w:tc>
          <w:tcPr>
            <w:tcW w:w="993" w:type="dxa"/>
          </w:tcPr>
          <w:p w14:paraId="13052E0A" w14:textId="77777777" w:rsidR="00C215BC" w:rsidRPr="002D4398" w:rsidRDefault="00C215BC" w:rsidP="00887DB7">
            <w:pPr>
              <w:jc w:val="center"/>
              <w:rPr>
                <w:sz w:val="20"/>
                <w:szCs w:val="20"/>
              </w:rPr>
            </w:pPr>
          </w:p>
        </w:tc>
        <w:tc>
          <w:tcPr>
            <w:tcW w:w="1134" w:type="dxa"/>
          </w:tcPr>
          <w:p w14:paraId="48C3FE3D" w14:textId="77777777" w:rsidR="00C215BC" w:rsidRPr="002D4398" w:rsidRDefault="00C215BC" w:rsidP="00887DB7">
            <w:pPr>
              <w:jc w:val="center"/>
              <w:rPr>
                <w:sz w:val="20"/>
                <w:szCs w:val="20"/>
              </w:rPr>
            </w:pPr>
          </w:p>
        </w:tc>
        <w:tc>
          <w:tcPr>
            <w:tcW w:w="2268" w:type="dxa"/>
          </w:tcPr>
          <w:p w14:paraId="21FD4460" w14:textId="77777777" w:rsidR="00C215BC" w:rsidRPr="002D4398" w:rsidRDefault="00C215BC" w:rsidP="00887DB7">
            <w:pPr>
              <w:jc w:val="center"/>
              <w:rPr>
                <w:sz w:val="20"/>
                <w:szCs w:val="20"/>
              </w:rPr>
            </w:pPr>
          </w:p>
        </w:tc>
      </w:tr>
      <w:tr w:rsidR="00C215BC" w:rsidRPr="002D4398" w14:paraId="142DDF85" w14:textId="77777777" w:rsidTr="00A94739">
        <w:trPr>
          <w:trHeight w:hRule="exact" w:val="268"/>
          <w:jc w:val="center"/>
        </w:trPr>
        <w:tc>
          <w:tcPr>
            <w:tcW w:w="1170" w:type="dxa"/>
            <w:shd w:val="clear" w:color="auto" w:fill="F2F2F2"/>
          </w:tcPr>
          <w:p w14:paraId="64430253" w14:textId="77777777" w:rsidR="00C215BC" w:rsidRPr="002D4398" w:rsidRDefault="00C215BC" w:rsidP="00887DB7">
            <w:pPr>
              <w:pStyle w:val="TableParagraph"/>
              <w:jc w:val="center"/>
              <w:rPr>
                <w:rFonts w:eastAsia="Calibri" w:cs="Calibri"/>
                <w:sz w:val="20"/>
                <w:szCs w:val="20"/>
              </w:rPr>
            </w:pPr>
            <w:r w:rsidRPr="002D4398">
              <w:rPr>
                <w:sz w:val="20"/>
                <w:szCs w:val="20"/>
              </w:rPr>
              <w:t>127.81</w:t>
            </w:r>
          </w:p>
        </w:tc>
        <w:tc>
          <w:tcPr>
            <w:tcW w:w="1276" w:type="dxa"/>
            <w:shd w:val="clear" w:color="auto" w:fill="F2F2F2"/>
          </w:tcPr>
          <w:p w14:paraId="79BD209C" w14:textId="77777777" w:rsidR="00C215BC" w:rsidRPr="002D4398" w:rsidRDefault="00C215BC" w:rsidP="00887DB7">
            <w:pPr>
              <w:pStyle w:val="TableParagraph"/>
              <w:jc w:val="center"/>
              <w:rPr>
                <w:rFonts w:eastAsia="Calibri" w:cs="Calibri"/>
                <w:sz w:val="20"/>
                <w:szCs w:val="20"/>
              </w:rPr>
            </w:pPr>
            <w:r w:rsidRPr="002D4398">
              <w:rPr>
                <w:sz w:val="20"/>
                <w:szCs w:val="20"/>
              </w:rPr>
              <w:t>5.353</w:t>
            </w:r>
          </w:p>
        </w:tc>
        <w:tc>
          <w:tcPr>
            <w:tcW w:w="1276" w:type="dxa"/>
            <w:shd w:val="clear" w:color="auto" w:fill="F2F2F2"/>
          </w:tcPr>
          <w:p w14:paraId="6799078A" w14:textId="77777777" w:rsidR="00C215BC" w:rsidRPr="002D4398" w:rsidRDefault="00C215BC" w:rsidP="00887DB7">
            <w:pPr>
              <w:pStyle w:val="TableParagraph"/>
              <w:jc w:val="center"/>
              <w:rPr>
                <w:rFonts w:eastAsia="Calibri" w:cs="Calibri"/>
                <w:sz w:val="20"/>
                <w:szCs w:val="20"/>
              </w:rPr>
            </w:pPr>
            <w:r w:rsidRPr="002D4398">
              <w:rPr>
                <w:sz w:val="20"/>
                <w:szCs w:val="20"/>
              </w:rPr>
              <w:t>-0.368</w:t>
            </w:r>
          </w:p>
        </w:tc>
        <w:tc>
          <w:tcPr>
            <w:tcW w:w="1275" w:type="dxa"/>
            <w:shd w:val="clear" w:color="auto" w:fill="F2F2F2"/>
          </w:tcPr>
          <w:p w14:paraId="74C33789" w14:textId="77777777" w:rsidR="00C215BC" w:rsidRPr="002D4398" w:rsidRDefault="00C215BC" w:rsidP="00887DB7">
            <w:pPr>
              <w:pStyle w:val="TableParagraph"/>
              <w:jc w:val="center"/>
              <w:rPr>
                <w:rFonts w:eastAsia="Calibri" w:cs="Calibri"/>
                <w:sz w:val="20"/>
                <w:szCs w:val="20"/>
              </w:rPr>
            </w:pPr>
            <w:r w:rsidRPr="002D4398">
              <w:rPr>
                <w:sz w:val="20"/>
                <w:szCs w:val="20"/>
              </w:rPr>
              <w:t>8.439</w:t>
            </w:r>
          </w:p>
        </w:tc>
        <w:tc>
          <w:tcPr>
            <w:tcW w:w="1134" w:type="dxa"/>
            <w:shd w:val="clear" w:color="auto" w:fill="F2F2F2"/>
          </w:tcPr>
          <w:p w14:paraId="00366D06" w14:textId="77777777" w:rsidR="00C215BC" w:rsidRPr="002D4398" w:rsidRDefault="00C215BC" w:rsidP="00887DB7">
            <w:pPr>
              <w:pStyle w:val="TableParagraph"/>
              <w:jc w:val="center"/>
              <w:rPr>
                <w:rFonts w:eastAsia="Calibri" w:cs="Calibri"/>
                <w:sz w:val="20"/>
                <w:szCs w:val="20"/>
              </w:rPr>
            </w:pPr>
            <w:r w:rsidRPr="002D4398">
              <w:rPr>
                <w:sz w:val="20"/>
                <w:szCs w:val="20"/>
              </w:rPr>
              <w:t>8.372</w:t>
            </w:r>
          </w:p>
        </w:tc>
        <w:tc>
          <w:tcPr>
            <w:tcW w:w="1134" w:type="dxa"/>
            <w:shd w:val="clear" w:color="auto" w:fill="F2F2F2"/>
          </w:tcPr>
          <w:p w14:paraId="4301222C" w14:textId="77777777" w:rsidR="00C215BC" w:rsidRPr="002D4398" w:rsidRDefault="00C215BC" w:rsidP="00887DB7">
            <w:pPr>
              <w:pStyle w:val="TableParagraph"/>
              <w:jc w:val="center"/>
              <w:rPr>
                <w:sz w:val="20"/>
                <w:szCs w:val="20"/>
              </w:rPr>
            </w:pPr>
            <w:r w:rsidRPr="002D4398">
              <w:rPr>
                <w:sz w:val="20"/>
                <w:szCs w:val="20"/>
              </w:rPr>
              <w:t>-96.767</w:t>
            </w:r>
          </w:p>
        </w:tc>
        <w:tc>
          <w:tcPr>
            <w:tcW w:w="1134" w:type="dxa"/>
            <w:shd w:val="clear" w:color="auto" w:fill="F2F2F2"/>
          </w:tcPr>
          <w:p w14:paraId="1D88C529" w14:textId="77777777" w:rsidR="00C215BC" w:rsidRPr="002D4398" w:rsidRDefault="00C215BC" w:rsidP="00887DB7">
            <w:pPr>
              <w:pStyle w:val="TableParagraph"/>
              <w:jc w:val="center"/>
              <w:rPr>
                <w:sz w:val="20"/>
                <w:szCs w:val="20"/>
              </w:rPr>
            </w:pPr>
            <w:r w:rsidRPr="002D4398">
              <w:rPr>
                <w:sz w:val="20"/>
                <w:szCs w:val="20"/>
              </w:rPr>
              <w:t>-125.94</w:t>
            </w:r>
          </w:p>
        </w:tc>
        <w:tc>
          <w:tcPr>
            <w:tcW w:w="1134" w:type="dxa"/>
            <w:shd w:val="clear" w:color="auto" w:fill="F2F2F2"/>
          </w:tcPr>
          <w:p w14:paraId="23006939" w14:textId="77777777" w:rsidR="00C215BC" w:rsidRPr="002D4398" w:rsidRDefault="00C215BC" w:rsidP="00887DB7">
            <w:pPr>
              <w:pStyle w:val="TableParagraph"/>
              <w:jc w:val="center"/>
              <w:rPr>
                <w:rFonts w:eastAsia="Calibri" w:cs="Calibri"/>
                <w:sz w:val="20"/>
                <w:szCs w:val="20"/>
              </w:rPr>
            </w:pPr>
            <w:r w:rsidRPr="002D4398">
              <w:rPr>
                <w:sz w:val="20"/>
                <w:szCs w:val="20"/>
              </w:rPr>
              <w:t>0.216</w:t>
            </w:r>
          </w:p>
        </w:tc>
        <w:tc>
          <w:tcPr>
            <w:tcW w:w="993" w:type="dxa"/>
            <w:shd w:val="clear" w:color="auto" w:fill="F2F2F2"/>
          </w:tcPr>
          <w:p w14:paraId="61D17371" w14:textId="77777777" w:rsidR="00C215BC" w:rsidRPr="002D4398" w:rsidRDefault="00C215BC" w:rsidP="00887DB7">
            <w:pPr>
              <w:pStyle w:val="TableParagraph"/>
              <w:jc w:val="center"/>
              <w:rPr>
                <w:rFonts w:eastAsia="Calibri" w:cs="Calibri"/>
                <w:sz w:val="20"/>
                <w:szCs w:val="20"/>
              </w:rPr>
            </w:pPr>
            <w:r w:rsidRPr="002D4398">
              <w:rPr>
                <w:sz w:val="20"/>
                <w:szCs w:val="20"/>
              </w:rPr>
              <w:t>0.99</w:t>
            </w:r>
          </w:p>
        </w:tc>
        <w:tc>
          <w:tcPr>
            <w:tcW w:w="1134" w:type="dxa"/>
            <w:shd w:val="clear" w:color="auto" w:fill="F2F2F2"/>
          </w:tcPr>
          <w:p w14:paraId="3B4697AF" w14:textId="77777777" w:rsidR="00C215BC" w:rsidRPr="002D4398" w:rsidRDefault="00C215BC" w:rsidP="00887DB7">
            <w:pPr>
              <w:pStyle w:val="TableParagraph"/>
              <w:jc w:val="center"/>
              <w:rPr>
                <w:rFonts w:eastAsia="Calibri" w:cs="Calibri"/>
                <w:sz w:val="20"/>
                <w:szCs w:val="20"/>
              </w:rPr>
            </w:pPr>
            <w:r w:rsidRPr="002D4398">
              <w:rPr>
                <w:sz w:val="20"/>
                <w:szCs w:val="20"/>
              </w:rPr>
              <w:t>1.99</w:t>
            </w:r>
          </w:p>
        </w:tc>
        <w:tc>
          <w:tcPr>
            <w:tcW w:w="2268" w:type="dxa"/>
            <w:shd w:val="clear" w:color="auto" w:fill="F2F2F2"/>
          </w:tcPr>
          <w:p w14:paraId="1E35E20D" w14:textId="77777777" w:rsidR="00C215BC" w:rsidRPr="002D4398" w:rsidRDefault="00C215BC" w:rsidP="00887DB7">
            <w:pPr>
              <w:pStyle w:val="TableParagraph"/>
              <w:jc w:val="center"/>
              <w:rPr>
                <w:rFonts w:eastAsia="Calibri" w:cs="Calibri"/>
                <w:sz w:val="20"/>
                <w:szCs w:val="20"/>
              </w:rPr>
            </w:pPr>
            <w:r w:rsidRPr="002D4398">
              <w:rPr>
                <w:sz w:val="20"/>
                <w:szCs w:val="20"/>
              </w:rPr>
              <w:t>LSQ-AR1</w:t>
            </w:r>
          </w:p>
        </w:tc>
      </w:tr>
      <w:tr w:rsidR="00C215BC" w:rsidRPr="002D4398" w14:paraId="60CB6391" w14:textId="77777777" w:rsidTr="00A94739">
        <w:trPr>
          <w:trHeight w:hRule="exact" w:val="268"/>
          <w:jc w:val="center"/>
        </w:trPr>
        <w:tc>
          <w:tcPr>
            <w:tcW w:w="1170" w:type="dxa"/>
          </w:tcPr>
          <w:p w14:paraId="3EE4C024" w14:textId="77777777" w:rsidR="00C215BC" w:rsidRPr="002D4398" w:rsidRDefault="00C215BC" w:rsidP="00887DB7">
            <w:pPr>
              <w:pStyle w:val="TableParagraph"/>
              <w:jc w:val="center"/>
              <w:rPr>
                <w:rFonts w:eastAsia="Calibri" w:cs="Calibri"/>
                <w:sz w:val="20"/>
                <w:szCs w:val="20"/>
              </w:rPr>
            </w:pPr>
            <w:r w:rsidRPr="002D4398">
              <w:rPr>
                <w:sz w:val="20"/>
                <w:szCs w:val="20"/>
              </w:rPr>
              <w:t>(2.75)</w:t>
            </w:r>
          </w:p>
        </w:tc>
        <w:tc>
          <w:tcPr>
            <w:tcW w:w="1276" w:type="dxa"/>
          </w:tcPr>
          <w:p w14:paraId="68AC0236" w14:textId="77777777" w:rsidR="00C215BC" w:rsidRPr="002D4398" w:rsidRDefault="00C215BC" w:rsidP="00887DB7">
            <w:pPr>
              <w:pStyle w:val="TableParagraph"/>
              <w:jc w:val="center"/>
              <w:rPr>
                <w:rFonts w:eastAsia="Calibri" w:cs="Calibri"/>
                <w:sz w:val="20"/>
                <w:szCs w:val="20"/>
              </w:rPr>
            </w:pPr>
            <w:r w:rsidRPr="002D4398">
              <w:rPr>
                <w:sz w:val="20"/>
                <w:szCs w:val="20"/>
              </w:rPr>
              <w:t>(8.48)</w:t>
            </w:r>
          </w:p>
        </w:tc>
        <w:tc>
          <w:tcPr>
            <w:tcW w:w="1276" w:type="dxa"/>
          </w:tcPr>
          <w:p w14:paraId="29DDC95B" w14:textId="77777777" w:rsidR="00C215BC" w:rsidRPr="002D4398" w:rsidRDefault="00C215BC" w:rsidP="00887DB7">
            <w:pPr>
              <w:pStyle w:val="TableParagraph"/>
              <w:jc w:val="center"/>
              <w:rPr>
                <w:rFonts w:eastAsia="Calibri" w:cs="Calibri"/>
                <w:sz w:val="20"/>
                <w:szCs w:val="20"/>
              </w:rPr>
            </w:pPr>
            <w:r w:rsidRPr="002D4398">
              <w:rPr>
                <w:sz w:val="20"/>
                <w:szCs w:val="20"/>
              </w:rPr>
              <w:t>(-1.35)</w:t>
            </w:r>
          </w:p>
        </w:tc>
        <w:tc>
          <w:tcPr>
            <w:tcW w:w="1275" w:type="dxa"/>
          </w:tcPr>
          <w:p w14:paraId="3C826593" w14:textId="77777777" w:rsidR="00C215BC" w:rsidRPr="002D4398" w:rsidRDefault="00C215BC" w:rsidP="00887DB7">
            <w:pPr>
              <w:pStyle w:val="TableParagraph"/>
              <w:jc w:val="center"/>
              <w:rPr>
                <w:rFonts w:eastAsia="Calibri" w:cs="Calibri"/>
                <w:sz w:val="20"/>
                <w:szCs w:val="20"/>
              </w:rPr>
            </w:pPr>
            <w:r w:rsidRPr="002D4398">
              <w:rPr>
                <w:sz w:val="20"/>
                <w:szCs w:val="20"/>
              </w:rPr>
              <w:t>(0.35)</w:t>
            </w:r>
          </w:p>
        </w:tc>
        <w:tc>
          <w:tcPr>
            <w:tcW w:w="1134" w:type="dxa"/>
          </w:tcPr>
          <w:p w14:paraId="717F971C" w14:textId="77777777" w:rsidR="00C215BC" w:rsidRPr="002D4398" w:rsidRDefault="00C215BC" w:rsidP="00887DB7">
            <w:pPr>
              <w:pStyle w:val="TableParagraph"/>
              <w:jc w:val="center"/>
              <w:rPr>
                <w:rFonts w:eastAsia="Calibri" w:cs="Calibri"/>
                <w:sz w:val="20"/>
                <w:szCs w:val="20"/>
              </w:rPr>
            </w:pPr>
            <w:r w:rsidRPr="002D4398">
              <w:rPr>
                <w:sz w:val="20"/>
                <w:szCs w:val="20"/>
              </w:rPr>
              <w:t>(5.04)</w:t>
            </w:r>
          </w:p>
        </w:tc>
        <w:tc>
          <w:tcPr>
            <w:tcW w:w="1134" w:type="dxa"/>
          </w:tcPr>
          <w:p w14:paraId="46D4FDCA" w14:textId="77777777" w:rsidR="00C215BC" w:rsidRPr="002D4398" w:rsidRDefault="00C215BC" w:rsidP="00887DB7">
            <w:pPr>
              <w:pStyle w:val="TableParagraph"/>
              <w:jc w:val="center"/>
              <w:rPr>
                <w:sz w:val="20"/>
                <w:szCs w:val="20"/>
              </w:rPr>
            </w:pPr>
            <w:r w:rsidRPr="002D4398">
              <w:rPr>
                <w:sz w:val="20"/>
                <w:szCs w:val="20"/>
              </w:rPr>
              <w:t>(-1.69)</w:t>
            </w:r>
          </w:p>
        </w:tc>
        <w:tc>
          <w:tcPr>
            <w:tcW w:w="1134" w:type="dxa"/>
          </w:tcPr>
          <w:p w14:paraId="74190885" w14:textId="77777777" w:rsidR="00C215BC" w:rsidRPr="002D4398" w:rsidRDefault="00C215BC" w:rsidP="00887DB7">
            <w:pPr>
              <w:pStyle w:val="TableParagraph"/>
              <w:jc w:val="center"/>
              <w:rPr>
                <w:sz w:val="20"/>
                <w:szCs w:val="20"/>
              </w:rPr>
            </w:pPr>
            <w:r w:rsidRPr="002D4398">
              <w:rPr>
                <w:sz w:val="20"/>
                <w:szCs w:val="20"/>
              </w:rPr>
              <w:t>(-2.71)</w:t>
            </w:r>
          </w:p>
        </w:tc>
        <w:tc>
          <w:tcPr>
            <w:tcW w:w="1134" w:type="dxa"/>
          </w:tcPr>
          <w:p w14:paraId="7F68C3DC" w14:textId="77777777" w:rsidR="00C215BC" w:rsidRPr="002D4398" w:rsidRDefault="00C215BC" w:rsidP="00887DB7">
            <w:pPr>
              <w:pStyle w:val="TableParagraph"/>
              <w:jc w:val="center"/>
              <w:rPr>
                <w:rFonts w:eastAsia="Calibri" w:cs="Calibri"/>
                <w:sz w:val="20"/>
                <w:szCs w:val="20"/>
              </w:rPr>
            </w:pPr>
            <w:r w:rsidRPr="002D4398">
              <w:rPr>
                <w:sz w:val="20"/>
                <w:szCs w:val="20"/>
              </w:rPr>
              <w:t>(1.26)</w:t>
            </w:r>
          </w:p>
        </w:tc>
        <w:tc>
          <w:tcPr>
            <w:tcW w:w="993" w:type="dxa"/>
          </w:tcPr>
          <w:p w14:paraId="712EBE56" w14:textId="77777777" w:rsidR="00C215BC" w:rsidRPr="002D4398" w:rsidRDefault="00C215BC" w:rsidP="00887DB7">
            <w:pPr>
              <w:jc w:val="center"/>
              <w:rPr>
                <w:sz w:val="20"/>
                <w:szCs w:val="20"/>
              </w:rPr>
            </w:pPr>
          </w:p>
        </w:tc>
        <w:tc>
          <w:tcPr>
            <w:tcW w:w="1134" w:type="dxa"/>
          </w:tcPr>
          <w:p w14:paraId="2948ED58" w14:textId="77777777" w:rsidR="00C215BC" w:rsidRPr="002D4398" w:rsidRDefault="00C215BC" w:rsidP="00887DB7">
            <w:pPr>
              <w:jc w:val="center"/>
              <w:rPr>
                <w:sz w:val="20"/>
                <w:szCs w:val="20"/>
              </w:rPr>
            </w:pPr>
          </w:p>
        </w:tc>
        <w:tc>
          <w:tcPr>
            <w:tcW w:w="2268" w:type="dxa"/>
          </w:tcPr>
          <w:p w14:paraId="6DC6056F" w14:textId="77777777" w:rsidR="00C215BC" w:rsidRPr="002D4398" w:rsidRDefault="00C215BC" w:rsidP="00887DB7">
            <w:pPr>
              <w:jc w:val="center"/>
              <w:rPr>
                <w:sz w:val="20"/>
                <w:szCs w:val="20"/>
              </w:rPr>
            </w:pPr>
          </w:p>
        </w:tc>
      </w:tr>
      <w:tr w:rsidR="002F1384" w:rsidRPr="002D4398" w14:paraId="6825A6E0" w14:textId="77777777" w:rsidTr="00A94739">
        <w:trPr>
          <w:trHeight w:hRule="exact" w:val="268"/>
          <w:jc w:val="center"/>
        </w:trPr>
        <w:tc>
          <w:tcPr>
            <w:tcW w:w="1170" w:type="dxa"/>
            <w:shd w:val="clear" w:color="auto" w:fill="F2F2F2"/>
          </w:tcPr>
          <w:p w14:paraId="75B78F68" w14:textId="0CC1057B" w:rsidR="002F1384" w:rsidRPr="002D4398" w:rsidRDefault="002F1384" w:rsidP="002F1384">
            <w:pPr>
              <w:pStyle w:val="TableParagraph"/>
              <w:jc w:val="center"/>
              <w:rPr>
                <w:rFonts w:eastAsia="Calibri" w:cs="Calibri"/>
                <w:sz w:val="20"/>
                <w:szCs w:val="20"/>
              </w:rPr>
            </w:pPr>
            <w:r w:rsidRPr="002D4398">
              <w:rPr>
                <w:sz w:val="20"/>
                <w:szCs w:val="20"/>
              </w:rPr>
              <w:t>163.38</w:t>
            </w:r>
          </w:p>
        </w:tc>
        <w:tc>
          <w:tcPr>
            <w:tcW w:w="1276" w:type="dxa"/>
            <w:shd w:val="clear" w:color="auto" w:fill="F2F2F2"/>
          </w:tcPr>
          <w:p w14:paraId="1E0591E7" w14:textId="5649FF6F" w:rsidR="002F1384" w:rsidRPr="002D4398" w:rsidRDefault="002F1384" w:rsidP="002F1384">
            <w:pPr>
              <w:pStyle w:val="TableParagraph"/>
              <w:jc w:val="center"/>
              <w:rPr>
                <w:rFonts w:eastAsia="Calibri" w:cs="Calibri"/>
                <w:sz w:val="20"/>
                <w:szCs w:val="20"/>
              </w:rPr>
            </w:pPr>
            <w:r w:rsidRPr="002D4398">
              <w:rPr>
                <w:sz w:val="20"/>
                <w:szCs w:val="20"/>
              </w:rPr>
              <w:t>4.071</w:t>
            </w:r>
          </w:p>
        </w:tc>
        <w:tc>
          <w:tcPr>
            <w:tcW w:w="1276" w:type="dxa"/>
            <w:shd w:val="clear" w:color="auto" w:fill="F2F2F2"/>
          </w:tcPr>
          <w:p w14:paraId="56BB0DFA" w14:textId="775102A4" w:rsidR="002F1384" w:rsidRPr="002D4398" w:rsidRDefault="002F1384" w:rsidP="002F1384">
            <w:pPr>
              <w:pStyle w:val="TableParagraph"/>
              <w:jc w:val="center"/>
              <w:rPr>
                <w:rFonts w:eastAsia="Calibri" w:cs="Calibri"/>
                <w:sz w:val="20"/>
                <w:szCs w:val="20"/>
              </w:rPr>
            </w:pPr>
            <w:r w:rsidRPr="002D4398">
              <w:rPr>
                <w:sz w:val="20"/>
                <w:szCs w:val="20"/>
              </w:rPr>
              <w:t>-0.054</w:t>
            </w:r>
          </w:p>
        </w:tc>
        <w:tc>
          <w:tcPr>
            <w:tcW w:w="1275" w:type="dxa"/>
            <w:shd w:val="clear" w:color="auto" w:fill="F2F2F2"/>
          </w:tcPr>
          <w:p w14:paraId="61141F76" w14:textId="0821F31D" w:rsidR="002F1384" w:rsidRPr="002D4398" w:rsidRDefault="002F1384" w:rsidP="002F1384">
            <w:pPr>
              <w:pStyle w:val="TableParagraph"/>
              <w:jc w:val="center"/>
              <w:rPr>
                <w:rFonts w:eastAsia="Calibri" w:cs="Calibri"/>
                <w:b/>
                <w:sz w:val="20"/>
                <w:szCs w:val="20"/>
              </w:rPr>
            </w:pPr>
            <w:r w:rsidRPr="002D4398">
              <w:rPr>
                <w:bCs/>
                <w:sz w:val="20"/>
                <w:szCs w:val="20"/>
              </w:rPr>
              <w:t>34.152</w:t>
            </w:r>
          </w:p>
        </w:tc>
        <w:tc>
          <w:tcPr>
            <w:tcW w:w="1134" w:type="dxa"/>
            <w:shd w:val="clear" w:color="auto" w:fill="F2F2F2"/>
          </w:tcPr>
          <w:p w14:paraId="5C07E46E" w14:textId="35FEC3D1" w:rsidR="002F1384" w:rsidRPr="002D4398" w:rsidRDefault="002F1384" w:rsidP="002F1384">
            <w:pPr>
              <w:pStyle w:val="TableParagraph"/>
              <w:jc w:val="center"/>
              <w:rPr>
                <w:rFonts w:eastAsia="Calibri" w:cs="Calibri"/>
                <w:sz w:val="20"/>
                <w:szCs w:val="20"/>
              </w:rPr>
            </w:pPr>
            <w:r w:rsidRPr="002D4398">
              <w:rPr>
                <w:sz w:val="20"/>
                <w:szCs w:val="20"/>
              </w:rPr>
              <w:t>5.762</w:t>
            </w:r>
          </w:p>
        </w:tc>
        <w:tc>
          <w:tcPr>
            <w:tcW w:w="1134" w:type="dxa"/>
            <w:shd w:val="clear" w:color="auto" w:fill="F2F2F2"/>
          </w:tcPr>
          <w:p w14:paraId="35D345C0" w14:textId="0067ECF3" w:rsidR="002F1384" w:rsidRPr="002D4398" w:rsidRDefault="002F1384" w:rsidP="002F1384">
            <w:pPr>
              <w:pStyle w:val="TableParagraph"/>
              <w:jc w:val="center"/>
              <w:rPr>
                <w:sz w:val="20"/>
                <w:szCs w:val="20"/>
              </w:rPr>
            </w:pPr>
            <w:r w:rsidRPr="002D4398">
              <w:rPr>
                <w:sz w:val="20"/>
                <w:szCs w:val="20"/>
              </w:rPr>
              <w:t>--3.339</w:t>
            </w:r>
          </w:p>
        </w:tc>
        <w:tc>
          <w:tcPr>
            <w:tcW w:w="1134" w:type="dxa"/>
            <w:shd w:val="clear" w:color="auto" w:fill="F2F2F2"/>
          </w:tcPr>
          <w:p w14:paraId="05279EE9" w14:textId="6374662F" w:rsidR="002F1384" w:rsidRPr="002D4398" w:rsidRDefault="002F1384" w:rsidP="002F1384">
            <w:pPr>
              <w:pStyle w:val="TableParagraph"/>
              <w:jc w:val="center"/>
              <w:rPr>
                <w:sz w:val="20"/>
                <w:szCs w:val="20"/>
              </w:rPr>
            </w:pPr>
            <w:r w:rsidRPr="002D4398">
              <w:rPr>
                <w:sz w:val="20"/>
                <w:szCs w:val="20"/>
              </w:rPr>
              <w:t>-58.171</w:t>
            </w:r>
          </w:p>
        </w:tc>
        <w:tc>
          <w:tcPr>
            <w:tcW w:w="1134" w:type="dxa"/>
            <w:shd w:val="clear" w:color="auto" w:fill="F2F2F2"/>
          </w:tcPr>
          <w:p w14:paraId="5C08010C" w14:textId="07B12D21" w:rsidR="002F1384" w:rsidRPr="002D4398" w:rsidRDefault="002F1384" w:rsidP="002F1384">
            <w:pPr>
              <w:pStyle w:val="TableParagraph"/>
              <w:jc w:val="center"/>
              <w:rPr>
                <w:rFonts w:eastAsia="Calibri" w:cs="Calibri"/>
                <w:sz w:val="20"/>
                <w:szCs w:val="20"/>
              </w:rPr>
            </w:pPr>
            <w:r w:rsidRPr="002D4398">
              <w:rPr>
                <w:sz w:val="20"/>
                <w:szCs w:val="20"/>
              </w:rPr>
              <w:t>0.323</w:t>
            </w:r>
          </w:p>
        </w:tc>
        <w:tc>
          <w:tcPr>
            <w:tcW w:w="993" w:type="dxa"/>
            <w:shd w:val="clear" w:color="auto" w:fill="F2F2F2"/>
          </w:tcPr>
          <w:p w14:paraId="3A1D103D" w14:textId="79133BA4" w:rsidR="002F1384" w:rsidRPr="002D4398" w:rsidRDefault="002F1384" w:rsidP="002F1384">
            <w:pPr>
              <w:pStyle w:val="TableParagraph"/>
              <w:jc w:val="center"/>
              <w:rPr>
                <w:rFonts w:eastAsia="Calibri" w:cs="Calibri"/>
                <w:sz w:val="20"/>
                <w:szCs w:val="20"/>
              </w:rPr>
            </w:pPr>
            <w:r w:rsidRPr="002D4398">
              <w:rPr>
                <w:sz w:val="20"/>
                <w:szCs w:val="20"/>
              </w:rPr>
              <w:t>0.99</w:t>
            </w:r>
          </w:p>
        </w:tc>
        <w:tc>
          <w:tcPr>
            <w:tcW w:w="1134" w:type="dxa"/>
            <w:shd w:val="clear" w:color="auto" w:fill="F2F2F2"/>
          </w:tcPr>
          <w:p w14:paraId="0804B6B3" w14:textId="54A474E2" w:rsidR="002F1384" w:rsidRPr="002D4398" w:rsidRDefault="002F1384" w:rsidP="002F1384">
            <w:pPr>
              <w:pStyle w:val="TableParagraph"/>
              <w:jc w:val="center"/>
              <w:rPr>
                <w:rFonts w:eastAsia="Calibri" w:cs="Calibri"/>
                <w:sz w:val="20"/>
                <w:szCs w:val="20"/>
              </w:rPr>
            </w:pPr>
            <w:r w:rsidRPr="002D4398">
              <w:rPr>
                <w:sz w:val="20"/>
                <w:szCs w:val="20"/>
              </w:rPr>
              <w:t>1.87</w:t>
            </w:r>
          </w:p>
        </w:tc>
        <w:tc>
          <w:tcPr>
            <w:tcW w:w="2268" w:type="dxa"/>
            <w:shd w:val="clear" w:color="auto" w:fill="F2F2F2"/>
          </w:tcPr>
          <w:p w14:paraId="37E1AFE5" w14:textId="56B46B99" w:rsidR="002F1384" w:rsidRPr="002D4398" w:rsidRDefault="002F1384" w:rsidP="002F1384">
            <w:pPr>
              <w:pStyle w:val="TableParagraph"/>
              <w:jc w:val="center"/>
              <w:rPr>
                <w:rFonts w:eastAsia="Calibri" w:cs="Calibri"/>
                <w:sz w:val="20"/>
                <w:szCs w:val="20"/>
              </w:rPr>
            </w:pPr>
            <w:r w:rsidRPr="002D4398">
              <w:rPr>
                <w:sz w:val="20"/>
                <w:szCs w:val="20"/>
              </w:rPr>
              <w:t>SUR-AR1</w:t>
            </w:r>
          </w:p>
        </w:tc>
      </w:tr>
      <w:tr w:rsidR="002F1384" w:rsidRPr="002D4398" w14:paraId="62E41A89" w14:textId="77777777" w:rsidTr="00A94739">
        <w:trPr>
          <w:trHeight w:hRule="exact" w:val="268"/>
          <w:jc w:val="center"/>
        </w:trPr>
        <w:tc>
          <w:tcPr>
            <w:tcW w:w="1170" w:type="dxa"/>
          </w:tcPr>
          <w:p w14:paraId="077FD28B" w14:textId="6549EC81" w:rsidR="002F1384" w:rsidRPr="002D4398" w:rsidRDefault="002F1384" w:rsidP="002F1384">
            <w:pPr>
              <w:pStyle w:val="TableParagraph"/>
              <w:jc w:val="center"/>
              <w:rPr>
                <w:rFonts w:eastAsia="Calibri" w:cs="Calibri"/>
                <w:sz w:val="20"/>
                <w:szCs w:val="20"/>
              </w:rPr>
            </w:pPr>
            <w:r w:rsidRPr="002D4398">
              <w:rPr>
                <w:sz w:val="20"/>
                <w:szCs w:val="20"/>
              </w:rPr>
              <w:t>(3.45)</w:t>
            </w:r>
          </w:p>
        </w:tc>
        <w:tc>
          <w:tcPr>
            <w:tcW w:w="1276" w:type="dxa"/>
          </w:tcPr>
          <w:p w14:paraId="4DBCD8F1" w14:textId="6D5431A5" w:rsidR="002F1384" w:rsidRPr="002D4398" w:rsidRDefault="002F1384" w:rsidP="002F1384">
            <w:pPr>
              <w:pStyle w:val="TableParagraph"/>
              <w:jc w:val="center"/>
              <w:rPr>
                <w:rFonts w:eastAsia="Calibri" w:cs="Calibri"/>
                <w:sz w:val="20"/>
                <w:szCs w:val="20"/>
              </w:rPr>
            </w:pPr>
            <w:r w:rsidRPr="002D4398">
              <w:rPr>
                <w:sz w:val="20"/>
                <w:szCs w:val="20"/>
              </w:rPr>
              <w:t>(7.01)</w:t>
            </w:r>
          </w:p>
        </w:tc>
        <w:tc>
          <w:tcPr>
            <w:tcW w:w="1276" w:type="dxa"/>
          </w:tcPr>
          <w:p w14:paraId="60DB631A" w14:textId="1B26DC2E" w:rsidR="002F1384" w:rsidRPr="002D4398" w:rsidRDefault="002F1384" w:rsidP="002F1384">
            <w:pPr>
              <w:pStyle w:val="TableParagraph"/>
              <w:jc w:val="center"/>
              <w:rPr>
                <w:rFonts w:eastAsia="Calibri" w:cs="Calibri"/>
                <w:sz w:val="20"/>
                <w:szCs w:val="20"/>
              </w:rPr>
            </w:pPr>
            <w:r w:rsidRPr="002D4398">
              <w:rPr>
                <w:sz w:val="20"/>
                <w:szCs w:val="20"/>
              </w:rPr>
              <w:t>(-0.25)</w:t>
            </w:r>
          </w:p>
        </w:tc>
        <w:tc>
          <w:tcPr>
            <w:tcW w:w="1275" w:type="dxa"/>
          </w:tcPr>
          <w:p w14:paraId="5B75B635" w14:textId="01B93FB5" w:rsidR="002F1384" w:rsidRPr="002D4398" w:rsidRDefault="002F1384" w:rsidP="002F1384">
            <w:pPr>
              <w:pStyle w:val="TableParagraph"/>
              <w:jc w:val="center"/>
              <w:rPr>
                <w:rFonts w:eastAsia="Calibri" w:cs="Calibri"/>
                <w:b/>
                <w:sz w:val="20"/>
                <w:szCs w:val="20"/>
              </w:rPr>
            </w:pPr>
            <w:r w:rsidRPr="002D4398">
              <w:rPr>
                <w:bCs/>
                <w:sz w:val="20"/>
                <w:szCs w:val="20"/>
              </w:rPr>
              <w:t>(1.59)</w:t>
            </w:r>
          </w:p>
        </w:tc>
        <w:tc>
          <w:tcPr>
            <w:tcW w:w="1134" w:type="dxa"/>
          </w:tcPr>
          <w:p w14:paraId="4DDC0052" w14:textId="7E37053D" w:rsidR="002F1384" w:rsidRPr="002D4398" w:rsidRDefault="002F1384" w:rsidP="002F1384">
            <w:pPr>
              <w:pStyle w:val="TableParagraph"/>
              <w:jc w:val="center"/>
              <w:rPr>
                <w:rFonts w:eastAsia="Calibri" w:cs="Calibri"/>
                <w:sz w:val="20"/>
                <w:szCs w:val="20"/>
              </w:rPr>
            </w:pPr>
            <w:r w:rsidRPr="002D4398">
              <w:rPr>
                <w:sz w:val="20"/>
                <w:szCs w:val="20"/>
              </w:rPr>
              <w:t>(3.25)</w:t>
            </w:r>
          </w:p>
        </w:tc>
        <w:tc>
          <w:tcPr>
            <w:tcW w:w="1134" w:type="dxa"/>
          </w:tcPr>
          <w:p w14:paraId="0C05274E" w14:textId="2C2E5BE2" w:rsidR="002F1384" w:rsidRPr="002D4398" w:rsidRDefault="002F1384" w:rsidP="002F1384">
            <w:pPr>
              <w:pStyle w:val="TableParagraph"/>
              <w:jc w:val="center"/>
              <w:rPr>
                <w:sz w:val="20"/>
                <w:szCs w:val="20"/>
              </w:rPr>
            </w:pPr>
            <w:r w:rsidRPr="002D4398">
              <w:rPr>
                <w:sz w:val="20"/>
                <w:szCs w:val="20"/>
              </w:rPr>
              <w:t>(-0.04)</w:t>
            </w:r>
          </w:p>
        </w:tc>
        <w:tc>
          <w:tcPr>
            <w:tcW w:w="1134" w:type="dxa"/>
          </w:tcPr>
          <w:p w14:paraId="3CC182D3" w14:textId="3472B091" w:rsidR="002F1384" w:rsidRPr="002D4398" w:rsidRDefault="002F1384" w:rsidP="002F1384">
            <w:pPr>
              <w:pStyle w:val="TableParagraph"/>
              <w:jc w:val="center"/>
              <w:rPr>
                <w:sz w:val="20"/>
                <w:szCs w:val="20"/>
              </w:rPr>
            </w:pPr>
            <w:r w:rsidRPr="002D4398">
              <w:rPr>
                <w:sz w:val="20"/>
                <w:szCs w:val="20"/>
              </w:rPr>
              <w:t>(-1.22)</w:t>
            </w:r>
          </w:p>
        </w:tc>
        <w:tc>
          <w:tcPr>
            <w:tcW w:w="1134" w:type="dxa"/>
          </w:tcPr>
          <w:p w14:paraId="66C4A7ED" w14:textId="408B05CF" w:rsidR="002F1384" w:rsidRPr="002D4398" w:rsidRDefault="002F1384" w:rsidP="002F1384">
            <w:pPr>
              <w:pStyle w:val="TableParagraph"/>
              <w:jc w:val="center"/>
              <w:rPr>
                <w:rFonts w:eastAsia="Calibri" w:cs="Calibri"/>
                <w:sz w:val="20"/>
                <w:szCs w:val="20"/>
              </w:rPr>
            </w:pPr>
            <w:r w:rsidRPr="002D4398">
              <w:rPr>
                <w:sz w:val="20"/>
                <w:szCs w:val="20"/>
              </w:rPr>
              <w:t>(2.33)</w:t>
            </w:r>
          </w:p>
        </w:tc>
        <w:tc>
          <w:tcPr>
            <w:tcW w:w="993" w:type="dxa"/>
          </w:tcPr>
          <w:p w14:paraId="216B0FAF" w14:textId="77777777" w:rsidR="002F1384" w:rsidRPr="002D4398" w:rsidRDefault="002F1384" w:rsidP="002F1384">
            <w:pPr>
              <w:jc w:val="center"/>
              <w:rPr>
                <w:sz w:val="20"/>
                <w:szCs w:val="20"/>
              </w:rPr>
            </w:pPr>
          </w:p>
        </w:tc>
        <w:tc>
          <w:tcPr>
            <w:tcW w:w="1134" w:type="dxa"/>
          </w:tcPr>
          <w:p w14:paraId="23456539" w14:textId="77777777" w:rsidR="002F1384" w:rsidRPr="002D4398" w:rsidRDefault="002F1384" w:rsidP="002F1384">
            <w:pPr>
              <w:jc w:val="center"/>
              <w:rPr>
                <w:sz w:val="20"/>
                <w:szCs w:val="20"/>
              </w:rPr>
            </w:pPr>
          </w:p>
        </w:tc>
        <w:tc>
          <w:tcPr>
            <w:tcW w:w="2268" w:type="dxa"/>
          </w:tcPr>
          <w:p w14:paraId="3848FB79" w14:textId="77777777" w:rsidR="002F1384" w:rsidRPr="002D4398" w:rsidRDefault="002F1384" w:rsidP="002F1384">
            <w:pPr>
              <w:jc w:val="center"/>
              <w:rPr>
                <w:sz w:val="20"/>
                <w:szCs w:val="20"/>
              </w:rPr>
            </w:pPr>
          </w:p>
        </w:tc>
      </w:tr>
    </w:tbl>
    <w:p w14:paraId="63DAE1D8" w14:textId="77777777" w:rsidR="00C215BC" w:rsidRPr="002D4398" w:rsidRDefault="00C215BC" w:rsidP="00C215BC">
      <w:pPr>
        <w:jc w:val="both"/>
        <w:rPr>
          <w:rFonts w:eastAsia="Calibri" w:cs="Calibri"/>
        </w:rPr>
      </w:pPr>
    </w:p>
    <w:p w14:paraId="5F1700C5" w14:textId="7C9F7059" w:rsidR="00C215BC" w:rsidRPr="002D4398" w:rsidRDefault="00C215BC" w:rsidP="00C215BC">
      <w:pPr>
        <w:pStyle w:val="BodyText"/>
        <w:ind w:left="0"/>
        <w:jc w:val="center"/>
        <w:rPr>
          <w:rFonts w:asciiTheme="minorHAnsi" w:hAnsiTheme="minorHAnsi" w:cs="Calibri"/>
          <w:b/>
          <w:sz w:val="22"/>
          <w:szCs w:val="22"/>
        </w:rPr>
      </w:pPr>
      <w:r w:rsidRPr="002D4398">
        <w:rPr>
          <w:rFonts w:asciiTheme="minorHAnsi" w:hAnsiTheme="minorHAnsi" w:cs="Calibri"/>
          <w:b/>
          <w:sz w:val="22"/>
          <w:szCs w:val="22"/>
        </w:rPr>
        <w:t xml:space="preserve">Table 6. Preferred unrestricted regression estimates for real </w:t>
      </w:r>
      <w:r w:rsidR="00FF07B1" w:rsidRPr="002D4398">
        <w:rPr>
          <w:rFonts w:asciiTheme="minorHAnsi" w:hAnsiTheme="minorHAnsi" w:cs="Calibri"/>
          <w:b/>
          <w:sz w:val="22"/>
          <w:szCs w:val="22"/>
        </w:rPr>
        <w:t xml:space="preserve">domestic </w:t>
      </w:r>
      <w:r w:rsidRPr="002D4398">
        <w:rPr>
          <w:rFonts w:asciiTheme="minorHAnsi" w:hAnsiTheme="minorHAnsi" w:cs="Calibri"/>
          <w:b/>
          <w:sz w:val="22"/>
          <w:szCs w:val="22"/>
        </w:rPr>
        <w:t>lamb margin equations 1976 –</w:t>
      </w:r>
      <w:r w:rsidRPr="002D4398">
        <w:rPr>
          <w:rFonts w:asciiTheme="minorHAnsi" w:hAnsiTheme="minorHAnsi" w:cs="Calibri"/>
          <w:b/>
          <w:spacing w:val="-1"/>
          <w:sz w:val="22"/>
          <w:szCs w:val="22"/>
        </w:rPr>
        <w:t xml:space="preserve"> </w:t>
      </w:r>
      <w:r w:rsidRPr="002D4398">
        <w:rPr>
          <w:rFonts w:asciiTheme="minorHAnsi" w:hAnsiTheme="minorHAnsi" w:cs="Calibri"/>
          <w:b/>
          <w:sz w:val="22"/>
          <w:szCs w:val="22"/>
        </w:rPr>
        <w:t xml:space="preserve">2021 </w:t>
      </w:r>
      <w:r w:rsidRPr="002D4398">
        <w:rPr>
          <w:rFonts w:cs="Calibri"/>
          <w:b/>
          <w:sz w:val="22"/>
          <w:szCs w:val="22"/>
        </w:rPr>
        <w:t>(</w:t>
      </w:r>
      <w:r w:rsidRPr="002D4398">
        <w:rPr>
          <w:b/>
          <w:w w:val="95"/>
          <w:sz w:val="22"/>
          <w:szCs w:val="22"/>
        </w:rPr>
        <w:t>t</w:t>
      </w:r>
      <w:r w:rsidRPr="002D4398">
        <w:rPr>
          <w:b/>
          <w:sz w:val="22"/>
          <w:szCs w:val="22"/>
        </w:rPr>
        <w:t>-statistics</w:t>
      </w:r>
      <w:r w:rsidRPr="002D4398">
        <w:rPr>
          <w:b/>
          <w:spacing w:val="-4"/>
          <w:sz w:val="22"/>
          <w:szCs w:val="22"/>
        </w:rPr>
        <w:t xml:space="preserve"> </w:t>
      </w:r>
      <w:r w:rsidRPr="002D4398">
        <w:rPr>
          <w:b/>
          <w:sz w:val="22"/>
          <w:szCs w:val="22"/>
        </w:rPr>
        <w:t>are</w:t>
      </w:r>
      <w:r w:rsidRPr="002D4398">
        <w:rPr>
          <w:b/>
          <w:spacing w:val="-4"/>
          <w:sz w:val="22"/>
          <w:szCs w:val="22"/>
        </w:rPr>
        <w:t xml:space="preserve"> </w:t>
      </w:r>
      <w:r w:rsidRPr="002D4398">
        <w:rPr>
          <w:b/>
          <w:sz w:val="22"/>
          <w:szCs w:val="22"/>
        </w:rPr>
        <w:t>in</w:t>
      </w:r>
      <w:r w:rsidRPr="002D4398">
        <w:rPr>
          <w:b/>
          <w:spacing w:val="-4"/>
          <w:sz w:val="22"/>
          <w:szCs w:val="22"/>
        </w:rPr>
        <w:t xml:space="preserve"> </w:t>
      </w:r>
      <w:r w:rsidRPr="002D4398">
        <w:rPr>
          <w:b/>
          <w:sz w:val="22"/>
          <w:szCs w:val="22"/>
        </w:rPr>
        <w:t>brackets)</w:t>
      </w:r>
    </w:p>
    <w:p w14:paraId="10857596" w14:textId="77777777" w:rsidR="00C215BC" w:rsidRPr="002D4398" w:rsidRDefault="00C215BC" w:rsidP="00C215BC">
      <w:pPr>
        <w:pStyle w:val="BodyText"/>
        <w:ind w:left="0"/>
        <w:jc w:val="center"/>
        <w:rPr>
          <w:rFonts w:asciiTheme="minorHAnsi" w:hAnsiTheme="minorHAnsi" w:cs="Calibri"/>
          <w:b/>
          <w:sz w:val="22"/>
          <w:szCs w:val="22"/>
        </w:rPr>
      </w:pPr>
    </w:p>
    <w:tbl>
      <w:tblPr>
        <w:tblW w:w="13786" w:type="dxa"/>
        <w:jc w:val="center"/>
        <w:tblBorders>
          <w:top w:val="single" w:sz="4" w:space="0" w:color="BFBFBF"/>
          <w:bottom w:val="single" w:sz="4" w:space="0" w:color="BFBFBF"/>
          <w:insideH w:val="single" w:sz="4" w:space="0" w:color="BFBFBF"/>
        </w:tblBorders>
        <w:tblLayout w:type="fixed"/>
        <w:tblCellMar>
          <w:left w:w="0" w:type="dxa"/>
          <w:right w:w="0" w:type="dxa"/>
        </w:tblCellMar>
        <w:tblLook w:val="01E0" w:firstRow="1" w:lastRow="1" w:firstColumn="1" w:lastColumn="1" w:noHBand="0" w:noVBand="0"/>
      </w:tblPr>
      <w:tblGrid>
        <w:gridCol w:w="1377"/>
        <w:gridCol w:w="1378"/>
        <w:gridCol w:w="1378"/>
        <w:gridCol w:w="1379"/>
        <w:gridCol w:w="1379"/>
        <w:gridCol w:w="1379"/>
        <w:gridCol w:w="1379"/>
        <w:gridCol w:w="1379"/>
        <w:gridCol w:w="1379"/>
        <w:gridCol w:w="1379"/>
      </w:tblGrid>
      <w:tr w:rsidR="00C215BC" w:rsidRPr="002D4398" w14:paraId="76089504" w14:textId="77777777" w:rsidTr="00887DB7">
        <w:trPr>
          <w:trHeight w:hRule="exact" w:val="401"/>
          <w:jc w:val="center"/>
        </w:trPr>
        <w:tc>
          <w:tcPr>
            <w:tcW w:w="1377" w:type="dxa"/>
          </w:tcPr>
          <w:p w14:paraId="6AFCC42C" w14:textId="77777777" w:rsidR="00C215BC" w:rsidRPr="002D4398" w:rsidRDefault="00C215BC" w:rsidP="00887DB7">
            <w:pPr>
              <w:pStyle w:val="TableParagraph"/>
              <w:jc w:val="center"/>
              <w:rPr>
                <w:rFonts w:eastAsia="Calibri" w:cs="Calibri"/>
                <w:sz w:val="20"/>
                <w:szCs w:val="20"/>
              </w:rPr>
            </w:pPr>
            <w:r w:rsidRPr="002D4398">
              <w:rPr>
                <w:b/>
                <w:sz w:val="20"/>
                <w:szCs w:val="20"/>
              </w:rPr>
              <w:t>Constant</w:t>
            </w:r>
          </w:p>
        </w:tc>
        <w:tc>
          <w:tcPr>
            <w:tcW w:w="1378" w:type="dxa"/>
          </w:tcPr>
          <w:p w14:paraId="7DFEAD2A" w14:textId="77777777" w:rsidR="00C215BC" w:rsidRPr="002D4398" w:rsidRDefault="00C215BC" w:rsidP="00887DB7">
            <w:pPr>
              <w:pStyle w:val="TableParagraph"/>
              <w:jc w:val="center"/>
              <w:rPr>
                <w:rFonts w:eastAsia="Calibri" w:cs="Calibri"/>
                <w:sz w:val="20"/>
                <w:szCs w:val="20"/>
              </w:rPr>
            </w:pPr>
            <w:r w:rsidRPr="002D4398">
              <w:rPr>
                <w:b/>
                <w:sz w:val="20"/>
                <w:szCs w:val="20"/>
              </w:rPr>
              <w:t>COSTIND</w:t>
            </w:r>
          </w:p>
        </w:tc>
        <w:tc>
          <w:tcPr>
            <w:tcW w:w="1378" w:type="dxa"/>
          </w:tcPr>
          <w:p w14:paraId="2E4614BA" w14:textId="77777777" w:rsidR="00C215BC" w:rsidRPr="002D4398" w:rsidRDefault="00C215BC" w:rsidP="00887DB7">
            <w:pPr>
              <w:pStyle w:val="TableParagraph"/>
              <w:jc w:val="center"/>
              <w:rPr>
                <w:rFonts w:eastAsia="Calibri" w:cs="Calibri"/>
                <w:sz w:val="20"/>
                <w:szCs w:val="20"/>
              </w:rPr>
            </w:pPr>
            <w:r w:rsidRPr="002D4398">
              <w:rPr>
                <w:b/>
                <w:sz w:val="20"/>
                <w:szCs w:val="20"/>
              </w:rPr>
              <w:t>DMLB</w:t>
            </w:r>
          </w:p>
        </w:tc>
        <w:tc>
          <w:tcPr>
            <w:tcW w:w="1379" w:type="dxa"/>
          </w:tcPr>
          <w:p w14:paraId="5195EFC6" w14:textId="77777777" w:rsidR="00C215BC" w:rsidRPr="002D4398" w:rsidRDefault="00C215BC" w:rsidP="00887DB7">
            <w:pPr>
              <w:pStyle w:val="TableParagraph"/>
              <w:jc w:val="center"/>
              <w:rPr>
                <w:rFonts w:eastAsia="Calibri" w:cs="Calibri"/>
                <w:sz w:val="20"/>
                <w:szCs w:val="20"/>
              </w:rPr>
            </w:pPr>
            <w:proofErr w:type="spellStart"/>
            <w:r w:rsidRPr="002D4398">
              <w:rPr>
                <w:b/>
                <w:sz w:val="20"/>
                <w:szCs w:val="20"/>
              </w:rPr>
              <w:t>DMLBi</w:t>
            </w:r>
            <w:proofErr w:type="spellEnd"/>
          </w:p>
        </w:tc>
        <w:tc>
          <w:tcPr>
            <w:tcW w:w="1379" w:type="dxa"/>
          </w:tcPr>
          <w:p w14:paraId="001C4E5C" w14:textId="77777777" w:rsidR="00C215BC" w:rsidRPr="002D4398" w:rsidRDefault="00C215BC" w:rsidP="00887DB7">
            <w:pPr>
              <w:pStyle w:val="TableParagraph"/>
              <w:jc w:val="center"/>
              <w:rPr>
                <w:rFonts w:eastAsia="Calibri" w:cs="Calibri"/>
                <w:sz w:val="20"/>
                <w:szCs w:val="20"/>
              </w:rPr>
            </w:pPr>
            <w:r w:rsidRPr="002D4398">
              <w:rPr>
                <w:b/>
                <w:sz w:val="20"/>
                <w:szCs w:val="20"/>
              </w:rPr>
              <w:t>TIME</w:t>
            </w:r>
          </w:p>
        </w:tc>
        <w:tc>
          <w:tcPr>
            <w:tcW w:w="1379" w:type="dxa"/>
          </w:tcPr>
          <w:p w14:paraId="58F6C137" w14:textId="77777777" w:rsidR="00C215BC" w:rsidRPr="002D4398" w:rsidRDefault="00C215BC" w:rsidP="00887DB7">
            <w:pPr>
              <w:pStyle w:val="TableParagraph"/>
              <w:jc w:val="center"/>
              <w:rPr>
                <w:b/>
                <w:sz w:val="20"/>
                <w:szCs w:val="20"/>
              </w:rPr>
            </w:pPr>
            <w:r w:rsidRPr="002D4398">
              <w:rPr>
                <w:b/>
                <w:sz w:val="20"/>
                <w:szCs w:val="20"/>
              </w:rPr>
              <w:t>DUM11</w:t>
            </w:r>
          </w:p>
        </w:tc>
        <w:tc>
          <w:tcPr>
            <w:tcW w:w="1379" w:type="dxa"/>
          </w:tcPr>
          <w:p w14:paraId="0D5F31C1" w14:textId="77777777" w:rsidR="00C215BC" w:rsidRPr="002D4398" w:rsidRDefault="00C215BC" w:rsidP="00887DB7">
            <w:pPr>
              <w:pStyle w:val="TableParagraph"/>
              <w:jc w:val="center"/>
              <w:rPr>
                <w:rFonts w:eastAsia="Calibri" w:cs="Calibri"/>
                <w:sz w:val="20"/>
                <w:szCs w:val="20"/>
              </w:rPr>
            </w:pPr>
            <w:r w:rsidRPr="002D4398">
              <w:rPr>
                <w:b/>
                <w:sz w:val="20"/>
                <w:szCs w:val="20"/>
              </w:rPr>
              <w:t>RHO</w:t>
            </w:r>
          </w:p>
        </w:tc>
        <w:tc>
          <w:tcPr>
            <w:tcW w:w="1379" w:type="dxa"/>
          </w:tcPr>
          <w:p w14:paraId="180461A7" w14:textId="77777777" w:rsidR="00C215BC" w:rsidRPr="002D4398" w:rsidRDefault="00C215BC" w:rsidP="00887DB7">
            <w:pPr>
              <w:pStyle w:val="TableParagraph"/>
              <w:jc w:val="center"/>
              <w:rPr>
                <w:rFonts w:eastAsia="Calibri" w:cs="Calibri"/>
                <w:sz w:val="20"/>
                <w:szCs w:val="20"/>
              </w:rPr>
            </w:pPr>
            <w:r w:rsidRPr="002D4398">
              <w:rPr>
                <w:b/>
                <w:sz w:val="20"/>
                <w:szCs w:val="20"/>
              </w:rPr>
              <w:t>R</w:t>
            </w:r>
            <w:r w:rsidRPr="002D4398">
              <w:rPr>
                <w:b/>
                <w:sz w:val="20"/>
                <w:szCs w:val="20"/>
                <w:vertAlign w:val="superscript"/>
              </w:rPr>
              <w:t>2</w:t>
            </w:r>
          </w:p>
        </w:tc>
        <w:tc>
          <w:tcPr>
            <w:tcW w:w="1379" w:type="dxa"/>
          </w:tcPr>
          <w:p w14:paraId="7B230168" w14:textId="77777777" w:rsidR="00C215BC" w:rsidRPr="002D4398" w:rsidRDefault="00C215BC" w:rsidP="00887DB7">
            <w:pPr>
              <w:pStyle w:val="TableParagraph"/>
              <w:jc w:val="center"/>
              <w:rPr>
                <w:rFonts w:eastAsia="Calibri" w:cs="Calibri"/>
                <w:sz w:val="20"/>
                <w:szCs w:val="20"/>
              </w:rPr>
            </w:pPr>
            <w:r w:rsidRPr="002D4398">
              <w:rPr>
                <w:b/>
                <w:sz w:val="20"/>
                <w:szCs w:val="20"/>
              </w:rPr>
              <w:t>DW</w:t>
            </w:r>
          </w:p>
        </w:tc>
        <w:tc>
          <w:tcPr>
            <w:tcW w:w="1379" w:type="dxa"/>
          </w:tcPr>
          <w:p w14:paraId="08F9E666" w14:textId="77777777" w:rsidR="00C215BC" w:rsidRPr="002D4398" w:rsidRDefault="00C215BC" w:rsidP="00887DB7">
            <w:pPr>
              <w:pStyle w:val="TableParagraph"/>
              <w:jc w:val="center"/>
              <w:rPr>
                <w:rFonts w:eastAsia="Calibri" w:cs="Calibri"/>
                <w:sz w:val="20"/>
                <w:szCs w:val="20"/>
              </w:rPr>
            </w:pPr>
            <w:r w:rsidRPr="002D4398">
              <w:rPr>
                <w:b/>
                <w:sz w:val="20"/>
                <w:szCs w:val="20"/>
              </w:rPr>
              <w:t>Method</w:t>
            </w:r>
          </w:p>
        </w:tc>
      </w:tr>
      <w:tr w:rsidR="00C215BC" w:rsidRPr="002D4398" w14:paraId="3BC98260" w14:textId="77777777" w:rsidTr="00887DB7">
        <w:trPr>
          <w:trHeight w:hRule="exact" w:val="277"/>
          <w:jc w:val="center"/>
        </w:trPr>
        <w:tc>
          <w:tcPr>
            <w:tcW w:w="1377" w:type="dxa"/>
            <w:shd w:val="clear" w:color="auto" w:fill="F2F2F2"/>
          </w:tcPr>
          <w:p w14:paraId="4249C2F9" w14:textId="77777777" w:rsidR="00C215BC" w:rsidRPr="002D4398" w:rsidRDefault="00C215BC" w:rsidP="00887DB7">
            <w:pPr>
              <w:pStyle w:val="TableParagraph"/>
              <w:jc w:val="center"/>
              <w:rPr>
                <w:rFonts w:eastAsia="Calibri" w:cs="Calibri"/>
                <w:sz w:val="20"/>
                <w:szCs w:val="20"/>
              </w:rPr>
            </w:pPr>
            <w:r w:rsidRPr="002D4398">
              <w:rPr>
                <w:sz w:val="20"/>
                <w:szCs w:val="20"/>
              </w:rPr>
              <w:t>88.973</w:t>
            </w:r>
          </w:p>
        </w:tc>
        <w:tc>
          <w:tcPr>
            <w:tcW w:w="1378" w:type="dxa"/>
            <w:shd w:val="clear" w:color="auto" w:fill="F2F2F2"/>
          </w:tcPr>
          <w:p w14:paraId="22C9A280" w14:textId="77777777" w:rsidR="00C215BC" w:rsidRPr="002D4398" w:rsidRDefault="00C215BC" w:rsidP="00887DB7">
            <w:pPr>
              <w:pStyle w:val="TableParagraph"/>
              <w:jc w:val="center"/>
              <w:rPr>
                <w:rFonts w:eastAsia="Calibri" w:cs="Calibri"/>
                <w:sz w:val="20"/>
                <w:szCs w:val="20"/>
              </w:rPr>
            </w:pPr>
            <w:r w:rsidRPr="002D4398">
              <w:rPr>
                <w:sz w:val="20"/>
                <w:szCs w:val="20"/>
              </w:rPr>
              <w:t>2.905</w:t>
            </w:r>
          </w:p>
        </w:tc>
        <w:tc>
          <w:tcPr>
            <w:tcW w:w="1378" w:type="dxa"/>
            <w:shd w:val="clear" w:color="auto" w:fill="F2F2F2"/>
          </w:tcPr>
          <w:p w14:paraId="2C6BCC63" w14:textId="77777777" w:rsidR="00C215BC" w:rsidRPr="002D4398" w:rsidRDefault="00C215BC" w:rsidP="00887DB7">
            <w:pPr>
              <w:pStyle w:val="TableParagraph"/>
              <w:jc w:val="center"/>
              <w:rPr>
                <w:rFonts w:eastAsia="Calibri" w:cs="Calibri"/>
                <w:sz w:val="20"/>
                <w:szCs w:val="20"/>
              </w:rPr>
            </w:pPr>
            <w:r w:rsidRPr="002D4398">
              <w:rPr>
                <w:sz w:val="20"/>
                <w:szCs w:val="20"/>
              </w:rPr>
              <w:t>-0.579</w:t>
            </w:r>
          </w:p>
        </w:tc>
        <w:tc>
          <w:tcPr>
            <w:tcW w:w="1379" w:type="dxa"/>
            <w:shd w:val="clear" w:color="auto" w:fill="F2F2F2"/>
          </w:tcPr>
          <w:p w14:paraId="3E8CBB2C" w14:textId="77777777" w:rsidR="00C215BC" w:rsidRPr="002D4398" w:rsidRDefault="00C215BC" w:rsidP="00887DB7">
            <w:pPr>
              <w:pStyle w:val="TableParagraph"/>
              <w:jc w:val="center"/>
              <w:rPr>
                <w:rFonts w:eastAsia="Calibri" w:cs="Calibri"/>
                <w:sz w:val="20"/>
                <w:szCs w:val="20"/>
              </w:rPr>
            </w:pPr>
            <w:r w:rsidRPr="002D4398">
              <w:rPr>
                <w:sz w:val="20"/>
                <w:szCs w:val="20"/>
              </w:rPr>
              <w:t>34.477</w:t>
            </w:r>
          </w:p>
        </w:tc>
        <w:tc>
          <w:tcPr>
            <w:tcW w:w="1379" w:type="dxa"/>
            <w:shd w:val="clear" w:color="auto" w:fill="F2F2F2"/>
          </w:tcPr>
          <w:p w14:paraId="37F54C38" w14:textId="77777777" w:rsidR="00C215BC" w:rsidRPr="002D4398" w:rsidRDefault="00C215BC" w:rsidP="00887DB7">
            <w:pPr>
              <w:pStyle w:val="TableParagraph"/>
              <w:jc w:val="center"/>
              <w:rPr>
                <w:rFonts w:eastAsia="Calibri" w:cs="Calibri"/>
                <w:sz w:val="20"/>
                <w:szCs w:val="20"/>
              </w:rPr>
            </w:pPr>
            <w:r w:rsidRPr="002D4398">
              <w:rPr>
                <w:sz w:val="20"/>
                <w:szCs w:val="20"/>
              </w:rPr>
              <w:t>5.281</w:t>
            </w:r>
          </w:p>
        </w:tc>
        <w:tc>
          <w:tcPr>
            <w:tcW w:w="1379" w:type="dxa"/>
            <w:shd w:val="clear" w:color="auto" w:fill="F2F2F2"/>
          </w:tcPr>
          <w:p w14:paraId="5879D3E3" w14:textId="77777777" w:rsidR="00C215BC" w:rsidRPr="002D4398" w:rsidRDefault="00C215BC" w:rsidP="00887DB7">
            <w:pPr>
              <w:pStyle w:val="TableParagraph"/>
              <w:jc w:val="center"/>
              <w:rPr>
                <w:sz w:val="20"/>
                <w:szCs w:val="20"/>
              </w:rPr>
            </w:pPr>
            <w:r w:rsidRPr="002D4398">
              <w:rPr>
                <w:sz w:val="20"/>
                <w:szCs w:val="20"/>
              </w:rPr>
              <w:t>-72.669</w:t>
            </w:r>
          </w:p>
        </w:tc>
        <w:tc>
          <w:tcPr>
            <w:tcW w:w="1379" w:type="dxa"/>
            <w:shd w:val="clear" w:color="auto" w:fill="F2F2F2"/>
          </w:tcPr>
          <w:p w14:paraId="54C2999C" w14:textId="77777777" w:rsidR="00C215BC" w:rsidRPr="002D4398" w:rsidRDefault="00C215BC" w:rsidP="00887DB7">
            <w:pPr>
              <w:pStyle w:val="TableParagraph"/>
              <w:jc w:val="center"/>
              <w:rPr>
                <w:rFonts w:eastAsia="Calibri" w:cs="Calibri"/>
                <w:sz w:val="20"/>
                <w:szCs w:val="20"/>
              </w:rPr>
            </w:pPr>
            <w:r w:rsidRPr="002D4398">
              <w:rPr>
                <w:sz w:val="20"/>
                <w:szCs w:val="20"/>
              </w:rPr>
              <w:t>-0.421</w:t>
            </w:r>
          </w:p>
        </w:tc>
        <w:tc>
          <w:tcPr>
            <w:tcW w:w="1379" w:type="dxa"/>
            <w:shd w:val="clear" w:color="auto" w:fill="F2F2F2"/>
          </w:tcPr>
          <w:p w14:paraId="488BCFF6" w14:textId="77777777" w:rsidR="00C215BC" w:rsidRPr="002D4398" w:rsidRDefault="00C215BC" w:rsidP="00887DB7">
            <w:pPr>
              <w:pStyle w:val="TableParagraph"/>
              <w:jc w:val="center"/>
              <w:rPr>
                <w:rFonts w:eastAsia="Calibri" w:cs="Calibri"/>
                <w:sz w:val="20"/>
                <w:szCs w:val="20"/>
              </w:rPr>
            </w:pPr>
            <w:r w:rsidRPr="002D4398">
              <w:rPr>
                <w:sz w:val="20"/>
                <w:szCs w:val="20"/>
              </w:rPr>
              <w:t>0.99</w:t>
            </w:r>
          </w:p>
        </w:tc>
        <w:tc>
          <w:tcPr>
            <w:tcW w:w="1379" w:type="dxa"/>
            <w:shd w:val="clear" w:color="auto" w:fill="F2F2F2"/>
          </w:tcPr>
          <w:p w14:paraId="36B5E57D" w14:textId="77777777" w:rsidR="00C215BC" w:rsidRPr="002D4398" w:rsidRDefault="00C215BC" w:rsidP="00887DB7">
            <w:pPr>
              <w:pStyle w:val="TableParagraph"/>
              <w:jc w:val="center"/>
              <w:rPr>
                <w:rFonts w:eastAsia="Calibri" w:cs="Calibri"/>
                <w:sz w:val="20"/>
                <w:szCs w:val="20"/>
              </w:rPr>
            </w:pPr>
            <w:r w:rsidRPr="002D4398">
              <w:rPr>
                <w:sz w:val="20"/>
                <w:szCs w:val="20"/>
              </w:rPr>
              <w:t>1.96</w:t>
            </w:r>
          </w:p>
        </w:tc>
        <w:tc>
          <w:tcPr>
            <w:tcW w:w="1379" w:type="dxa"/>
            <w:shd w:val="clear" w:color="auto" w:fill="F2F2F2"/>
          </w:tcPr>
          <w:p w14:paraId="7B31AD12" w14:textId="77777777" w:rsidR="00C215BC" w:rsidRPr="002D4398" w:rsidRDefault="00C215BC" w:rsidP="00887DB7">
            <w:pPr>
              <w:pStyle w:val="TableParagraph"/>
              <w:jc w:val="center"/>
              <w:rPr>
                <w:rFonts w:eastAsia="Calibri" w:cs="Calibri"/>
                <w:sz w:val="20"/>
                <w:szCs w:val="20"/>
              </w:rPr>
            </w:pPr>
            <w:r w:rsidRPr="002D4398">
              <w:rPr>
                <w:sz w:val="20"/>
                <w:szCs w:val="20"/>
              </w:rPr>
              <w:t>OLS-AR1</w:t>
            </w:r>
          </w:p>
        </w:tc>
      </w:tr>
      <w:tr w:rsidR="00C215BC" w:rsidRPr="002D4398" w14:paraId="1CF84013" w14:textId="77777777" w:rsidTr="00887DB7">
        <w:trPr>
          <w:trHeight w:hRule="exact" w:val="277"/>
          <w:jc w:val="center"/>
        </w:trPr>
        <w:tc>
          <w:tcPr>
            <w:tcW w:w="1377" w:type="dxa"/>
          </w:tcPr>
          <w:p w14:paraId="3C9B7A03" w14:textId="77777777" w:rsidR="00C215BC" w:rsidRPr="002D4398" w:rsidRDefault="00C215BC" w:rsidP="00887DB7">
            <w:pPr>
              <w:pStyle w:val="TableParagraph"/>
              <w:jc w:val="center"/>
              <w:rPr>
                <w:rFonts w:eastAsia="Calibri" w:cs="Calibri"/>
                <w:sz w:val="20"/>
                <w:szCs w:val="20"/>
              </w:rPr>
            </w:pPr>
            <w:r w:rsidRPr="002D4398">
              <w:rPr>
                <w:sz w:val="20"/>
                <w:szCs w:val="20"/>
              </w:rPr>
              <w:t>(4.16)</w:t>
            </w:r>
          </w:p>
        </w:tc>
        <w:tc>
          <w:tcPr>
            <w:tcW w:w="1378" w:type="dxa"/>
          </w:tcPr>
          <w:p w14:paraId="33A49677" w14:textId="77777777" w:rsidR="00C215BC" w:rsidRPr="002D4398" w:rsidRDefault="00C215BC" w:rsidP="00887DB7">
            <w:pPr>
              <w:pStyle w:val="TableParagraph"/>
              <w:jc w:val="center"/>
              <w:rPr>
                <w:rFonts w:eastAsia="Calibri" w:cs="Calibri"/>
                <w:sz w:val="20"/>
                <w:szCs w:val="20"/>
              </w:rPr>
            </w:pPr>
            <w:r w:rsidRPr="002D4398">
              <w:rPr>
                <w:sz w:val="20"/>
                <w:szCs w:val="20"/>
              </w:rPr>
              <w:t>(16.09)</w:t>
            </w:r>
          </w:p>
        </w:tc>
        <w:tc>
          <w:tcPr>
            <w:tcW w:w="1378" w:type="dxa"/>
          </w:tcPr>
          <w:p w14:paraId="4C2D10BF" w14:textId="77777777" w:rsidR="00C215BC" w:rsidRPr="002D4398" w:rsidRDefault="00C215BC" w:rsidP="00887DB7">
            <w:pPr>
              <w:pStyle w:val="TableParagraph"/>
              <w:jc w:val="center"/>
              <w:rPr>
                <w:rFonts w:eastAsia="Calibri" w:cs="Calibri"/>
                <w:sz w:val="20"/>
                <w:szCs w:val="20"/>
              </w:rPr>
            </w:pPr>
            <w:r w:rsidRPr="002D4398">
              <w:rPr>
                <w:sz w:val="20"/>
                <w:szCs w:val="20"/>
              </w:rPr>
              <w:t>(-1.94)</w:t>
            </w:r>
          </w:p>
        </w:tc>
        <w:tc>
          <w:tcPr>
            <w:tcW w:w="1379" w:type="dxa"/>
          </w:tcPr>
          <w:p w14:paraId="77E84E18" w14:textId="77777777" w:rsidR="00C215BC" w:rsidRPr="002D4398" w:rsidRDefault="00C215BC" w:rsidP="00887DB7">
            <w:pPr>
              <w:pStyle w:val="TableParagraph"/>
              <w:jc w:val="center"/>
              <w:rPr>
                <w:rFonts w:eastAsia="Calibri" w:cs="Calibri"/>
                <w:sz w:val="20"/>
                <w:szCs w:val="20"/>
              </w:rPr>
            </w:pPr>
            <w:r w:rsidRPr="002D4398">
              <w:rPr>
                <w:sz w:val="20"/>
                <w:szCs w:val="20"/>
              </w:rPr>
              <w:t>(0.92)</w:t>
            </w:r>
          </w:p>
        </w:tc>
        <w:tc>
          <w:tcPr>
            <w:tcW w:w="1379" w:type="dxa"/>
          </w:tcPr>
          <w:p w14:paraId="2608DF56" w14:textId="77777777" w:rsidR="00C215BC" w:rsidRPr="002D4398" w:rsidRDefault="00C215BC" w:rsidP="00887DB7">
            <w:pPr>
              <w:pStyle w:val="TableParagraph"/>
              <w:jc w:val="center"/>
              <w:rPr>
                <w:rFonts w:eastAsia="Calibri" w:cs="Calibri"/>
                <w:sz w:val="20"/>
                <w:szCs w:val="20"/>
              </w:rPr>
            </w:pPr>
            <w:r w:rsidRPr="002D4398">
              <w:rPr>
                <w:sz w:val="20"/>
                <w:szCs w:val="20"/>
              </w:rPr>
              <w:t>(9.42)</w:t>
            </w:r>
          </w:p>
        </w:tc>
        <w:tc>
          <w:tcPr>
            <w:tcW w:w="1379" w:type="dxa"/>
          </w:tcPr>
          <w:p w14:paraId="3D6CC062" w14:textId="77777777" w:rsidR="00C215BC" w:rsidRPr="002D4398" w:rsidRDefault="00C215BC" w:rsidP="00887DB7">
            <w:pPr>
              <w:pStyle w:val="TableParagraph"/>
              <w:jc w:val="center"/>
              <w:rPr>
                <w:sz w:val="20"/>
                <w:szCs w:val="20"/>
              </w:rPr>
            </w:pPr>
            <w:r w:rsidRPr="002D4398">
              <w:rPr>
                <w:sz w:val="20"/>
                <w:szCs w:val="20"/>
              </w:rPr>
              <w:t>(-3.69)</w:t>
            </w:r>
          </w:p>
        </w:tc>
        <w:tc>
          <w:tcPr>
            <w:tcW w:w="1379" w:type="dxa"/>
          </w:tcPr>
          <w:p w14:paraId="101D36C9" w14:textId="77777777" w:rsidR="00C215BC" w:rsidRPr="002D4398" w:rsidRDefault="00C215BC" w:rsidP="00887DB7">
            <w:pPr>
              <w:pStyle w:val="TableParagraph"/>
              <w:jc w:val="center"/>
              <w:rPr>
                <w:rFonts w:eastAsia="Calibri" w:cs="Calibri"/>
                <w:sz w:val="20"/>
                <w:szCs w:val="20"/>
              </w:rPr>
            </w:pPr>
            <w:r w:rsidRPr="002D4398">
              <w:rPr>
                <w:sz w:val="20"/>
                <w:szCs w:val="20"/>
              </w:rPr>
              <w:t>(-3.04)</w:t>
            </w:r>
          </w:p>
        </w:tc>
        <w:tc>
          <w:tcPr>
            <w:tcW w:w="1379" w:type="dxa"/>
          </w:tcPr>
          <w:p w14:paraId="4BCB85ED" w14:textId="77777777" w:rsidR="00C215BC" w:rsidRPr="002D4398" w:rsidRDefault="00C215BC" w:rsidP="00887DB7">
            <w:pPr>
              <w:jc w:val="center"/>
              <w:rPr>
                <w:sz w:val="20"/>
                <w:szCs w:val="20"/>
              </w:rPr>
            </w:pPr>
          </w:p>
        </w:tc>
        <w:tc>
          <w:tcPr>
            <w:tcW w:w="1379" w:type="dxa"/>
          </w:tcPr>
          <w:p w14:paraId="59DDA4D2" w14:textId="77777777" w:rsidR="00C215BC" w:rsidRPr="002D4398" w:rsidRDefault="00C215BC" w:rsidP="00887DB7">
            <w:pPr>
              <w:jc w:val="center"/>
              <w:rPr>
                <w:sz w:val="20"/>
                <w:szCs w:val="20"/>
              </w:rPr>
            </w:pPr>
          </w:p>
        </w:tc>
        <w:tc>
          <w:tcPr>
            <w:tcW w:w="1379" w:type="dxa"/>
          </w:tcPr>
          <w:p w14:paraId="2708F052" w14:textId="77777777" w:rsidR="00C215BC" w:rsidRPr="002D4398" w:rsidRDefault="00C215BC" w:rsidP="00887DB7">
            <w:pPr>
              <w:jc w:val="center"/>
              <w:rPr>
                <w:sz w:val="20"/>
                <w:szCs w:val="20"/>
              </w:rPr>
            </w:pPr>
          </w:p>
        </w:tc>
      </w:tr>
      <w:tr w:rsidR="00C215BC" w:rsidRPr="002D4398" w14:paraId="12F37899" w14:textId="77777777" w:rsidTr="00887DB7">
        <w:trPr>
          <w:trHeight w:hRule="exact" w:val="277"/>
          <w:jc w:val="center"/>
        </w:trPr>
        <w:tc>
          <w:tcPr>
            <w:tcW w:w="1377" w:type="dxa"/>
            <w:shd w:val="clear" w:color="auto" w:fill="F2F2F2"/>
          </w:tcPr>
          <w:p w14:paraId="7ABEDAE9" w14:textId="77777777" w:rsidR="00C215BC" w:rsidRPr="002D4398" w:rsidRDefault="00C215BC" w:rsidP="00887DB7">
            <w:pPr>
              <w:pStyle w:val="TableParagraph"/>
              <w:jc w:val="center"/>
              <w:rPr>
                <w:rFonts w:eastAsia="Calibri" w:cs="Calibri"/>
                <w:sz w:val="20"/>
                <w:szCs w:val="20"/>
              </w:rPr>
            </w:pPr>
            <w:r w:rsidRPr="002D4398">
              <w:rPr>
                <w:sz w:val="20"/>
                <w:szCs w:val="20"/>
              </w:rPr>
              <w:t>82.080</w:t>
            </w:r>
          </w:p>
        </w:tc>
        <w:tc>
          <w:tcPr>
            <w:tcW w:w="1378" w:type="dxa"/>
            <w:shd w:val="clear" w:color="auto" w:fill="F2F2F2"/>
          </w:tcPr>
          <w:p w14:paraId="06E11DD3" w14:textId="77777777" w:rsidR="00C215BC" w:rsidRPr="002D4398" w:rsidRDefault="00C215BC" w:rsidP="00887DB7">
            <w:pPr>
              <w:pStyle w:val="TableParagraph"/>
              <w:jc w:val="center"/>
              <w:rPr>
                <w:rFonts w:eastAsia="Calibri" w:cs="Calibri"/>
                <w:sz w:val="20"/>
                <w:szCs w:val="20"/>
              </w:rPr>
            </w:pPr>
            <w:r w:rsidRPr="002D4398">
              <w:rPr>
                <w:sz w:val="20"/>
                <w:szCs w:val="20"/>
              </w:rPr>
              <w:t>2.871</w:t>
            </w:r>
          </w:p>
        </w:tc>
        <w:tc>
          <w:tcPr>
            <w:tcW w:w="1378" w:type="dxa"/>
            <w:shd w:val="clear" w:color="auto" w:fill="F2F2F2"/>
          </w:tcPr>
          <w:p w14:paraId="0541E0D4" w14:textId="77777777" w:rsidR="00C215BC" w:rsidRPr="002D4398" w:rsidRDefault="00C215BC" w:rsidP="00887DB7">
            <w:pPr>
              <w:pStyle w:val="TableParagraph"/>
              <w:jc w:val="center"/>
              <w:rPr>
                <w:rFonts w:eastAsia="Calibri" w:cs="Calibri"/>
                <w:sz w:val="20"/>
                <w:szCs w:val="20"/>
              </w:rPr>
            </w:pPr>
            <w:r w:rsidRPr="002D4398">
              <w:rPr>
                <w:sz w:val="20"/>
                <w:szCs w:val="20"/>
              </w:rPr>
              <w:t>-0.516</w:t>
            </w:r>
          </w:p>
        </w:tc>
        <w:tc>
          <w:tcPr>
            <w:tcW w:w="1379" w:type="dxa"/>
            <w:shd w:val="clear" w:color="auto" w:fill="F2F2F2"/>
          </w:tcPr>
          <w:p w14:paraId="4B5AC8D5" w14:textId="77777777" w:rsidR="00C215BC" w:rsidRPr="002D4398" w:rsidRDefault="00C215BC" w:rsidP="00887DB7">
            <w:pPr>
              <w:pStyle w:val="TableParagraph"/>
              <w:jc w:val="center"/>
              <w:rPr>
                <w:rFonts w:eastAsia="Calibri" w:cs="Calibri"/>
                <w:sz w:val="20"/>
                <w:szCs w:val="20"/>
              </w:rPr>
            </w:pPr>
            <w:r w:rsidRPr="002D4398">
              <w:rPr>
                <w:sz w:val="20"/>
                <w:szCs w:val="20"/>
              </w:rPr>
              <w:t>30.542</w:t>
            </w:r>
          </w:p>
        </w:tc>
        <w:tc>
          <w:tcPr>
            <w:tcW w:w="1379" w:type="dxa"/>
            <w:shd w:val="clear" w:color="auto" w:fill="F2F2F2"/>
          </w:tcPr>
          <w:p w14:paraId="74D76679" w14:textId="77777777" w:rsidR="00C215BC" w:rsidRPr="002D4398" w:rsidRDefault="00C215BC" w:rsidP="00887DB7">
            <w:pPr>
              <w:pStyle w:val="TableParagraph"/>
              <w:jc w:val="center"/>
              <w:rPr>
                <w:rFonts w:eastAsia="Calibri" w:cs="Calibri"/>
                <w:sz w:val="20"/>
                <w:szCs w:val="20"/>
              </w:rPr>
            </w:pPr>
            <w:r w:rsidRPr="002D4398">
              <w:rPr>
                <w:sz w:val="20"/>
                <w:szCs w:val="20"/>
              </w:rPr>
              <w:t>5.347</w:t>
            </w:r>
          </w:p>
        </w:tc>
        <w:tc>
          <w:tcPr>
            <w:tcW w:w="1379" w:type="dxa"/>
            <w:shd w:val="clear" w:color="auto" w:fill="F2F2F2"/>
          </w:tcPr>
          <w:p w14:paraId="06831AA9" w14:textId="77777777" w:rsidR="00C215BC" w:rsidRPr="002D4398" w:rsidRDefault="00C215BC" w:rsidP="00887DB7">
            <w:pPr>
              <w:pStyle w:val="TableParagraph"/>
              <w:jc w:val="center"/>
              <w:rPr>
                <w:sz w:val="20"/>
                <w:szCs w:val="20"/>
              </w:rPr>
            </w:pPr>
            <w:r w:rsidRPr="002D4398">
              <w:rPr>
                <w:sz w:val="20"/>
                <w:szCs w:val="20"/>
              </w:rPr>
              <w:t>-71.387</w:t>
            </w:r>
          </w:p>
        </w:tc>
        <w:tc>
          <w:tcPr>
            <w:tcW w:w="1379" w:type="dxa"/>
            <w:shd w:val="clear" w:color="auto" w:fill="F2F2F2"/>
          </w:tcPr>
          <w:p w14:paraId="6EA26BAE" w14:textId="77777777" w:rsidR="00C215BC" w:rsidRPr="002D4398" w:rsidRDefault="00C215BC" w:rsidP="00887DB7">
            <w:pPr>
              <w:pStyle w:val="TableParagraph"/>
              <w:jc w:val="center"/>
              <w:rPr>
                <w:rFonts w:eastAsia="Calibri" w:cs="Calibri"/>
                <w:sz w:val="20"/>
                <w:szCs w:val="20"/>
              </w:rPr>
            </w:pPr>
            <w:r w:rsidRPr="002D4398">
              <w:rPr>
                <w:sz w:val="20"/>
                <w:szCs w:val="20"/>
              </w:rPr>
              <w:t>-0.402</w:t>
            </w:r>
          </w:p>
        </w:tc>
        <w:tc>
          <w:tcPr>
            <w:tcW w:w="1379" w:type="dxa"/>
            <w:shd w:val="clear" w:color="auto" w:fill="F2F2F2"/>
          </w:tcPr>
          <w:p w14:paraId="6809EB71" w14:textId="77777777" w:rsidR="00C215BC" w:rsidRPr="002D4398" w:rsidRDefault="00C215BC" w:rsidP="00887DB7">
            <w:pPr>
              <w:pStyle w:val="TableParagraph"/>
              <w:jc w:val="center"/>
              <w:rPr>
                <w:rFonts w:eastAsia="Calibri" w:cs="Calibri"/>
                <w:sz w:val="20"/>
                <w:szCs w:val="20"/>
              </w:rPr>
            </w:pPr>
            <w:r w:rsidRPr="002D4398">
              <w:rPr>
                <w:sz w:val="20"/>
                <w:szCs w:val="20"/>
              </w:rPr>
              <w:t>0.98</w:t>
            </w:r>
          </w:p>
        </w:tc>
        <w:tc>
          <w:tcPr>
            <w:tcW w:w="1379" w:type="dxa"/>
            <w:shd w:val="clear" w:color="auto" w:fill="F2F2F2"/>
          </w:tcPr>
          <w:p w14:paraId="5F9A4A5B" w14:textId="77777777" w:rsidR="00C215BC" w:rsidRPr="002D4398" w:rsidRDefault="00C215BC" w:rsidP="00887DB7">
            <w:pPr>
              <w:pStyle w:val="TableParagraph"/>
              <w:jc w:val="center"/>
              <w:rPr>
                <w:rFonts w:eastAsia="Calibri" w:cs="Calibri"/>
                <w:sz w:val="20"/>
                <w:szCs w:val="20"/>
              </w:rPr>
            </w:pPr>
            <w:r w:rsidRPr="002D4398">
              <w:rPr>
                <w:sz w:val="20"/>
                <w:szCs w:val="20"/>
              </w:rPr>
              <w:t>1.94</w:t>
            </w:r>
          </w:p>
        </w:tc>
        <w:tc>
          <w:tcPr>
            <w:tcW w:w="1379" w:type="dxa"/>
            <w:shd w:val="clear" w:color="auto" w:fill="F2F2F2"/>
          </w:tcPr>
          <w:p w14:paraId="3D236C03" w14:textId="77777777" w:rsidR="00C215BC" w:rsidRPr="002D4398" w:rsidRDefault="00C215BC" w:rsidP="00887DB7">
            <w:pPr>
              <w:pStyle w:val="TableParagraph"/>
              <w:jc w:val="center"/>
              <w:rPr>
                <w:rFonts w:eastAsia="Calibri" w:cs="Calibri"/>
                <w:sz w:val="20"/>
                <w:szCs w:val="20"/>
              </w:rPr>
            </w:pPr>
            <w:r w:rsidRPr="002D4398">
              <w:rPr>
                <w:sz w:val="20"/>
                <w:szCs w:val="20"/>
              </w:rPr>
              <w:t>LSQ-AR1</w:t>
            </w:r>
          </w:p>
        </w:tc>
      </w:tr>
      <w:tr w:rsidR="00C215BC" w:rsidRPr="002D4398" w14:paraId="0C16BF97" w14:textId="77777777" w:rsidTr="00887DB7">
        <w:trPr>
          <w:trHeight w:hRule="exact" w:val="277"/>
          <w:jc w:val="center"/>
        </w:trPr>
        <w:tc>
          <w:tcPr>
            <w:tcW w:w="1377" w:type="dxa"/>
          </w:tcPr>
          <w:p w14:paraId="21664054" w14:textId="77777777" w:rsidR="00C215BC" w:rsidRPr="002D4398" w:rsidRDefault="00C215BC" w:rsidP="00887DB7">
            <w:pPr>
              <w:pStyle w:val="TableParagraph"/>
              <w:jc w:val="center"/>
              <w:rPr>
                <w:rFonts w:eastAsia="Calibri" w:cs="Calibri"/>
                <w:sz w:val="20"/>
                <w:szCs w:val="20"/>
              </w:rPr>
            </w:pPr>
            <w:r w:rsidRPr="002D4398">
              <w:rPr>
                <w:sz w:val="20"/>
                <w:szCs w:val="20"/>
              </w:rPr>
              <w:t>(3.66)</w:t>
            </w:r>
          </w:p>
        </w:tc>
        <w:tc>
          <w:tcPr>
            <w:tcW w:w="1378" w:type="dxa"/>
          </w:tcPr>
          <w:p w14:paraId="6ABE9993" w14:textId="77777777" w:rsidR="00C215BC" w:rsidRPr="002D4398" w:rsidRDefault="00C215BC" w:rsidP="00887DB7">
            <w:pPr>
              <w:pStyle w:val="TableParagraph"/>
              <w:jc w:val="center"/>
              <w:rPr>
                <w:rFonts w:eastAsia="Calibri" w:cs="Calibri"/>
                <w:sz w:val="20"/>
                <w:szCs w:val="20"/>
              </w:rPr>
            </w:pPr>
            <w:r w:rsidRPr="002D4398">
              <w:rPr>
                <w:sz w:val="20"/>
                <w:szCs w:val="20"/>
              </w:rPr>
              <w:t>(14.91)</w:t>
            </w:r>
          </w:p>
        </w:tc>
        <w:tc>
          <w:tcPr>
            <w:tcW w:w="1378" w:type="dxa"/>
          </w:tcPr>
          <w:p w14:paraId="2D168C0C" w14:textId="77777777" w:rsidR="00C215BC" w:rsidRPr="002D4398" w:rsidRDefault="00C215BC" w:rsidP="00887DB7">
            <w:pPr>
              <w:pStyle w:val="TableParagraph"/>
              <w:jc w:val="center"/>
              <w:rPr>
                <w:rFonts w:eastAsia="Calibri" w:cs="Calibri"/>
                <w:sz w:val="20"/>
                <w:szCs w:val="20"/>
              </w:rPr>
            </w:pPr>
            <w:r w:rsidRPr="002D4398">
              <w:rPr>
                <w:sz w:val="20"/>
                <w:szCs w:val="20"/>
              </w:rPr>
              <w:t>(-1.62)</w:t>
            </w:r>
          </w:p>
        </w:tc>
        <w:tc>
          <w:tcPr>
            <w:tcW w:w="1379" w:type="dxa"/>
          </w:tcPr>
          <w:p w14:paraId="5507748F" w14:textId="77777777" w:rsidR="00C215BC" w:rsidRPr="002D4398" w:rsidRDefault="00C215BC" w:rsidP="00887DB7">
            <w:pPr>
              <w:pStyle w:val="TableParagraph"/>
              <w:jc w:val="center"/>
              <w:rPr>
                <w:rFonts w:eastAsia="Calibri" w:cs="Calibri"/>
                <w:sz w:val="20"/>
                <w:szCs w:val="20"/>
              </w:rPr>
            </w:pPr>
            <w:r w:rsidRPr="002D4398">
              <w:rPr>
                <w:sz w:val="20"/>
                <w:szCs w:val="20"/>
              </w:rPr>
              <w:t>(0.77)</w:t>
            </w:r>
          </w:p>
        </w:tc>
        <w:tc>
          <w:tcPr>
            <w:tcW w:w="1379" w:type="dxa"/>
          </w:tcPr>
          <w:p w14:paraId="1A0F87BD" w14:textId="77777777" w:rsidR="00C215BC" w:rsidRPr="002D4398" w:rsidRDefault="00C215BC" w:rsidP="00887DB7">
            <w:pPr>
              <w:pStyle w:val="TableParagraph"/>
              <w:jc w:val="center"/>
              <w:rPr>
                <w:rFonts w:eastAsia="Calibri" w:cs="Calibri"/>
                <w:sz w:val="20"/>
                <w:szCs w:val="20"/>
              </w:rPr>
            </w:pPr>
            <w:r w:rsidRPr="002D4398">
              <w:rPr>
                <w:sz w:val="20"/>
                <w:szCs w:val="20"/>
              </w:rPr>
              <w:t>(8.70)</w:t>
            </w:r>
          </w:p>
        </w:tc>
        <w:tc>
          <w:tcPr>
            <w:tcW w:w="1379" w:type="dxa"/>
          </w:tcPr>
          <w:p w14:paraId="60D725D0" w14:textId="77777777" w:rsidR="00C215BC" w:rsidRPr="002D4398" w:rsidRDefault="00C215BC" w:rsidP="00887DB7">
            <w:pPr>
              <w:pStyle w:val="TableParagraph"/>
              <w:jc w:val="center"/>
              <w:rPr>
                <w:sz w:val="20"/>
                <w:szCs w:val="20"/>
              </w:rPr>
            </w:pPr>
            <w:r w:rsidRPr="002D4398">
              <w:rPr>
                <w:sz w:val="20"/>
                <w:szCs w:val="20"/>
              </w:rPr>
              <w:t>(-3.30)</w:t>
            </w:r>
          </w:p>
        </w:tc>
        <w:tc>
          <w:tcPr>
            <w:tcW w:w="1379" w:type="dxa"/>
          </w:tcPr>
          <w:p w14:paraId="38D299B2" w14:textId="77777777" w:rsidR="00C215BC" w:rsidRPr="002D4398" w:rsidRDefault="00C215BC" w:rsidP="00887DB7">
            <w:pPr>
              <w:pStyle w:val="TableParagraph"/>
              <w:jc w:val="center"/>
              <w:rPr>
                <w:rFonts w:eastAsia="Calibri" w:cs="Calibri"/>
                <w:sz w:val="20"/>
                <w:szCs w:val="20"/>
              </w:rPr>
            </w:pPr>
            <w:r w:rsidRPr="002D4398">
              <w:rPr>
                <w:sz w:val="20"/>
                <w:szCs w:val="20"/>
              </w:rPr>
              <w:t>(-2.70)</w:t>
            </w:r>
          </w:p>
        </w:tc>
        <w:tc>
          <w:tcPr>
            <w:tcW w:w="1379" w:type="dxa"/>
          </w:tcPr>
          <w:p w14:paraId="025F022E" w14:textId="77777777" w:rsidR="00C215BC" w:rsidRPr="002D4398" w:rsidRDefault="00C215BC" w:rsidP="00887DB7">
            <w:pPr>
              <w:jc w:val="center"/>
              <w:rPr>
                <w:sz w:val="20"/>
                <w:szCs w:val="20"/>
              </w:rPr>
            </w:pPr>
          </w:p>
        </w:tc>
        <w:tc>
          <w:tcPr>
            <w:tcW w:w="1379" w:type="dxa"/>
          </w:tcPr>
          <w:p w14:paraId="11E36140" w14:textId="77777777" w:rsidR="00C215BC" w:rsidRPr="002D4398" w:rsidRDefault="00C215BC" w:rsidP="00887DB7">
            <w:pPr>
              <w:jc w:val="center"/>
              <w:rPr>
                <w:sz w:val="20"/>
                <w:szCs w:val="20"/>
              </w:rPr>
            </w:pPr>
          </w:p>
        </w:tc>
        <w:tc>
          <w:tcPr>
            <w:tcW w:w="1379" w:type="dxa"/>
          </w:tcPr>
          <w:p w14:paraId="5B16931E" w14:textId="77777777" w:rsidR="00C215BC" w:rsidRPr="002D4398" w:rsidRDefault="00C215BC" w:rsidP="00887DB7">
            <w:pPr>
              <w:jc w:val="center"/>
              <w:rPr>
                <w:sz w:val="20"/>
                <w:szCs w:val="20"/>
              </w:rPr>
            </w:pPr>
          </w:p>
        </w:tc>
      </w:tr>
      <w:tr w:rsidR="002F1384" w:rsidRPr="009203D1" w14:paraId="77193BB2" w14:textId="77777777" w:rsidTr="00887DB7">
        <w:trPr>
          <w:trHeight w:hRule="exact" w:val="275"/>
          <w:jc w:val="center"/>
        </w:trPr>
        <w:tc>
          <w:tcPr>
            <w:tcW w:w="1377" w:type="dxa"/>
            <w:shd w:val="clear" w:color="auto" w:fill="F2F2F2"/>
          </w:tcPr>
          <w:p w14:paraId="5FC0C797" w14:textId="6E54BCBD" w:rsidR="002F1384" w:rsidRPr="002D4398" w:rsidRDefault="002F1384" w:rsidP="002F1384">
            <w:pPr>
              <w:pStyle w:val="TableParagraph"/>
              <w:jc w:val="center"/>
              <w:rPr>
                <w:rFonts w:eastAsia="Calibri" w:cs="Calibri"/>
                <w:sz w:val="20"/>
                <w:szCs w:val="20"/>
              </w:rPr>
            </w:pPr>
            <w:r w:rsidRPr="002D4398">
              <w:rPr>
                <w:sz w:val="20"/>
                <w:szCs w:val="20"/>
              </w:rPr>
              <w:t>99.770</w:t>
            </w:r>
          </w:p>
        </w:tc>
        <w:tc>
          <w:tcPr>
            <w:tcW w:w="1378" w:type="dxa"/>
            <w:shd w:val="clear" w:color="auto" w:fill="F2F2F2"/>
          </w:tcPr>
          <w:p w14:paraId="01B5CD7E" w14:textId="0DF57E84" w:rsidR="002F1384" w:rsidRPr="002D4398" w:rsidRDefault="002F1384" w:rsidP="002F1384">
            <w:pPr>
              <w:pStyle w:val="TableParagraph"/>
              <w:jc w:val="center"/>
              <w:rPr>
                <w:rFonts w:eastAsia="Calibri" w:cs="Calibri"/>
                <w:sz w:val="20"/>
                <w:szCs w:val="20"/>
              </w:rPr>
            </w:pPr>
            <w:r w:rsidRPr="002D4398">
              <w:rPr>
                <w:sz w:val="20"/>
                <w:szCs w:val="20"/>
              </w:rPr>
              <w:t>2.861</w:t>
            </w:r>
          </w:p>
        </w:tc>
        <w:tc>
          <w:tcPr>
            <w:tcW w:w="1378" w:type="dxa"/>
            <w:shd w:val="clear" w:color="auto" w:fill="F2F2F2"/>
          </w:tcPr>
          <w:p w14:paraId="369901E3" w14:textId="7FDD7484" w:rsidR="002F1384" w:rsidRPr="002D4398" w:rsidRDefault="002F1384" w:rsidP="002F1384">
            <w:pPr>
              <w:pStyle w:val="TableParagraph"/>
              <w:jc w:val="center"/>
              <w:rPr>
                <w:rFonts w:eastAsia="Calibri" w:cs="Calibri"/>
                <w:sz w:val="20"/>
                <w:szCs w:val="20"/>
              </w:rPr>
            </w:pPr>
            <w:r w:rsidRPr="002D4398">
              <w:rPr>
                <w:sz w:val="20"/>
                <w:szCs w:val="20"/>
              </w:rPr>
              <w:t>-0.515</w:t>
            </w:r>
          </w:p>
        </w:tc>
        <w:tc>
          <w:tcPr>
            <w:tcW w:w="1379" w:type="dxa"/>
            <w:shd w:val="clear" w:color="auto" w:fill="F2F2F2"/>
          </w:tcPr>
          <w:p w14:paraId="26EA3444" w14:textId="40FF056C" w:rsidR="002F1384" w:rsidRPr="002D4398" w:rsidRDefault="002F1384" w:rsidP="002F1384">
            <w:pPr>
              <w:pStyle w:val="TableParagraph"/>
              <w:jc w:val="center"/>
              <w:rPr>
                <w:rFonts w:eastAsia="Calibri" w:cs="Calibri"/>
                <w:sz w:val="20"/>
                <w:szCs w:val="20"/>
              </w:rPr>
            </w:pPr>
            <w:r w:rsidRPr="002D4398">
              <w:rPr>
                <w:sz w:val="20"/>
                <w:szCs w:val="20"/>
              </w:rPr>
              <w:t>32.264</w:t>
            </w:r>
          </w:p>
        </w:tc>
        <w:tc>
          <w:tcPr>
            <w:tcW w:w="1379" w:type="dxa"/>
            <w:shd w:val="clear" w:color="auto" w:fill="F2F2F2"/>
          </w:tcPr>
          <w:p w14:paraId="01E3D42C" w14:textId="4D81E0B6" w:rsidR="002F1384" w:rsidRPr="002D4398" w:rsidRDefault="002F1384" w:rsidP="002F1384">
            <w:pPr>
              <w:pStyle w:val="TableParagraph"/>
              <w:jc w:val="center"/>
              <w:rPr>
                <w:rFonts w:eastAsia="Calibri" w:cs="Calibri"/>
                <w:sz w:val="20"/>
                <w:szCs w:val="20"/>
              </w:rPr>
            </w:pPr>
            <w:r w:rsidRPr="002D4398">
              <w:rPr>
                <w:sz w:val="20"/>
                <w:szCs w:val="20"/>
              </w:rPr>
              <w:t>4.612</w:t>
            </w:r>
          </w:p>
        </w:tc>
        <w:tc>
          <w:tcPr>
            <w:tcW w:w="1379" w:type="dxa"/>
            <w:shd w:val="clear" w:color="auto" w:fill="F2F2F2"/>
          </w:tcPr>
          <w:p w14:paraId="1C4F49B1" w14:textId="0A96904B" w:rsidR="002F1384" w:rsidRPr="002D4398" w:rsidRDefault="002F1384" w:rsidP="002F1384">
            <w:pPr>
              <w:pStyle w:val="TableParagraph"/>
              <w:jc w:val="center"/>
              <w:rPr>
                <w:sz w:val="20"/>
                <w:szCs w:val="20"/>
              </w:rPr>
            </w:pPr>
            <w:r w:rsidRPr="002D4398">
              <w:rPr>
                <w:sz w:val="20"/>
                <w:szCs w:val="20"/>
              </w:rPr>
              <w:t>-50.254</w:t>
            </w:r>
          </w:p>
        </w:tc>
        <w:tc>
          <w:tcPr>
            <w:tcW w:w="1379" w:type="dxa"/>
            <w:shd w:val="clear" w:color="auto" w:fill="F2F2F2"/>
          </w:tcPr>
          <w:p w14:paraId="28CADD80" w14:textId="6B381166" w:rsidR="002F1384" w:rsidRPr="002D4398" w:rsidRDefault="002F1384" w:rsidP="002F1384">
            <w:pPr>
              <w:pStyle w:val="TableParagraph"/>
              <w:jc w:val="center"/>
              <w:rPr>
                <w:rFonts w:eastAsia="Calibri" w:cs="Calibri"/>
                <w:sz w:val="20"/>
                <w:szCs w:val="20"/>
              </w:rPr>
            </w:pPr>
            <w:r w:rsidRPr="002D4398">
              <w:rPr>
                <w:sz w:val="20"/>
                <w:szCs w:val="20"/>
              </w:rPr>
              <w:t>-0.377</w:t>
            </w:r>
          </w:p>
        </w:tc>
        <w:tc>
          <w:tcPr>
            <w:tcW w:w="1379" w:type="dxa"/>
            <w:shd w:val="clear" w:color="auto" w:fill="F2F2F2"/>
          </w:tcPr>
          <w:p w14:paraId="09A04BF3" w14:textId="68C5BF4E" w:rsidR="002F1384" w:rsidRPr="002D4398" w:rsidRDefault="002F1384" w:rsidP="002F1384">
            <w:pPr>
              <w:pStyle w:val="TableParagraph"/>
              <w:jc w:val="center"/>
              <w:rPr>
                <w:rFonts w:eastAsia="Calibri" w:cs="Calibri"/>
                <w:sz w:val="20"/>
                <w:szCs w:val="20"/>
              </w:rPr>
            </w:pPr>
            <w:r w:rsidRPr="002D4398">
              <w:rPr>
                <w:sz w:val="20"/>
                <w:szCs w:val="20"/>
              </w:rPr>
              <w:t>0.99</w:t>
            </w:r>
          </w:p>
        </w:tc>
        <w:tc>
          <w:tcPr>
            <w:tcW w:w="1379" w:type="dxa"/>
            <w:shd w:val="clear" w:color="auto" w:fill="F2F2F2"/>
          </w:tcPr>
          <w:p w14:paraId="658E5196" w14:textId="5EFE0C9F" w:rsidR="002F1384" w:rsidRPr="002D4398" w:rsidRDefault="002F1384" w:rsidP="002F1384">
            <w:pPr>
              <w:pStyle w:val="TableParagraph"/>
              <w:jc w:val="center"/>
              <w:rPr>
                <w:rFonts w:eastAsia="Calibri" w:cs="Calibri"/>
                <w:sz w:val="20"/>
                <w:szCs w:val="20"/>
              </w:rPr>
            </w:pPr>
            <w:r w:rsidRPr="002D4398">
              <w:rPr>
                <w:sz w:val="20"/>
                <w:szCs w:val="20"/>
              </w:rPr>
              <w:t>1.95</w:t>
            </w:r>
          </w:p>
        </w:tc>
        <w:tc>
          <w:tcPr>
            <w:tcW w:w="1379" w:type="dxa"/>
            <w:shd w:val="clear" w:color="auto" w:fill="F2F2F2"/>
          </w:tcPr>
          <w:p w14:paraId="1FDCDD0F" w14:textId="0632542D" w:rsidR="002F1384" w:rsidRPr="002D4398" w:rsidRDefault="002F1384" w:rsidP="002F1384">
            <w:pPr>
              <w:pStyle w:val="TableParagraph"/>
              <w:jc w:val="center"/>
              <w:rPr>
                <w:rFonts w:eastAsia="Calibri" w:cs="Calibri"/>
                <w:sz w:val="20"/>
                <w:szCs w:val="20"/>
              </w:rPr>
            </w:pPr>
            <w:r w:rsidRPr="002D4398">
              <w:rPr>
                <w:sz w:val="20"/>
                <w:szCs w:val="20"/>
              </w:rPr>
              <w:t>SUR-AR1</w:t>
            </w:r>
          </w:p>
        </w:tc>
      </w:tr>
      <w:tr w:rsidR="002F1384" w:rsidRPr="009203D1" w14:paraId="27E15C34" w14:textId="77777777" w:rsidTr="00887DB7">
        <w:trPr>
          <w:trHeight w:hRule="exact" w:val="282"/>
          <w:jc w:val="center"/>
        </w:trPr>
        <w:tc>
          <w:tcPr>
            <w:tcW w:w="1377" w:type="dxa"/>
          </w:tcPr>
          <w:p w14:paraId="1E142529" w14:textId="042EA0FA" w:rsidR="002F1384" w:rsidRPr="008D2DB8" w:rsidRDefault="002F1384" w:rsidP="002F1384">
            <w:pPr>
              <w:pStyle w:val="TableParagraph"/>
              <w:jc w:val="center"/>
              <w:rPr>
                <w:rFonts w:eastAsia="Calibri" w:cs="Calibri"/>
                <w:sz w:val="20"/>
                <w:szCs w:val="20"/>
                <w:highlight w:val="yellow"/>
              </w:rPr>
            </w:pPr>
            <w:r w:rsidRPr="00053CF4">
              <w:rPr>
                <w:sz w:val="20"/>
                <w:szCs w:val="20"/>
              </w:rPr>
              <w:t>(</w:t>
            </w:r>
            <w:r>
              <w:rPr>
                <w:sz w:val="20"/>
                <w:szCs w:val="20"/>
              </w:rPr>
              <w:t>4.25</w:t>
            </w:r>
            <w:r w:rsidRPr="00053CF4">
              <w:rPr>
                <w:sz w:val="20"/>
                <w:szCs w:val="20"/>
              </w:rPr>
              <w:t>)</w:t>
            </w:r>
          </w:p>
        </w:tc>
        <w:tc>
          <w:tcPr>
            <w:tcW w:w="1378" w:type="dxa"/>
          </w:tcPr>
          <w:p w14:paraId="05E2555D" w14:textId="0334F831" w:rsidR="002F1384" w:rsidRPr="008D2DB8" w:rsidRDefault="002F1384" w:rsidP="002F1384">
            <w:pPr>
              <w:pStyle w:val="TableParagraph"/>
              <w:jc w:val="center"/>
              <w:rPr>
                <w:rFonts w:eastAsia="Calibri" w:cs="Calibri"/>
                <w:sz w:val="20"/>
                <w:szCs w:val="20"/>
                <w:highlight w:val="yellow"/>
              </w:rPr>
            </w:pPr>
            <w:r w:rsidRPr="00053CF4">
              <w:rPr>
                <w:sz w:val="20"/>
                <w:szCs w:val="20"/>
              </w:rPr>
              <w:t>(</w:t>
            </w:r>
            <w:r>
              <w:rPr>
                <w:sz w:val="20"/>
                <w:szCs w:val="20"/>
              </w:rPr>
              <w:t>16.81</w:t>
            </w:r>
            <w:r w:rsidRPr="00053CF4">
              <w:rPr>
                <w:sz w:val="20"/>
                <w:szCs w:val="20"/>
              </w:rPr>
              <w:t>)</w:t>
            </w:r>
          </w:p>
        </w:tc>
        <w:tc>
          <w:tcPr>
            <w:tcW w:w="1378" w:type="dxa"/>
          </w:tcPr>
          <w:p w14:paraId="56F17E7E" w14:textId="1131DDAC" w:rsidR="002F1384" w:rsidRPr="008D2DB8" w:rsidRDefault="002F1384" w:rsidP="002F1384">
            <w:pPr>
              <w:pStyle w:val="TableParagraph"/>
              <w:jc w:val="center"/>
              <w:rPr>
                <w:rFonts w:eastAsia="Calibri" w:cs="Calibri"/>
                <w:sz w:val="20"/>
                <w:szCs w:val="20"/>
                <w:highlight w:val="yellow"/>
              </w:rPr>
            </w:pPr>
            <w:r w:rsidRPr="00053CF4">
              <w:rPr>
                <w:sz w:val="20"/>
                <w:szCs w:val="20"/>
              </w:rPr>
              <w:t>(-</w:t>
            </w:r>
            <w:r>
              <w:rPr>
                <w:sz w:val="20"/>
                <w:szCs w:val="20"/>
              </w:rPr>
              <w:t>1.84</w:t>
            </w:r>
            <w:r w:rsidRPr="00053CF4">
              <w:rPr>
                <w:sz w:val="20"/>
                <w:szCs w:val="20"/>
              </w:rPr>
              <w:t>)</w:t>
            </w:r>
          </w:p>
        </w:tc>
        <w:tc>
          <w:tcPr>
            <w:tcW w:w="1379" w:type="dxa"/>
          </w:tcPr>
          <w:p w14:paraId="098E79F9" w14:textId="60B93150" w:rsidR="002F1384" w:rsidRPr="008D2DB8" w:rsidRDefault="002F1384" w:rsidP="002F1384">
            <w:pPr>
              <w:pStyle w:val="TableParagraph"/>
              <w:jc w:val="center"/>
              <w:rPr>
                <w:rFonts w:eastAsia="Calibri" w:cs="Calibri"/>
                <w:sz w:val="20"/>
                <w:szCs w:val="20"/>
                <w:highlight w:val="yellow"/>
              </w:rPr>
            </w:pPr>
            <w:r w:rsidRPr="00053CF4">
              <w:rPr>
                <w:sz w:val="20"/>
                <w:szCs w:val="20"/>
              </w:rPr>
              <w:t>(</w:t>
            </w:r>
            <w:r>
              <w:rPr>
                <w:sz w:val="20"/>
                <w:szCs w:val="20"/>
              </w:rPr>
              <w:t>1.00</w:t>
            </w:r>
            <w:r w:rsidRPr="00053CF4">
              <w:rPr>
                <w:sz w:val="20"/>
                <w:szCs w:val="20"/>
              </w:rPr>
              <w:t>)</w:t>
            </w:r>
          </w:p>
        </w:tc>
        <w:tc>
          <w:tcPr>
            <w:tcW w:w="1379" w:type="dxa"/>
          </w:tcPr>
          <w:p w14:paraId="39EA02E6" w14:textId="61842D6D" w:rsidR="002F1384" w:rsidRPr="008D2DB8" w:rsidRDefault="002F1384" w:rsidP="002F1384">
            <w:pPr>
              <w:pStyle w:val="TableParagraph"/>
              <w:jc w:val="center"/>
              <w:rPr>
                <w:rFonts w:eastAsia="Calibri" w:cs="Calibri"/>
                <w:sz w:val="20"/>
                <w:szCs w:val="20"/>
                <w:highlight w:val="yellow"/>
              </w:rPr>
            </w:pPr>
            <w:r w:rsidRPr="00053CF4">
              <w:rPr>
                <w:sz w:val="20"/>
                <w:szCs w:val="20"/>
              </w:rPr>
              <w:t>(</w:t>
            </w:r>
            <w:r>
              <w:rPr>
                <w:sz w:val="20"/>
                <w:szCs w:val="20"/>
              </w:rPr>
              <w:t>8.19</w:t>
            </w:r>
            <w:r w:rsidRPr="00053CF4">
              <w:rPr>
                <w:sz w:val="20"/>
                <w:szCs w:val="20"/>
              </w:rPr>
              <w:t>)</w:t>
            </w:r>
          </w:p>
        </w:tc>
        <w:tc>
          <w:tcPr>
            <w:tcW w:w="1379" w:type="dxa"/>
          </w:tcPr>
          <w:p w14:paraId="617E094B" w14:textId="26CF9BEB" w:rsidR="002F1384" w:rsidRPr="008D2DB8" w:rsidRDefault="002F1384" w:rsidP="002F1384">
            <w:pPr>
              <w:pStyle w:val="TableParagraph"/>
              <w:jc w:val="center"/>
              <w:rPr>
                <w:sz w:val="20"/>
                <w:szCs w:val="20"/>
                <w:highlight w:val="yellow"/>
              </w:rPr>
            </w:pPr>
            <w:r>
              <w:rPr>
                <w:sz w:val="20"/>
                <w:szCs w:val="20"/>
              </w:rPr>
              <w:t>(-2.77)</w:t>
            </w:r>
          </w:p>
        </w:tc>
        <w:tc>
          <w:tcPr>
            <w:tcW w:w="1379" w:type="dxa"/>
          </w:tcPr>
          <w:p w14:paraId="3B3776FC" w14:textId="0194E863" w:rsidR="002F1384" w:rsidRPr="008D2DB8" w:rsidRDefault="002F1384" w:rsidP="002F1384">
            <w:pPr>
              <w:pStyle w:val="TableParagraph"/>
              <w:jc w:val="center"/>
              <w:rPr>
                <w:rFonts w:eastAsia="Calibri" w:cs="Calibri"/>
                <w:sz w:val="20"/>
                <w:szCs w:val="20"/>
                <w:highlight w:val="yellow"/>
              </w:rPr>
            </w:pPr>
            <w:r w:rsidRPr="00053CF4">
              <w:rPr>
                <w:sz w:val="20"/>
                <w:szCs w:val="20"/>
              </w:rPr>
              <w:t>(</w:t>
            </w:r>
            <w:r>
              <w:rPr>
                <w:sz w:val="20"/>
                <w:szCs w:val="20"/>
              </w:rPr>
              <w:t>-3.15</w:t>
            </w:r>
            <w:r w:rsidRPr="00053CF4">
              <w:rPr>
                <w:sz w:val="20"/>
                <w:szCs w:val="20"/>
              </w:rPr>
              <w:t>)</w:t>
            </w:r>
          </w:p>
        </w:tc>
        <w:tc>
          <w:tcPr>
            <w:tcW w:w="1379" w:type="dxa"/>
          </w:tcPr>
          <w:p w14:paraId="59DC7B3C" w14:textId="77777777" w:rsidR="002F1384" w:rsidRPr="008D2DB8" w:rsidRDefault="002F1384" w:rsidP="002F1384">
            <w:pPr>
              <w:jc w:val="center"/>
              <w:rPr>
                <w:sz w:val="20"/>
                <w:szCs w:val="20"/>
                <w:highlight w:val="yellow"/>
              </w:rPr>
            </w:pPr>
          </w:p>
        </w:tc>
        <w:tc>
          <w:tcPr>
            <w:tcW w:w="1379" w:type="dxa"/>
          </w:tcPr>
          <w:p w14:paraId="7A7096E4" w14:textId="77777777" w:rsidR="002F1384" w:rsidRPr="008D2DB8" w:rsidRDefault="002F1384" w:rsidP="002F1384">
            <w:pPr>
              <w:jc w:val="center"/>
              <w:rPr>
                <w:sz w:val="20"/>
                <w:szCs w:val="20"/>
                <w:highlight w:val="yellow"/>
              </w:rPr>
            </w:pPr>
          </w:p>
        </w:tc>
        <w:tc>
          <w:tcPr>
            <w:tcW w:w="1379" w:type="dxa"/>
          </w:tcPr>
          <w:p w14:paraId="4C59B0D3" w14:textId="77777777" w:rsidR="002F1384" w:rsidRPr="008D2DB8" w:rsidRDefault="002F1384" w:rsidP="002F1384">
            <w:pPr>
              <w:jc w:val="center"/>
              <w:rPr>
                <w:sz w:val="20"/>
                <w:szCs w:val="20"/>
                <w:highlight w:val="yellow"/>
              </w:rPr>
            </w:pPr>
          </w:p>
        </w:tc>
      </w:tr>
    </w:tbl>
    <w:p w14:paraId="0B9B10A9" w14:textId="77777777" w:rsidR="00C215BC" w:rsidRDefault="00C215BC" w:rsidP="00C215BC">
      <w:pPr>
        <w:pStyle w:val="BodyText"/>
        <w:ind w:left="0"/>
        <w:jc w:val="center"/>
        <w:rPr>
          <w:rFonts w:asciiTheme="minorHAnsi" w:hAnsiTheme="minorHAnsi" w:cs="Calibri"/>
          <w:b/>
          <w:sz w:val="22"/>
          <w:szCs w:val="22"/>
        </w:rPr>
      </w:pPr>
    </w:p>
    <w:p w14:paraId="56DAC7BC" w14:textId="5A483462" w:rsidR="00C215BC" w:rsidRDefault="00C215BC" w:rsidP="00C215BC">
      <w:pPr>
        <w:pStyle w:val="BodyText"/>
        <w:ind w:left="0"/>
        <w:jc w:val="center"/>
        <w:rPr>
          <w:rFonts w:asciiTheme="minorHAnsi" w:hAnsiTheme="minorHAnsi" w:cs="Calibri"/>
          <w:b/>
          <w:sz w:val="22"/>
          <w:szCs w:val="22"/>
        </w:rPr>
      </w:pPr>
      <w:r w:rsidRPr="008F6147">
        <w:rPr>
          <w:rFonts w:asciiTheme="minorHAnsi" w:hAnsiTheme="minorHAnsi" w:cs="Calibri"/>
          <w:b/>
          <w:sz w:val="22"/>
          <w:szCs w:val="22"/>
        </w:rPr>
        <w:t xml:space="preserve">Table </w:t>
      </w:r>
      <w:r>
        <w:rPr>
          <w:rFonts w:asciiTheme="minorHAnsi" w:hAnsiTheme="minorHAnsi" w:cs="Calibri"/>
          <w:b/>
          <w:sz w:val="22"/>
          <w:szCs w:val="22"/>
        </w:rPr>
        <w:t>7.</w:t>
      </w:r>
      <w:r w:rsidRPr="008F6147">
        <w:rPr>
          <w:rFonts w:asciiTheme="minorHAnsi" w:hAnsiTheme="minorHAnsi" w:cs="Calibri"/>
          <w:b/>
          <w:sz w:val="22"/>
          <w:szCs w:val="22"/>
        </w:rPr>
        <w:t xml:space="preserve"> </w:t>
      </w:r>
      <w:r>
        <w:rPr>
          <w:rFonts w:asciiTheme="minorHAnsi" w:hAnsiTheme="minorHAnsi" w:cs="Calibri"/>
          <w:b/>
          <w:sz w:val="22"/>
          <w:szCs w:val="22"/>
        </w:rPr>
        <w:t>Preferred unrestricted r</w:t>
      </w:r>
      <w:r w:rsidRPr="008F6147">
        <w:rPr>
          <w:rFonts w:asciiTheme="minorHAnsi" w:hAnsiTheme="minorHAnsi" w:cs="Calibri"/>
          <w:b/>
          <w:sz w:val="22"/>
          <w:szCs w:val="22"/>
        </w:rPr>
        <w:t xml:space="preserve">egression </w:t>
      </w:r>
      <w:r>
        <w:rPr>
          <w:rFonts w:asciiTheme="minorHAnsi" w:hAnsiTheme="minorHAnsi" w:cs="Calibri"/>
          <w:b/>
          <w:sz w:val="22"/>
          <w:szCs w:val="22"/>
        </w:rPr>
        <w:t>e</w:t>
      </w:r>
      <w:r w:rsidRPr="008F6147">
        <w:rPr>
          <w:rFonts w:asciiTheme="minorHAnsi" w:hAnsiTheme="minorHAnsi" w:cs="Calibri"/>
          <w:b/>
          <w:sz w:val="22"/>
          <w:szCs w:val="22"/>
        </w:rPr>
        <w:t xml:space="preserve">stimates for </w:t>
      </w:r>
      <w:r>
        <w:rPr>
          <w:rFonts w:asciiTheme="minorHAnsi" w:hAnsiTheme="minorHAnsi" w:cs="Calibri"/>
          <w:b/>
          <w:sz w:val="22"/>
          <w:szCs w:val="22"/>
        </w:rPr>
        <w:t>r</w:t>
      </w:r>
      <w:r w:rsidRPr="008F6147">
        <w:rPr>
          <w:rFonts w:asciiTheme="minorHAnsi" w:hAnsiTheme="minorHAnsi" w:cs="Calibri"/>
          <w:b/>
          <w:sz w:val="22"/>
          <w:szCs w:val="22"/>
        </w:rPr>
        <w:t xml:space="preserve">eal </w:t>
      </w:r>
      <w:r w:rsidR="00FF07B1">
        <w:rPr>
          <w:rFonts w:asciiTheme="minorHAnsi" w:hAnsiTheme="minorHAnsi" w:cs="Calibri"/>
          <w:b/>
          <w:sz w:val="22"/>
          <w:szCs w:val="22"/>
        </w:rPr>
        <w:t xml:space="preserve">domestic </w:t>
      </w:r>
      <w:r>
        <w:rPr>
          <w:rFonts w:asciiTheme="minorHAnsi" w:hAnsiTheme="minorHAnsi" w:cs="Calibri"/>
          <w:b/>
          <w:sz w:val="22"/>
          <w:szCs w:val="22"/>
        </w:rPr>
        <w:t>p</w:t>
      </w:r>
      <w:r w:rsidRPr="008F6147">
        <w:rPr>
          <w:rFonts w:asciiTheme="minorHAnsi" w:hAnsiTheme="minorHAnsi" w:cs="Calibri"/>
          <w:b/>
          <w:sz w:val="22"/>
          <w:szCs w:val="22"/>
        </w:rPr>
        <w:t xml:space="preserve">ork </w:t>
      </w:r>
      <w:r>
        <w:rPr>
          <w:rFonts w:asciiTheme="minorHAnsi" w:hAnsiTheme="minorHAnsi" w:cs="Calibri"/>
          <w:b/>
          <w:sz w:val="22"/>
          <w:szCs w:val="22"/>
        </w:rPr>
        <w:t>m</w:t>
      </w:r>
      <w:r w:rsidRPr="008F6147">
        <w:rPr>
          <w:rFonts w:asciiTheme="minorHAnsi" w:hAnsiTheme="minorHAnsi" w:cs="Calibri"/>
          <w:b/>
          <w:sz w:val="22"/>
          <w:szCs w:val="22"/>
        </w:rPr>
        <w:t xml:space="preserve">argin </w:t>
      </w:r>
      <w:r>
        <w:rPr>
          <w:rFonts w:asciiTheme="minorHAnsi" w:hAnsiTheme="minorHAnsi" w:cs="Calibri"/>
          <w:b/>
          <w:sz w:val="22"/>
          <w:szCs w:val="22"/>
        </w:rPr>
        <w:t>e</w:t>
      </w:r>
      <w:r w:rsidRPr="008F6147">
        <w:rPr>
          <w:rFonts w:asciiTheme="minorHAnsi" w:hAnsiTheme="minorHAnsi" w:cs="Calibri"/>
          <w:b/>
          <w:sz w:val="22"/>
          <w:szCs w:val="22"/>
        </w:rPr>
        <w:t>quations 197</w:t>
      </w:r>
      <w:r w:rsidR="00FF07B1">
        <w:rPr>
          <w:rFonts w:asciiTheme="minorHAnsi" w:hAnsiTheme="minorHAnsi" w:cs="Calibri"/>
          <w:b/>
          <w:sz w:val="22"/>
          <w:szCs w:val="22"/>
        </w:rPr>
        <w:t>6</w:t>
      </w:r>
      <w:r w:rsidRPr="008F6147">
        <w:rPr>
          <w:rFonts w:asciiTheme="minorHAnsi" w:hAnsiTheme="minorHAnsi" w:cs="Calibri"/>
          <w:b/>
          <w:sz w:val="22"/>
          <w:szCs w:val="22"/>
        </w:rPr>
        <w:t xml:space="preserve"> –</w:t>
      </w:r>
      <w:r w:rsidRPr="008F6147">
        <w:rPr>
          <w:rFonts w:asciiTheme="minorHAnsi" w:hAnsiTheme="minorHAnsi" w:cs="Calibri"/>
          <w:b/>
          <w:spacing w:val="-1"/>
          <w:sz w:val="22"/>
          <w:szCs w:val="22"/>
        </w:rPr>
        <w:t xml:space="preserve"> </w:t>
      </w:r>
      <w:r w:rsidRPr="008F6147">
        <w:rPr>
          <w:rFonts w:asciiTheme="minorHAnsi" w:hAnsiTheme="minorHAnsi" w:cs="Calibri"/>
          <w:b/>
          <w:sz w:val="22"/>
          <w:szCs w:val="22"/>
        </w:rPr>
        <w:t>20</w:t>
      </w:r>
      <w:r>
        <w:rPr>
          <w:rFonts w:asciiTheme="minorHAnsi" w:hAnsiTheme="minorHAnsi" w:cs="Calibri"/>
          <w:b/>
          <w:sz w:val="22"/>
          <w:szCs w:val="22"/>
        </w:rPr>
        <w:t xml:space="preserve">21 </w:t>
      </w:r>
      <w:r w:rsidRPr="009203D1">
        <w:rPr>
          <w:rFonts w:cs="Calibri"/>
          <w:b/>
          <w:sz w:val="22"/>
          <w:szCs w:val="22"/>
        </w:rPr>
        <w:t>(</w:t>
      </w:r>
      <w:r w:rsidRPr="009203D1">
        <w:rPr>
          <w:b/>
          <w:w w:val="95"/>
          <w:sz w:val="22"/>
          <w:szCs w:val="22"/>
        </w:rPr>
        <w:t>t</w:t>
      </w:r>
      <w:r w:rsidRPr="009203D1">
        <w:rPr>
          <w:b/>
          <w:sz w:val="22"/>
          <w:szCs w:val="22"/>
        </w:rPr>
        <w:t>-statistics</w:t>
      </w:r>
      <w:r w:rsidRPr="009203D1">
        <w:rPr>
          <w:b/>
          <w:spacing w:val="-4"/>
          <w:sz w:val="22"/>
          <w:szCs w:val="22"/>
        </w:rPr>
        <w:t xml:space="preserve"> </w:t>
      </w:r>
      <w:r w:rsidRPr="009203D1">
        <w:rPr>
          <w:b/>
          <w:sz w:val="22"/>
          <w:szCs w:val="22"/>
        </w:rPr>
        <w:t>are</w:t>
      </w:r>
      <w:r w:rsidRPr="009203D1">
        <w:rPr>
          <w:b/>
          <w:spacing w:val="-4"/>
          <w:sz w:val="22"/>
          <w:szCs w:val="22"/>
        </w:rPr>
        <w:t xml:space="preserve"> </w:t>
      </w:r>
      <w:r w:rsidRPr="009203D1">
        <w:rPr>
          <w:b/>
          <w:sz w:val="22"/>
          <w:szCs w:val="22"/>
        </w:rPr>
        <w:t>in</w:t>
      </w:r>
      <w:r w:rsidRPr="009203D1">
        <w:rPr>
          <w:b/>
          <w:spacing w:val="-4"/>
          <w:sz w:val="22"/>
          <w:szCs w:val="22"/>
        </w:rPr>
        <w:t xml:space="preserve"> </w:t>
      </w:r>
      <w:r w:rsidRPr="009203D1">
        <w:rPr>
          <w:b/>
          <w:sz w:val="22"/>
          <w:szCs w:val="22"/>
        </w:rPr>
        <w:t>brackets)</w:t>
      </w:r>
    </w:p>
    <w:p w14:paraId="222D54CF" w14:textId="77777777" w:rsidR="00C215BC" w:rsidRPr="008F6147" w:rsidRDefault="00C215BC" w:rsidP="00C215BC">
      <w:pPr>
        <w:pStyle w:val="BodyText"/>
        <w:ind w:left="0"/>
        <w:jc w:val="center"/>
        <w:rPr>
          <w:rFonts w:asciiTheme="minorHAnsi" w:hAnsiTheme="minorHAnsi" w:cs="Calibri"/>
          <w:b/>
          <w:sz w:val="22"/>
          <w:szCs w:val="22"/>
        </w:rPr>
      </w:pPr>
    </w:p>
    <w:tbl>
      <w:tblPr>
        <w:tblW w:w="13940" w:type="dxa"/>
        <w:jc w:val="center"/>
        <w:tblBorders>
          <w:top w:val="single" w:sz="4" w:space="0" w:color="BFBFBF"/>
          <w:bottom w:val="single" w:sz="4" w:space="0" w:color="BFBFBF"/>
          <w:insideH w:val="single" w:sz="4" w:space="0" w:color="BFBFBF"/>
        </w:tblBorders>
        <w:tblLayout w:type="fixed"/>
        <w:tblCellMar>
          <w:left w:w="0" w:type="dxa"/>
          <w:right w:w="0" w:type="dxa"/>
        </w:tblCellMar>
        <w:tblLook w:val="01E0" w:firstRow="1" w:lastRow="1" w:firstColumn="1" w:lastColumn="1" w:noHBand="0" w:noVBand="0"/>
      </w:tblPr>
      <w:tblGrid>
        <w:gridCol w:w="1394"/>
        <w:gridCol w:w="1335"/>
        <w:gridCol w:w="1453"/>
        <w:gridCol w:w="1394"/>
        <w:gridCol w:w="1394"/>
        <w:gridCol w:w="1394"/>
        <w:gridCol w:w="1394"/>
        <w:gridCol w:w="1394"/>
        <w:gridCol w:w="1394"/>
        <w:gridCol w:w="1394"/>
      </w:tblGrid>
      <w:tr w:rsidR="00C215BC" w:rsidRPr="009203D1" w14:paraId="65C973E0" w14:textId="77777777" w:rsidTr="00A94739">
        <w:trPr>
          <w:trHeight w:hRule="exact" w:val="268"/>
          <w:jc w:val="center"/>
        </w:trPr>
        <w:tc>
          <w:tcPr>
            <w:tcW w:w="1394" w:type="dxa"/>
          </w:tcPr>
          <w:p w14:paraId="401B570D" w14:textId="77777777" w:rsidR="00C215BC" w:rsidRPr="009203D1" w:rsidRDefault="00C215BC" w:rsidP="00887DB7">
            <w:pPr>
              <w:pStyle w:val="TableParagraph"/>
              <w:jc w:val="center"/>
              <w:rPr>
                <w:rFonts w:eastAsia="Calibri" w:cs="Calibri"/>
                <w:sz w:val="20"/>
                <w:szCs w:val="20"/>
              </w:rPr>
            </w:pPr>
            <w:r w:rsidRPr="009203D1">
              <w:rPr>
                <w:b/>
                <w:sz w:val="20"/>
                <w:szCs w:val="20"/>
              </w:rPr>
              <w:t>Constant</w:t>
            </w:r>
          </w:p>
        </w:tc>
        <w:tc>
          <w:tcPr>
            <w:tcW w:w="1335" w:type="dxa"/>
          </w:tcPr>
          <w:p w14:paraId="73E75CFE" w14:textId="77777777" w:rsidR="00C215BC" w:rsidRPr="009203D1" w:rsidRDefault="00C215BC" w:rsidP="00887DB7">
            <w:pPr>
              <w:pStyle w:val="TableParagraph"/>
              <w:jc w:val="center"/>
              <w:rPr>
                <w:rFonts w:eastAsia="Calibri" w:cs="Calibri"/>
                <w:sz w:val="20"/>
                <w:szCs w:val="20"/>
              </w:rPr>
            </w:pPr>
            <w:r w:rsidRPr="009203D1">
              <w:rPr>
                <w:b/>
                <w:sz w:val="20"/>
                <w:szCs w:val="20"/>
              </w:rPr>
              <w:t>COSTIND</w:t>
            </w:r>
          </w:p>
        </w:tc>
        <w:tc>
          <w:tcPr>
            <w:tcW w:w="1453" w:type="dxa"/>
          </w:tcPr>
          <w:p w14:paraId="0DE78339" w14:textId="77777777" w:rsidR="00C215BC" w:rsidRPr="009203D1" w:rsidRDefault="00C215BC" w:rsidP="00887DB7">
            <w:pPr>
              <w:pStyle w:val="TableParagraph"/>
              <w:jc w:val="center"/>
              <w:rPr>
                <w:rFonts w:eastAsia="Calibri" w:cs="Calibri"/>
                <w:sz w:val="20"/>
                <w:szCs w:val="20"/>
              </w:rPr>
            </w:pPr>
            <w:r w:rsidRPr="009203D1">
              <w:rPr>
                <w:b/>
                <w:sz w:val="20"/>
                <w:szCs w:val="20"/>
              </w:rPr>
              <w:t>DMPK</w:t>
            </w:r>
          </w:p>
        </w:tc>
        <w:tc>
          <w:tcPr>
            <w:tcW w:w="1394" w:type="dxa"/>
          </w:tcPr>
          <w:p w14:paraId="05A1DA6E" w14:textId="77777777" w:rsidR="00C215BC" w:rsidRPr="009203D1" w:rsidRDefault="00C215BC" w:rsidP="00887DB7">
            <w:pPr>
              <w:pStyle w:val="TableParagraph"/>
              <w:jc w:val="center"/>
              <w:rPr>
                <w:rFonts w:eastAsia="Calibri" w:cs="Calibri"/>
                <w:sz w:val="20"/>
                <w:szCs w:val="20"/>
              </w:rPr>
            </w:pPr>
            <w:proofErr w:type="spellStart"/>
            <w:r w:rsidRPr="009203D1">
              <w:rPr>
                <w:b/>
                <w:sz w:val="20"/>
                <w:szCs w:val="20"/>
              </w:rPr>
              <w:t>DMPKi</w:t>
            </w:r>
            <w:proofErr w:type="spellEnd"/>
          </w:p>
        </w:tc>
        <w:tc>
          <w:tcPr>
            <w:tcW w:w="1394" w:type="dxa"/>
          </w:tcPr>
          <w:p w14:paraId="2D4574B2" w14:textId="77777777" w:rsidR="00C215BC" w:rsidRPr="009203D1" w:rsidRDefault="00C215BC" w:rsidP="00887DB7">
            <w:pPr>
              <w:pStyle w:val="TableParagraph"/>
              <w:jc w:val="center"/>
              <w:rPr>
                <w:rFonts w:eastAsia="Calibri" w:cs="Calibri"/>
                <w:sz w:val="20"/>
                <w:szCs w:val="20"/>
              </w:rPr>
            </w:pPr>
            <w:r w:rsidRPr="009203D1">
              <w:rPr>
                <w:b/>
                <w:sz w:val="20"/>
                <w:szCs w:val="20"/>
              </w:rPr>
              <w:t>TIME</w:t>
            </w:r>
          </w:p>
        </w:tc>
        <w:tc>
          <w:tcPr>
            <w:tcW w:w="1394" w:type="dxa"/>
          </w:tcPr>
          <w:p w14:paraId="5C9A961F" w14:textId="77777777" w:rsidR="00C215BC" w:rsidRPr="009203D1" w:rsidRDefault="00C215BC" w:rsidP="00887DB7">
            <w:pPr>
              <w:pStyle w:val="TableParagraph"/>
              <w:jc w:val="center"/>
              <w:rPr>
                <w:b/>
                <w:sz w:val="20"/>
                <w:szCs w:val="20"/>
              </w:rPr>
            </w:pPr>
            <w:r w:rsidRPr="009203D1">
              <w:rPr>
                <w:b/>
                <w:sz w:val="20"/>
                <w:szCs w:val="20"/>
              </w:rPr>
              <w:t>DUM90</w:t>
            </w:r>
          </w:p>
        </w:tc>
        <w:tc>
          <w:tcPr>
            <w:tcW w:w="1394" w:type="dxa"/>
          </w:tcPr>
          <w:p w14:paraId="317E0BB7" w14:textId="77777777" w:rsidR="00C215BC" w:rsidRPr="009203D1" w:rsidRDefault="00C215BC" w:rsidP="00887DB7">
            <w:pPr>
              <w:pStyle w:val="TableParagraph"/>
              <w:jc w:val="center"/>
              <w:rPr>
                <w:rFonts w:eastAsia="Calibri" w:cs="Calibri"/>
                <w:sz w:val="20"/>
                <w:szCs w:val="20"/>
              </w:rPr>
            </w:pPr>
            <w:r w:rsidRPr="009203D1">
              <w:rPr>
                <w:b/>
                <w:sz w:val="20"/>
                <w:szCs w:val="20"/>
              </w:rPr>
              <w:t>RHO</w:t>
            </w:r>
          </w:p>
        </w:tc>
        <w:tc>
          <w:tcPr>
            <w:tcW w:w="1394" w:type="dxa"/>
          </w:tcPr>
          <w:p w14:paraId="4B9426E6" w14:textId="77777777" w:rsidR="00C215BC" w:rsidRPr="009203D1" w:rsidRDefault="00C215BC" w:rsidP="00887DB7">
            <w:pPr>
              <w:pStyle w:val="TableParagraph"/>
              <w:jc w:val="center"/>
              <w:rPr>
                <w:rFonts w:eastAsia="Calibri" w:cs="Calibri"/>
                <w:sz w:val="20"/>
                <w:szCs w:val="20"/>
              </w:rPr>
            </w:pPr>
            <w:r w:rsidRPr="009203D1">
              <w:rPr>
                <w:b/>
                <w:sz w:val="20"/>
                <w:szCs w:val="20"/>
              </w:rPr>
              <w:t>R</w:t>
            </w:r>
            <w:r w:rsidRPr="009203D1">
              <w:rPr>
                <w:b/>
                <w:sz w:val="20"/>
                <w:szCs w:val="20"/>
                <w:vertAlign w:val="superscript"/>
              </w:rPr>
              <w:t>2</w:t>
            </w:r>
          </w:p>
        </w:tc>
        <w:tc>
          <w:tcPr>
            <w:tcW w:w="1394" w:type="dxa"/>
          </w:tcPr>
          <w:p w14:paraId="0DA520F8" w14:textId="77777777" w:rsidR="00C215BC" w:rsidRPr="009203D1" w:rsidRDefault="00C215BC" w:rsidP="00887DB7">
            <w:pPr>
              <w:pStyle w:val="TableParagraph"/>
              <w:jc w:val="center"/>
              <w:rPr>
                <w:rFonts w:eastAsia="Calibri" w:cs="Calibri"/>
                <w:sz w:val="20"/>
                <w:szCs w:val="20"/>
              </w:rPr>
            </w:pPr>
            <w:r w:rsidRPr="009203D1">
              <w:rPr>
                <w:b/>
                <w:sz w:val="20"/>
                <w:szCs w:val="20"/>
              </w:rPr>
              <w:t>DW</w:t>
            </w:r>
          </w:p>
        </w:tc>
        <w:tc>
          <w:tcPr>
            <w:tcW w:w="1394" w:type="dxa"/>
          </w:tcPr>
          <w:p w14:paraId="12EE94A7" w14:textId="77777777" w:rsidR="00C215BC" w:rsidRPr="009203D1" w:rsidRDefault="00C215BC" w:rsidP="00887DB7">
            <w:pPr>
              <w:pStyle w:val="TableParagraph"/>
              <w:jc w:val="center"/>
              <w:rPr>
                <w:rFonts w:eastAsia="Calibri" w:cs="Calibri"/>
                <w:sz w:val="20"/>
                <w:szCs w:val="20"/>
              </w:rPr>
            </w:pPr>
            <w:r w:rsidRPr="009203D1">
              <w:rPr>
                <w:b/>
                <w:sz w:val="20"/>
                <w:szCs w:val="20"/>
              </w:rPr>
              <w:t>Method</w:t>
            </w:r>
          </w:p>
        </w:tc>
      </w:tr>
      <w:tr w:rsidR="00C215BC" w:rsidRPr="009203D1" w14:paraId="3BDED23F" w14:textId="77777777" w:rsidTr="00A94739">
        <w:trPr>
          <w:trHeight w:hRule="exact" w:val="268"/>
          <w:jc w:val="center"/>
        </w:trPr>
        <w:tc>
          <w:tcPr>
            <w:tcW w:w="1394" w:type="dxa"/>
            <w:shd w:val="clear" w:color="auto" w:fill="F2F2F2"/>
          </w:tcPr>
          <w:p w14:paraId="7C6F54D4" w14:textId="77777777" w:rsidR="00C215BC" w:rsidRPr="007638CB" w:rsidRDefault="00C215BC" w:rsidP="00887DB7">
            <w:pPr>
              <w:pStyle w:val="TableParagraph"/>
              <w:jc w:val="center"/>
              <w:rPr>
                <w:sz w:val="20"/>
                <w:szCs w:val="20"/>
              </w:rPr>
            </w:pPr>
            <w:r>
              <w:rPr>
                <w:sz w:val="20"/>
                <w:szCs w:val="20"/>
              </w:rPr>
              <w:t>362.37</w:t>
            </w:r>
          </w:p>
          <w:p w14:paraId="56163DE7" w14:textId="77777777" w:rsidR="00C215BC" w:rsidRPr="007638CB" w:rsidRDefault="00C215BC" w:rsidP="00887DB7">
            <w:pPr>
              <w:pStyle w:val="TableParagraph"/>
              <w:jc w:val="center"/>
              <w:rPr>
                <w:rFonts w:eastAsia="Calibri" w:cs="Calibri"/>
                <w:sz w:val="20"/>
                <w:szCs w:val="20"/>
              </w:rPr>
            </w:pPr>
            <w:r w:rsidRPr="007638CB">
              <w:rPr>
                <w:sz w:val="20"/>
                <w:szCs w:val="20"/>
              </w:rPr>
              <w:t>526.3212</w:t>
            </w:r>
          </w:p>
        </w:tc>
        <w:tc>
          <w:tcPr>
            <w:tcW w:w="1335" w:type="dxa"/>
            <w:shd w:val="clear" w:color="auto" w:fill="F2F2F2"/>
          </w:tcPr>
          <w:p w14:paraId="2E51AE8C" w14:textId="77777777" w:rsidR="00C215BC" w:rsidRPr="007638CB" w:rsidRDefault="00C215BC" w:rsidP="00887DB7">
            <w:pPr>
              <w:pStyle w:val="TableParagraph"/>
              <w:jc w:val="center"/>
              <w:rPr>
                <w:rFonts w:eastAsia="Calibri" w:cs="Calibri"/>
                <w:sz w:val="20"/>
                <w:szCs w:val="20"/>
              </w:rPr>
            </w:pPr>
            <w:r w:rsidRPr="007638CB">
              <w:rPr>
                <w:sz w:val="20"/>
                <w:szCs w:val="20"/>
              </w:rPr>
              <w:t>0.</w:t>
            </w:r>
            <w:r>
              <w:rPr>
                <w:sz w:val="20"/>
                <w:szCs w:val="20"/>
              </w:rPr>
              <w:t>711</w:t>
            </w:r>
          </w:p>
        </w:tc>
        <w:tc>
          <w:tcPr>
            <w:tcW w:w="1453" w:type="dxa"/>
            <w:shd w:val="clear" w:color="auto" w:fill="F2F2F2"/>
          </w:tcPr>
          <w:p w14:paraId="0EA1EC5B" w14:textId="77777777" w:rsidR="00C215BC" w:rsidRPr="007638CB" w:rsidRDefault="00C215BC" w:rsidP="00887DB7">
            <w:pPr>
              <w:pStyle w:val="TableParagraph"/>
              <w:jc w:val="center"/>
              <w:rPr>
                <w:rFonts w:eastAsia="Calibri" w:cs="Calibri"/>
                <w:sz w:val="20"/>
                <w:szCs w:val="20"/>
              </w:rPr>
            </w:pPr>
            <w:r w:rsidRPr="007638CB">
              <w:rPr>
                <w:sz w:val="20"/>
                <w:szCs w:val="20"/>
              </w:rPr>
              <w:t>-0.</w:t>
            </w:r>
            <w:r>
              <w:rPr>
                <w:sz w:val="20"/>
                <w:szCs w:val="20"/>
              </w:rPr>
              <w:t>369</w:t>
            </w:r>
          </w:p>
        </w:tc>
        <w:tc>
          <w:tcPr>
            <w:tcW w:w="1394" w:type="dxa"/>
            <w:shd w:val="clear" w:color="auto" w:fill="F2F2F2"/>
          </w:tcPr>
          <w:p w14:paraId="74F51B13" w14:textId="77777777" w:rsidR="00C215BC" w:rsidRPr="007638CB" w:rsidRDefault="00C215BC" w:rsidP="00887DB7">
            <w:pPr>
              <w:pStyle w:val="TableParagraph"/>
              <w:jc w:val="center"/>
              <w:rPr>
                <w:rFonts w:eastAsia="Calibri" w:cs="Calibri"/>
                <w:b/>
                <w:sz w:val="20"/>
                <w:szCs w:val="20"/>
              </w:rPr>
            </w:pPr>
            <w:r>
              <w:rPr>
                <w:b/>
                <w:sz w:val="20"/>
                <w:szCs w:val="20"/>
              </w:rPr>
              <w:t>93.909</w:t>
            </w:r>
          </w:p>
        </w:tc>
        <w:tc>
          <w:tcPr>
            <w:tcW w:w="1394" w:type="dxa"/>
            <w:shd w:val="clear" w:color="auto" w:fill="F2F2F2"/>
          </w:tcPr>
          <w:p w14:paraId="7A1C94B2" w14:textId="77777777" w:rsidR="00C215BC" w:rsidRPr="007638CB" w:rsidRDefault="00C215BC" w:rsidP="00887DB7">
            <w:pPr>
              <w:pStyle w:val="TableParagraph"/>
              <w:jc w:val="center"/>
              <w:rPr>
                <w:rFonts w:eastAsia="Calibri" w:cs="Calibri"/>
                <w:sz w:val="20"/>
                <w:szCs w:val="20"/>
              </w:rPr>
            </w:pPr>
            <w:r>
              <w:rPr>
                <w:sz w:val="20"/>
                <w:szCs w:val="20"/>
              </w:rPr>
              <w:t>0.980</w:t>
            </w:r>
          </w:p>
        </w:tc>
        <w:tc>
          <w:tcPr>
            <w:tcW w:w="1394" w:type="dxa"/>
            <w:shd w:val="clear" w:color="auto" w:fill="F2F2F2"/>
          </w:tcPr>
          <w:p w14:paraId="358166FA" w14:textId="77777777" w:rsidR="00C215BC" w:rsidRPr="007638CB" w:rsidRDefault="00C215BC" w:rsidP="00887DB7">
            <w:pPr>
              <w:pStyle w:val="TableParagraph"/>
              <w:jc w:val="center"/>
              <w:rPr>
                <w:sz w:val="20"/>
                <w:szCs w:val="20"/>
              </w:rPr>
            </w:pPr>
            <w:r w:rsidRPr="007638CB">
              <w:rPr>
                <w:sz w:val="20"/>
                <w:szCs w:val="20"/>
              </w:rPr>
              <w:t>-</w:t>
            </w:r>
            <w:r>
              <w:rPr>
                <w:sz w:val="20"/>
                <w:szCs w:val="20"/>
              </w:rPr>
              <w:t>47.216</w:t>
            </w:r>
          </w:p>
        </w:tc>
        <w:tc>
          <w:tcPr>
            <w:tcW w:w="1394" w:type="dxa"/>
            <w:shd w:val="clear" w:color="auto" w:fill="F2F2F2"/>
          </w:tcPr>
          <w:p w14:paraId="40585777" w14:textId="77777777" w:rsidR="00C215BC" w:rsidRPr="007638CB" w:rsidRDefault="00C215BC" w:rsidP="00887DB7">
            <w:pPr>
              <w:pStyle w:val="TableParagraph"/>
              <w:jc w:val="center"/>
              <w:rPr>
                <w:rFonts w:eastAsia="Calibri" w:cs="Calibri"/>
                <w:sz w:val="20"/>
                <w:szCs w:val="20"/>
              </w:rPr>
            </w:pPr>
            <w:r>
              <w:rPr>
                <w:sz w:val="20"/>
                <w:szCs w:val="20"/>
              </w:rPr>
              <w:t>-</w:t>
            </w:r>
            <w:r w:rsidRPr="007638CB">
              <w:rPr>
                <w:sz w:val="20"/>
                <w:szCs w:val="20"/>
              </w:rPr>
              <w:t>0.</w:t>
            </w:r>
            <w:r>
              <w:rPr>
                <w:sz w:val="20"/>
                <w:szCs w:val="20"/>
              </w:rPr>
              <w:t>996</w:t>
            </w:r>
          </w:p>
        </w:tc>
        <w:tc>
          <w:tcPr>
            <w:tcW w:w="1394" w:type="dxa"/>
            <w:shd w:val="clear" w:color="auto" w:fill="F2F2F2"/>
          </w:tcPr>
          <w:p w14:paraId="1820577C" w14:textId="77777777" w:rsidR="00C215BC" w:rsidRPr="007638CB" w:rsidRDefault="00C215BC" w:rsidP="00887DB7">
            <w:pPr>
              <w:pStyle w:val="TableParagraph"/>
              <w:jc w:val="center"/>
              <w:rPr>
                <w:rFonts w:eastAsia="Calibri" w:cs="Calibri"/>
                <w:sz w:val="20"/>
                <w:szCs w:val="20"/>
              </w:rPr>
            </w:pPr>
            <w:r w:rsidRPr="007638CB">
              <w:rPr>
                <w:sz w:val="20"/>
                <w:szCs w:val="20"/>
              </w:rPr>
              <w:t>0.</w:t>
            </w:r>
            <w:r>
              <w:rPr>
                <w:sz w:val="20"/>
                <w:szCs w:val="20"/>
              </w:rPr>
              <w:t>98</w:t>
            </w:r>
          </w:p>
        </w:tc>
        <w:tc>
          <w:tcPr>
            <w:tcW w:w="1394" w:type="dxa"/>
            <w:shd w:val="clear" w:color="auto" w:fill="F2F2F2"/>
          </w:tcPr>
          <w:p w14:paraId="2BC8EF10" w14:textId="77777777" w:rsidR="00C215BC" w:rsidRPr="007638CB" w:rsidRDefault="00C215BC" w:rsidP="00887DB7">
            <w:pPr>
              <w:pStyle w:val="TableParagraph"/>
              <w:jc w:val="center"/>
              <w:rPr>
                <w:rFonts w:eastAsia="Calibri" w:cs="Calibri"/>
                <w:sz w:val="20"/>
                <w:szCs w:val="20"/>
              </w:rPr>
            </w:pPr>
            <w:r>
              <w:rPr>
                <w:sz w:val="20"/>
                <w:szCs w:val="20"/>
              </w:rPr>
              <w:t>0.74</w:t>
            </w:r>
          </w:p>
        </w:tc>
        <w:tc>
          <w:tcPr>
            <w:tcW w:w="1394" w:type="dxa"/>
            <w:shd w:val="clear" w:color="auto" w:fill="F2F2F2"/>
          </w:tcPr>
          <w:p w14:paraId="5688096F" w14:textId="77777777" w:rsidR="00C215BC" w:rsidRPr="002D4398" w:rsidRDefault="00C215BC" w:rsidP="00887DB7">
            <w:pPr>
              <w:pStyle w:val="TableParagraph"/>
              <w:jc w:val="center"/>
              <w:rPr>
                <w:rFonts w:eastAsia="Calibri" w:cs="Calibri"/>
                <w:sz w:val="20"/>
                <w:szCs w:val="20"/>
              </w:rPr>
            </w:pPr>
            <w:r w:rsidRPr="002D4398">
              <w:rPr>
                <w:sz w:val="20"/>
                <w:szCs w:val="20"/>
              </w:rPr>
              <w:t>OLS-AR1</w:t>
            </w:r>
          </w:p>
        </w:tc>
      </w:tr>
      <w:tr w:rsidR="00C215BC" w:rsidRPr="009203D1" w14:paraId="66E63B7A" w14:textId="77777777" w:rsidTr="00A94739">
        <w:trPr>
          <w:trHeight w:hRule="exact" w:val="268"/>
          <w:jc w:val="center"/>
        </w:trPr>
        <w:tc>
          <w:tcPr>
            <w:tcW w:w="1394" w:type="dxa"/>
          </w:tcPr>
          <w:p w14:paraId="6E349C71" w14:textId="77777777" w:rsidR="00C215BC" w:rsidRPr="007638CB" w:rsidRDefault="00C215BC" w:rsidP="00887DB7">
            <w:pPr>
              <w:pStyle w:val="TableParagraph"/>
              <w:jc w:val="center"/>
              <w:rPr>
                <w:rFonts w:eastAsia="Calibri" w:cs="Calibri"/>
                <w:sz w:val="20"/>
                <w:szCs w:val="20"/>
              </w:rPr>
            </w:pPr>
            <w:r w:rsidRPr="007638CB">
              <w:rPr>
                <w:sz w:val="20"/>
                <w:szCs w:val="20"/>
              </w:rPr>
              <w:t>(</w:t>
            </w:r>
            <w:r>
              <w:rPr>
                <w:sz w:val="20"/>
                <w:szCs w:val="20"/>
              </w:rPr>
              <w:t>7.32</w:t>
            </w:r>
            <w:r w:rsidRPr="007638CB">
              <w:rPr>
                <w:sz w:val="20"/>
                <w:szCs w:val="20"/>
              </w:rPr>
              <w:t>)</w:t>
            </w:r>
          </w:p>
        </w:tc>
        <w:tc>
          <w:tcPr>
            <w:tcW w:w="1335" w:type="dxa"/>
          </w:tcPr>
          <w:p w14:paraId="736287EB" w14:textId="77777777" w:rsidR="00C215BC" w:rsidRPr="007638CB" w:rsidRDefault="00C215BC" w:rsidP="00887DB7">
            <w:pPr>
              <w:pStyle w:val="TableParagraph"/>
              <w:jc w:val="center"/>
              <w:rPr>
                <w:rFonts w:eastAsia="Calibri" w:cs="Calibri"/>
                <w:sz w:val="20"/>
                <w:szCs w:val="20"/>
              </w:rPr>
            </w:pPr>
            <w:r w:rsidRPr="007638CB">
              <w:rPr>
                <w:sz w:val="20"/>
                <w:szCs w:val="20"/>
              </w:rPr>
              <w:t>(1.</w:t>
            </w:r>
            <w:r>
              <w:rPr>
                <w:sz w:val="20"/>
                <w:szCs w:val="20"/>
              </w:rPr>
              <w:t>40</w:t>
            </w:r>
            <w:r w:rsidRPr="007638CB">
              <w:rPr>
                <w:sz w:val="20"/>
                <w:szCs w:val="20"/>
              </w:rPr>
              <w:t>)</w:t>
            </w:r>
          </w:p>
        </w:tc>
        <w:tc>
          <w:tcPr>
            <w:tcW w:w="1453" w:type="dxa"/>
          </w:tcPr>
          <w:p w14:paraId="26053FBA" w14:textId="77777777" w:rsidR="00C215BC" w:rsidRPr="007638CB" w:rsidRDefault="00C215BC" w:rsidP="00887DB7">
            <w:pPr>
              <w:pStyle w:val="TableParagraph"/>
              <w:jc w:val="center"/>
              <w:rPr>
                <w:rFonts w:eastAsia="Calibri" w:cs="Calibri"/>
                <w:sz w:val="20"/>
                <w:szCs w:val="20"/>
              </w:rPr>
            </w:pPr>
            <w:r w:rsidRPr="007638CB">
              <w:rPr>
                <w:sz w:val="20"/>
                <w:szCs w:val="20"/>
              </w:rPr>
              <w:t>(-</w:t>
            </w:r>
            <w:r>
              <w:rPr>
                <w:sz w:val="20"/>
                <w:szCs w:val="20"/>
              </w:rPr>
              <w:t>1.32</w:t>
            </w:r>
            <w:r w:rsidRPr="007638CB">
              <w:rPr>
                <w:sz w:val="20"/>
                <w:szCs w:val="20"/>
              </w:rPr>
              <w:t>)</w:t>
            </w:r>
          </w:p>
        </w:tc>
        <w:tc>
          <w:tcPr>
            <w:tcW w:w="1394" w:type="dxa"/>
          </w:tcPr>
          <w:p w14:paraId="326A9811" w14:textId="77777777" w:rsidR="00C215BC" w:rsidRPr="007638CB" w:rsidRDefault="00C215BC" w:rsidP="00887DB7">
            <w:pPr>
              <w:pStyle w:val="TableParagraph"/>
              <w:jc w:val="center"/>
              <w:rPr>
                <w:rFonts w:eastAsia="Calibri" w:cs="Calibri"/>
                <w:b/>
                <w:sz w:val="20"/>
                <w:szCs w:val="20"/>
              </w:rPr>
            </w:pPr>
            <w:r w:rsidRPr="007638CB">
              <w:rPr>
                <w:b/>
                <w:sz w:val="20"/>
                <w:szCs w:val="20"/>
              </w:rPr>
              <w:t>(</w:t>
            </w:r>
            <w:r>
              <w:rPr>
                <w:b/>
                <w:sz w:val="20"/>
                <w:szCs w:val="20"/>
              </w:rPr>
              <w:t>2.45</w:t>
            </w:r>
            <w:r w:rsidRPr="007638CB">
              <w:rPr>
                <w:b/>
                <w:sz w:val="20"/>
                <w:szCs w:val="20"/>
              </w:rPr>
              <w:t>)</w:t>
            </w:r>
          </w:p>
        </w:tc>
        <w:tc>
          <w:tcPr>
            <w:tcW w:w="1394" w:type="dxa"/>
          </w:tcPr>
          <w:p w14:paraId="3E588151" w14:textId="77777777" w:rsidR="00C215BC" w:rsidRPr="007638CB" w:rsidRDefault="00C215BC" w:rsidP="00887DB7">
            <w:pPr>
              <w:pStyle w:val="TableParagraph"/>
              <w:jc w:val="center"/>
              <w:rPr>
                <w:rFonts w:eastAsia="Calibri" w:cs="Calibri"/>
                <w:sz w:val="20"/>
                <w:szCs w:val="20"/>
              </w:rPr>
            </w:pPr>
            <w:r w:rsidRPr="007638CB">
              <w:rPr>
                <w:sz w:val="20"/>
                <w:szCs w:val="20"/>
              </w:rPr>
              <w:t>(</w:t>
            </w:r>
            <w:r>
              <w:rPr>
                <w:sz w:val="20"/>
                <w:szCs w:val="20"/>
              </w:rPr>
              <w:t>0.55</w:t>
            </w:r>
            <w:r w:rsidRPr="007638CB">
              <w:rPr>
                <w:sz w:val="20"/>
                <w:szCs w:val="20"/>
              </w:rPr>
              <w:t>)</w:t>
            </w:r>
          </w:p>
        </w:tc>
        <w:tc>
          <w:tcPr>
            <w:tcW w:w="1394" w:type="dxa"/>
          </w:tcPr>
          <w:p w14:paraId="6465E2A8" w14:textId="77777777" w:rsidR="00C215BC" w:rsidRPr="007638CB" w:rsidRDefault="00C215BC" w:rsidP="00887DB7">
            <w:pPr>
              <w:pStyle w:val="TableParagraph"/>
              <w:jc w:val="center"/>
              <w:rPr>
                <w:sz w:val="20"/>
                <w:szCs w:val="20"/>
              </w:rPr>
            </w:pPr>
            <w:r w:rsidRPr="007638CB">
              <w:rPr>
                <w:sz w:val="20"/>
                <w:szCs w:val="20"/>
              </w:rPr>
              <w:t>(-</w:t>
            </w:r>
            <w:r>
              <w:rPr>
                <w:sz w:val="20"/>
                <w:szCs w:val="20"/>
              </w:rPr>
              <w:t>2.36</w:t>
            </w:r>
            <w:r w:rsidRPr="007638CB">
              <w:rPr>
                <w:sz w:val="20"/>
                <w:szCs w:val="20"/>
              </w:rPr>
              <w:t>)</w:t>
            </w:r>
          </w:p>
        </w:tc>
        <w:tc>
          <w:tcPr>
            <w:tcW w:w="1394" w:type="dxa"/>
          </w:tcPr>
          <w:p w14:paraId="33B525E4" w14:textId="77777777" w:rsidR="00C215BC" w:rsidRPr="007638CB" w:rsidRDefault="00C215BC" w:rsidP="00887DB7">
            <w:pPr>
              <w:pStyle w:val="TableParagraph"/>
              <w:jc w:val="center"/>
              <w:rPr>
                <w:rFonts w:eastAsia="Calibri" w:cs="Calibri"/>
                <w:sz w:val="20"/>
                <w:szCs w:val="20"/>
              </w:rPr>
            </w:pPr>
            <w:r w:rsidRPr="007638CB">
              <w:rPr>
                <w:sz w:val="20"/>
                <w:szCs w:val="20"/>
              </w:rPr>
              <w:t>(</w:t>
            </w:r>
            <w:r>
              <w:rPr>
                <w:sz w:val="20"/>
                <w:szCs w:val="20"/>
              </w:rPr>
              <w:t>-205.22</w:t>
            </w:r>
            <w:r w:rsidRPr="007638CB">
              <w:rPr>
                <w:sz w:val="20"/>
                <w:szCs w:val="20"/>
              </w:rPr>
              <w:t>)</w:t>
            </w:r>
          </w:p>
        </w:tc>
        <w:tc>
          <w:tcPr>
            <w:tcW w:w="1394" w:type="dxa"/>
          </w:tcPr>
          <w:p w14:paraId="477B7405" w14:textId="77777777" w:rsidR="00C215BC" w:rsidRPr="007638CB" w:rsidRDefault="00C215BC" w:rsidP="00887DB7">
            <w:pPr>
              <w:jc w:val="center"/>
              <w:rPr>
                <w:sz w:val="20"/>
                <w:szCs w:val="20"/>
              </w:rPr>
            </w:pPr>
          </w:p>
        </w:tc>
        <w:tc>
          <w:tcPr>
            <w:tcW w:w="1394" w:type="dxa"/>
          </w:tcPr>
          <w:p w14:paraId="661EB5A3" w14:textId="77777777" w:rsidR="00C215BC" w:rsidRPr="007638CB" w:rsidRDefault="00C215BC" w:rsidP="00887DB7">
            <w:pPr>
              <w:jc w:val="center"/>
              <w:rPr>
                <w:sz w:val="20"/>
                <w:szCs w:val="20"/>
              </w:rPr>
            </w:pPr>
          </w:p>
        </w:tc>
        <w:tc>
          <w:tcPr>
            <w:tcW w:w="1394" w:type="dxa"/>
          </w:tcPr>
          <w:p w14:paraId="432B158B" w14:textId="77777777" w:rsidR="00C215BC" w:rsidRPr="002D4398" w:rsidRDefault="00C215BC" w:rsidP="00887DB7">
            <w:pPr>
              <w:jc w:val="center"/>
              <w:rPr>
                <w:sz w:val="20"/>
                <w:szCs w:val="20"/>
              </w:rPr>
            </w:pPr>
          </w:p>
        </w:tc>
      </w:tr>
      <w:tr w:rsidR="00C215BC" w:rsidRPr="009203D1" w14:paraId="5E22DFB4" w14:textId="77777777" w:rsidTr="00A94739">
        <w:trPr>
          <w:trHeight w:hRule="exact" w:val="268"/>
          <w:jc w:val="center"/>
        </w:trPr>
        <w:tc>
          <w:tcPr>
            <w:tcW w:w="1394" w:type="dxa"/>
            <w:shd w:val="clear" w:color="auto" w:fill="F2F2F2"/>
          </w:tcPr>
          <w:p w14:paraId="2984AA30" w14:textId="77777777" w:rsidR="00C215BC" w:rsidRPr="007638CB" w:rsidRDefault="00C215BC" w:rsidP="00887DB7">
            <w:pPr>
              <w:pStyle w:val="TableParagraph"/>
              <w:jc w:val="center"/>
              <w:rPr>
                <w:rFonts w:eastAsia="Calibri" w:cs="Calibri"/>
                <w:sz w:val="20"/>
                <w:szCs w:val="20"/>
              </w:rPr>
            </w:pPr>
            <w:r>
              <w:rPr>
                <w:sz w:val="20"/>
                <w:szCs w:val="20"/>
              </w:rPr>
              <w:t>400.37</w:t>
            </w:r>
          </w:p>
        </w:tc>
        <w:tc>
          <w:tcPr>
            <w:tcW w:w="1335" w:type="dxa"/>
            <w:shd w:val="clear" w:color="auto" w:fill="F2F2F2"/>
          </w:tcPr>
          <w:p w14:paraId="6181B85F" w14:textId="77777777" w:rsidR="00C215BC" w:rsidRPr="007638CB" w:rsidRDefault="00C215BC" w:rsidP="00887DB7">
            <w:pPr>
              <w:pStyle w:val="TableParagraph"/>
              <w:jc w:val="center"/>
              <w:rPr>
                <w:rFonts w:eastAsia="Calibri" w:cs="Calibri"/>
                <w:sz w:val="20"/>
                <w:szCs w:val="20"/>
              </w:rPr>
            </w:pPr>
            <w:r w:rsidRPr="007638CB">
              <w:rPr>
                <w:sz w:val="20"/>
                <w:szCs w:val="20"/>
              </w:rPr>
              <w:t>0.2</w:t>
            </w:r>
            <w:r>
              <w:rPr>
                <w:sz w:val="20"/>
                <w:szCs w:val="20"/>
              </w:rPr>
              <w:t>56</w:t>
            </w:r>
          </w:p>
        </w:tc>
        <w:tc>
          <w:tcPr>
            <w:tcW w:w="1453" w:type="dxa"/>
            <w:shd w:val="clear" w:color="auto" w:fill="F2F2F2"/>
          </w:tcPr>
          <w:p w14:paraId="488AF28C" w14:textId="77777777" w:rsidR="00C215BC" w:rsidRPr="007638CB" w:rsidRDefault="00C215BC" w:rsidP="00887DB7">
            <w:pPr>
              <w:pStyle w:val="TableParagraph"/>
              <w:jc w:val="center"/>
              <w:rPr>
                <w:rFonts w:eastAsia="Calibri" w:cs="Calibri"/>
                <w:sz w:val="20"/>
                <w:szCs w:val="20"/>
              </w:rPr>
            </w:pPr>
            <w:r w:rsidRPr="007638CB">
              <w:rPr>
                <w:sz w:val="20"/>
                <w:szCs w:val="20"/>
              </w:rPr>
              <w:t>-0.2</w:t>
            </w:r>
            <w:r>
              <w:rPr>
                <w:sz w:val="20"/>
                <w:szCs w:val="20"/>
              </w:rPr>
              <w:t>17</w:t>
            </w:r>
          </w:p>
        </w:tc>
        <w:tc>
          <w:tcPr>
            <w:tcW w:w="1394" w:type="dxa"/>
            <w:shd w:val="clear" w:color="auto" w:fill="F2F2F2"/>
          </w:tcPr>
          <w:p w14:paraId="1587BD21" w14:textId="77777777" w:rsidR="00C215BC" w:rsidRPr="007638CB" w:rsidRDefault="00C215BC" w:rsidP="00887DB7">
            <w:pPr>
              <w:pStyle w:val="TableParagraph"/>
              <w:jc w:val="center"/>
              <w:rPr>
                <w:rFonts w:eastAsia="Calibri" w:cs="Calibri"/>
                <w:b/>
                <w:sz w:val="20"/>
                <w:szCs w:val="20"/>
              </w:rPr>
            </w:pPr>
            <w:r>
              <w:rPr>
                <w:b/>
                <w:sz w:val="20"/>
                <w:szCs w:val="20"/>
              </w:rPr>
              <w:t>92.67</w:t>
            </w:r>
          </w:p>
        </w:tc>
        <w:tc>
          <w:tcPr>
            <w:tcW w:w="1394" w:type="dxa"/>
            <w:shd w:val="clear" w:color="auto" w:fill="F2F2F2"/>
          </w:tcPr>
          <w:p w14:paraId="136F4D6B" w14:textId="77777777" w:rsidR="00C215BC" w:rsidRPr="007638CB" w:rsidRDefault="00C215BC" w:rsidP="00887DB7">
            <w:pPr>
              <w:pStyle w:val="TableParagraph"/>
              <w:jc w:val="center"/>
              <w:rPr>
                <w:rFonts w:eastAsia="Calibri" w:cs="Calibri"/>
                <w:sz w:val="20"/>
                <w:szCs w:val="20"/>
              </w:rPr>
            </w:pPr>
          </w:p>
        </w:tc>
        <w:tc>
          <w:tcPr>
            <w:tcW w:w="1394" w:type="dxa"/>
            <w:shd w:val="clear" w:color="auto" w:fill="F2F2F2"/>
          </w:tcPr>
          <w:p w14:paraId="2FF9BEB7" w14:textId="77777777" w:rsidR="00C215BC" w:rsidRPr="007638CB" w:rsidRDefault="00C215BC" w:rsidP="00887DB7">
            <w:pPr>
              <w:pStyle w:val="TableParagraph"/>
              <w:jc w:val="center"/>
              <w:rPr>
                <w:sz w:val="20"/>
                <w:szCs w:val="20"/>
              </w:rPr>
            </w:pPr>
            <w:r w:rsidRPr="007638CB">
              <w:rPr>
                <w:sz w:val="20"/>
                <w:szCs w:val="20"/>
              </w:rPr>
              <w:t>-</w:t>
            </w:r>
            <w:r>
              <w:rPr>
                <w:sz w:val="20"/>
                <w:szCs w:val="20"/>
              </w:rPr>
              <w:t>55</w:t>
            </w:r>
            <w:r w:rsidRPr="007638CB">
              <w:rPr>
                <w:sz w:val="20"/>
                <w:szCs w:val="20"/>
              </w:rPr>
              <w:t>.</w:t>
            </w:r>
            <w:r>
              <w:rPr>
                <w:sz w:val="20"/>
                <w:szCs w:val="20"/>
              </w:rPr>
              <w:t>742</w:t>
            </w:r>
          </w:p>
        </w:tc>
        <w:tc>
          <w:tcPr>
            <w:tcW w:w="1394" w:type="dxa"/>
            <w:shd w:val="clear" w:color="auto" w:fill="F2F2F2"/>
          </w:tcPr>
          <w:p w14:paraId="1B1638D7" w14:textId="77777777" w:rsidR="00C215BC" w:rsidRPr="007638CB" w:rsidRDefault="00C215BC" w:rsidP="00887DB7">
            <w:pPr>
              <w:pStyle w:val="TableParagraph"/>
              <w:jc w:val="center"/>
              <w:rPr>
                <w:rFonts w:eastAsia="Calibri" w:cs="Calibri"/>
                <w:sz w:val="20"/>
                <w:szCs w:val="20"/>
              </w:rPr>
            </w:pPr>
            <w:r>
              <w:rPr>
                <w:sz w:val="20"/>
                <w:szCs w:val="20"/>
              </w:rPr>
              <w:t>-1</w:t>
            </w:r>
            <w:r w:rsidRPr="007638CB">
              <w:rPr>
                <w:sz w:val="20"/>
                <w:szCs w:val="20"/>
              </w:rPr>
              <w:t>.</w:t>
            </w:r>
            <w:r>
              <w:rPr>
                <w:sz w:val="20"/>
                <w:szCs w:val="20"/>
              </w:rPr>
              <w:t>008</w:t>
            </w:r>
          </w:p>
        </w:tc>
        <w:tc>
          <w:tcPr>
            <w:tcW w:w="1394" w:type="dxa"/>
            <w:shd w:val="clear" w:color="auto" w:fill="F2F2F2"/>
          </w:tcPr>
          <w:p w14:paraId="3E8F5916" w14:textId="77777777" w:rsidR="00C215BC" w:rsidRPr="007638CB" w:rsidRDefault="00C215BC" w:rsidP="00887DB7">
            <w:pPr>
              <w:pStyle w:val="TableParagraph"/>
              <w:jc w:val="center"/>
              <w:rPr>
                <w:rFonts w:eastAsia="Calibri" w:cs="Calibri"/>
                <w:sz w:val="20"/>
                <w:szCs w:val="20"/>
              </w:rPr>
            </w:pPr>
            <w:r w:rsidRPr="007638CB">
              <w:rPr>
                <w:sz w:val="20"/>
                <w:szCs w:val="20"/>
              </w:rPr>
              <w:t>0.</w:t>
            </w:r>
            <w:r>
              <w:rPr>
                <w:sz w:val="20"/>
                <w:szCs w:val="20"/>
              </w:rPr>
              <w:t>99</w:t>
            </w:r>
          </w:p>
        </w:tc>
        <w:tc>
          <w:tcPr>
            <w:tcW w:w="1394" w:type="dxa"/>
            <w:shd w:val="clear" w:color="auto" w:fill="F2F2F2"/>
          </w:tcPr>
          <w:p w14:paraId="1C5977B0" w14:textId="77777777" w:rsidR="00C215BC" w:rsidRPr="007638CB" w:rsidRDefault="00C215BC" w:rsidP="00887DB7">
            <w:pPr>
              <w:pStyle w:val="TableParagraph"/>
              <w:jc w:val="center"/>
              <w:rPr>
                <w:rFonts w:eastAsia="Calibri" w:cs="Calibri"/>
                <w:sz w:val="20"/>
                <w:szCs w:val="20"/>
              </w:rPr>
            </w:pPr>
            <w:r>
              <w:rPr>
                <w:sz w:val="20"/>
                <w:szCs w:val="20"/>
              </w:rPr>
              <w:t>0.75</w:t>
            </w:r>
          </w:p>
        </w:tc>
        <w:tc>
          <w:tcPr>
            <w:tcW w:w="1394" w:type="dxa"/>
            <w:shd w:val="clear" w:color="auto" w:fill="F2F2F2"/>
          </w:tcPr>
          <w:p w14:paraId="2F51547C" w14:textId="77777777" w:rsidR="00C215BC" w:rsidRPr="002D4398" w:rsidRDefault="00C215BC" w:rsidP="00887DB7">
            <w:pPr>
              <w:pStyle w:val="TableParagraph"/>
              <w:jc w:val="center"/>
              <w:rPr>
                <w:rFonts w:eastAsia="Calibri" w:cs="Calibri"/>
                <w:sz w:val="20"/>
                <w:szCs w:val="20"/>
              </w:rPr>
            </w:pPr>
            <w:r w:rsidRPr="002D4398">
              <w:rPr>
                <w:sz w:val="20"/>
                <w:szCs w:val="20"/>
              </w:rPr>
              <w:t>LSQ-AR1</w:t>
            </w:r>
          </w:p>
        </w:tc>
      </w:tr>
      <w:tr w:rsidR="00C215BC" w:rsidRPr="009203D1" w14:paraId="63B58FE6" w14:textId="77777777" w:rsidTr="00A94739">
        <w:trPr>
          <w:trHeight w:hRule="exact" w:val="268"/>
          <w:jc w:val="center"/>
        </w:trPr>
        <w:tc>
          <w:tcPr>
            <w:tcW w:w="1394" w:type="dxa"/>
          </w:tcPr>
          <w:p w14:paraId="7AECE13E" w14:textId="77777777" w:rsidR="00C215BC" w:rsidRPr="007638CB" w:rsidRDefault="00C215BC" w:rsidP="00887DB7">
            <w:pPr>
              <w:pStyle w:val="TableParagraph"/>
              <w:jc w:val="center"/>
              <w:rPr>
                <w:rFonts w:eastAsia="Calibri" w:cs="Calibri"/>
                <w:sz w:val="20"/>
                <w:szCs w:val="20"/>
              </w:rPr>
            </w:pPr>
            <w:r w:rsidRPr="007638CB">
              <w:rPr>
                <w:sz w:val="20"/>
                <w:szCs w:val="20"/>
              </w:rPr>
              <w:t>(</w:t>
            </w:r>
            <w:r>
              <w:rPr>
                <w:sz w:val="20"/>
                <w:szCs w:val="20"/>
              </w:rPr>
              <w:t>7.85</w:t>
            </w:r>
            <w:r w:rsidRPr="007638CB">
              <w:rPr>
                <w:sz w:val="20"/>
                <w:szCs w:val="20"/>
              </w:rPr>
              <w:t>)</w:t>
            </w:r>
          </w:p>
        </w:tc>
        <w:tc>
          <w:tcPr>
            <w:tcW w:w="1335" w:type="dxa"/>
          </w:tcPr>
          <w:p w14:paraId="6C89F418" w14:textId="77777777" w:rsidR="00C215BC" w:rsidRPr="007638CB" w:rsidRDefault="00C215BC" w:rsidP="00887DB7">
            <w:pPr>
              <w:pStyle w:val="TableParagraph"/>
              <w:jc w:val="center"/>
              <w:rPr>
                <w:rFonts w:eastAsia="Calibri" w:cs="Calibri"/>
                <w:sz w:val="20"/>
                <w:szCs w:val="20"/>
              </w:rPr>
            </w:pPr>
            <w:r w:rsidRPr="007638CB">
              <w:rPr>
                <w:sz w:val="20"/>
                <w:szCs w:val="20"/>
              </w:rPr>
              <w:t>(0.</w:t>
            </w:r>
            <w:r>
              <w:rPr>
                <w:sz w:val="20"/>
                <w:szCs w:val="20"/>
              </w:rPr>
              <w:t>52</w:t>
            </w:r>
            <w:r w:rsidRPr="007638CB">
              <w:rPr>
                <w:sz w:val="20"/>
                <w:szCs w:val="20"/>
              </w:rPr>
              <w:t>)</w:t>
            </w:r>
          </w:p>
        </w:tc>
        <w:tc>
          <w:tcPr>
            <w:tcW w:w="1453" w:type="dxa"/>
          </w:tcPr>
          <w:p w14:paraId="03661E34" w14:textId="77777777" w:rsidR="00C215BC" w:rsidRPr="007638CB" w:rsidRDefault="00C215BC" w:rsidP="00887DB7">
            <w:pPr>
              <w:pStyle w:val="TableParagraph"/>
              <w:jc w:val="center"/>
              <w:rPr>
                <w:rFonts w:eastAsia="Calibri" w:cs="Calibri"/>
                <w:sz w:val="20"/>
                <w:szCs w:val="20"/>
              </w:rPr>
            </w:pPr>
            <w:r w:rsidRPr="007638CB">
              <w:rPr>
                <w:sz w:val="20"/>
                <w:szCs w:val="20"/>
              </w:rPr>
              <w:t>(-1.</w:t>
            </w:r>
            <w:r>
              <w:rPr>
                <w:sz w:val="20"/>
                <w:szCs w:val="20"/>
              </w:rPr>
              <w:t>25</w:t>
            </w:r>
            <w:r w:rsidRPr="007638CB">
              <w:rPr>
                <w:sz w:val="20"/>
                <w:szCs w:val="20"/>
              </w:rPr>
              <w:t>)</w:t>
            </w:r>
          </w:p>
        </w:tc>
        <w:tc>
          <w:tcPr>
            <w:tcW w:w="1394" w:type="dxa"/>
          </w:tcPr>
          <w:p w14:paraId="7FA17080" w14:textId="77777777" w:rsidR="00C215BC" w:rsidRPr="007638CB" w:rsidRDefault="00C215BC" w:rsidP="00887DB7">
            <w:pPr>
              <w:pStyle w:val="TableParagraph"/>
              <w:jc w:val="center"/>
              <w:rPr>
                <w:rFonts w:eastAsia="Calibri" w:cs="Calibri"/>
                <w:b/>
                <w:sz w:val="20"/>
                <w:szCs w:val="20"/>
              </w:rPr>
            </w:pPr>
            <w:r w:rsidRPr="007638CB">
              <w:rPr>
                <w:b/>
                <w:sz w:val="20"/>
                <w:szCs w:val="20"/>
              </w:rPr>
              <w:t>(</w:t>
            </w:r>
            <w:r>
              <w:rPr>
                <w:b/>
                <w:sz w:val="20"/>
                <w:szCs w:val="20"/>
              </w:rPr>
              <w:t>2.19</w:t>
            </w:r>
            <w:r w:rsidRPr="007638CB">
              <w:rPr>
                <w:b/>
                <w:sz w:val="20"/>
                <w:szCs w:val="20"/>
              </w:rPr>
              <w:t>)</w:t>
            </w:r>
          </w:p>
        </w:tc>
        <w:tc>
          <w:tcPr>
            <w:tcW w:w="1394" w:type="dxa"/>
          </w:tcPr>
          <w:p w14:paraId="6F65E6DE" w14:textId="77777777" w:rsidR="00C215BC" w:rsidRPr="007638CB" w:rsidRDefault="00C215BC" w:rsidP="00887DB7">
            <w:pPr>
              <w:pStyle w:val="TableParagraph"/>
              <w:jc w:val="center"/>
              <w:rPr>
                <w:rFonts w:eastAsia="Calibri" w:cs="Calibri"/>
                <w:sz w:val="20"/>
                <w:szCs w:val="20"/>
              </w:rPr>
            </w:pPr>
          </w:p>
        </w:tc>
        <w:tc>
          <w:tcPr>
            <w:tcW w:w="1394" w:type="dxa"/>
          </w:tcPr>
          <w:p w14:paraId="3356C2F8" w14:textId="77777777" w:rsidR="00C215BC" w:rsidRPr="007638CB" w:rsidRDefault="00C215BC" w:rsidP="00887DB7">
            <w:pPr>
              <w:pStyle w:val="TableParagraph"/>
              <w:jc w:val="center"/>
              <w:rPr>
                <w:sz w:val="20"/>
                <w:szCs w:val="20"/>
              </w:rPr>
            </w:pPr>
            <w:r w:rsidRPr="007638CB">
              <w:rPr>
                <w:sz w:val="20"/>
                <w:szCs w:val="20"/>
              </w:rPr>
              <w:t>(-</w:t>
            </w:r>
            <w:r>
              <w:rPr>
                <w:sz w:val="20"/>
                <w:szCs w:val="20"/>
              </w:rPr>
              <w:t>2.65</w:t>
            </w:r>
            <w:r w:rsidRPr="007638CB">
              <w:rPr>
                <w:sz w:val="20"/>
                <w:szCs w:val="20"/>
              </w:rPr>
              <w:t>)</w:t>
            </w:r>
          </w:p>
        </w:tc>
        <w:tc>
          <w:tcPr>
            <w:tcW w:w="1394" w:type="dxa"/>
          </w:tcPr>
          <w:p w14:paraId="2282625C" w14:textId="77777777" w:rsidR="00C215BC" w:rsidRPr="007638CB" w:rsidRDefault="00C215BC" w:rsidP="00887DB7">
            <w:pPr>
              <w:pStyle w:val="TableParagraph"/>
              <w:jc w:val="center"/>
              <w:rPr>
                <w:rFonts w:eastAsia="Calibri" w:cs="Calibri"/>
                <w:sz w:val="20"/>
                <w:szCs w:val="20"/>
              </w:rPr>
            </w:pPr>
            <w:r w:rsidRPr="007638CB">
              <w:rPr>
                <w:sz w:val="20"/>
                <w:szCs w:val="20"/>
              </w:rPr>
              <w:t>(</w:t>
            </w:r>
            <w:r>
              <w:rPr>
                <w:sz w:val="20"/>
                <w:szCs w:val="20"/>
              </w:rPr>
              <w:t>-80</w:t>
            </w:r>
            <w:r w:rsidRPr="007638CB">
              <w:rPr>
                <w:sz w:val="20"/>
                <w:szCs w:val="20"/>
              </w:rPr>
              <w:t>.</w:t>
            </w:r>
            <w:r>
              <w:rPr>
                <w:sz w:val="20"/>
                <w:szCs w:val="20"/>
              </w:rPr>
              <w:t>46</w:t>
            </w:r>
            <w:r w:rsidRPr="007638CB">
              <w:rPr>
                <w:sz w:val="20"/>
                <w:szCs w:val="20"/>
              </w:rPr>
              <w:t>)</w:t>
            </w:r>
          </w:p>
        </w:tc>
        <w:tc>
          <w:tcPr>
            <w:tcW w:w="1394" w:type="dxa"/>
          </w:tcPr>
          <w:p w14:paraId="7F043B16" w14:textId="77777777" w:rsidR="00C215BC" w:rsidRPr="007638CB" w:rsidRDefault="00C215BC" w:rsidP="00887DB7">
            <w:pPr>
              <w:jc w:val="center"/>
              <w:rPr>
                <w:sz w:val="20"/>
                <w:szCs w:val="20"/>
              </w:rPr>
            </w:pPr>
          </w:p>
        </w:tc>
        <w:tc>
          <w:tcPr>
            <w:tcW w:w="1394" w:type="dxa"/>
          </w:tcPr>
          <w:p w14:paraId="605BA8C3" w14:textId="77777777" w:rsidR="00C215BC" w:rsidRPr="007638CB" w:rsidRDefault="00C215BC" w:rsidP="00887DB7">
            <w:pPr>
              <w:jc w:val="center"/>
              <w:rPr>
                <w:sz w:val="20"/>
                <w:szCs w:val="20"/>
              </w:rPr>
            </w:pPr>
          </w:p>
        </w:tc>
        <w:tc>
          <w:tcPr>
            <w:tcW w:w="1394" w:type="dxa"/>
          </w:tcPr>
          <w:p w14:paraId="37661EBA" w14:textId="77777777" w:rsidR="00C215BC" w:rsidRPr="002D4398" w:rsidRDefault="00C215BC" w:rsidP="00887DB7">
            <w:pPr>
              <w:jc w:val="center"/>
              <w:rPr>
                <w:sz w:val="20"/>
                <w:szCs w:val="20"/>
              </w:rPr>
            </w:pPr>
          </w:p>
        </w:tc>
      </w:tr>
      <w:tr w:rsidR="002F1384" w:rsidRPr="009203D1" w14:paraId="22BEE822" w14:textId="77777777" w:rsidTr="00A94739">
        <w:trPr>
          <w:trHeight w:hRule="exact" w:val="268"/>
          <w:jc w:val="center"/>
        </w:trPr>
        <w:tc>
          <w:tcPr>
            <w:tcW w:w="1394" w:type="dxa"/>
            <w:shd w:val="clear" w:color="auto" w:fill="F2F2F2"/>
          </w:tcPr>
          <w:p w14:paraId="475E4B96" w14:textId="073165E0" w:rsidR="002F1384" w:rsidRPr="00D41301" w:rsidRDefault="002F1384" w:rsidP="002F1384">
            <w:pPr>
              <w:pStyle w:val="TableParagraph"/>
              <w:jc w:val="center"/>
              <w:rPr>
                <w:rFonts w:eastAsia="Calibri" w:cs="Calibri"/>
                <w:sz w:val="20"/>
                <w:szCs w:val="20"/>
                <w:highlight w:val="yellow"/>
              </w:rPr>
            </w:pPr>
            <w:r>
              <w:rPr>
                <w:sz w:val="20"/>
                <w:szCs w:val="20"/>
              </w:rPr>
              <w:t>337.85</w:t>
            </w:r>
          </w:p>
        </w:tc>
        <w:tc>
          <w:tcPr>
            <w:tcW w:w="1335" w:type="dxa"/>
            <w:shd w:val="clear" w:color="auto" w:fill="F2F2F2"/>
          </w:tcPr>
          <w:p w14:paraId="07869BF4" w14:textId="532DE9B1" w:rsidR="002F1384" w:rsidRPr="00D41301" w:rsidRDefault="002F1384" w:rsidP="002F1384">
            <w:pPr>
              <w:pStyle w:val="TableParagraph"/>
              <w:jc w:val="center"/>
              <w:rPr>
                <w:rFonts w:eastAsia="Calibri" w:cs="Calibri"/>
                <w:sz w:val="20"/>
                <w:szCs w:val="20"/>
                <w:highlight w:val="yellow"/>
              </w:rPr>
            </w:pPr>
            <w:r w:rsidRPr="002F1384">
              <w:rPr>
                <w:sz w:val="20"/>
                <w:szCs w:val="20"/>
              </w:rPr>
              <w:t>0.</w:t>
            </w:r>
            <w:r>
              <w:rPr>
                <w:sz w:val="20"/>
                <w:szCs w:val="20"/>
              </w:rPr>
              <w:t>985</w:t>
            </w:r>
          </w:p>
        </w:tc>
        <w:tc>
          <w:tcPr>
            <w:tcW w:w="1453" w:type="dxa"/>
            <w:shd w:val="clear" w:color="auto" w:fill="F2F2F2"/>
          </w:tcPr>
          <w:p w14:paraId="521986AD" w14:textId="5D04387D" w:rsidR="002F1384" w:rsidRPr="00D41301" w:rsidRDefault="002F1384" w:rsidP="002F1384">
            <w:pPr>
              <w:pStyle w:val="TableParagraph"/>
              <w:jc w:val="center"/>
              <w:rPr>
                <w:rFonts w:eastAsia="Calibri" w:cs="Calibri"/>
                <w:sz w:val="20"/>
                <w:szCs w:val="20"/>
                <w:highlight w:val="yellow"/>
              </w:rPr>
            </w:pPr>
            <w:r w:rsidRPr="002F1384">
              <w:rPr>
                <w:sz w:val="20"/>
                <w:szCs w:val="20"/>
              </w:rPr>
              <w:t>-0.</w:t>
            </w:r>
            <w:r>
              <w:rPr>
                <w:sz w:val="20"/>
                <w:szCs w:val="20"/>
              </w:rPr>
              <w:t>272</w:t>
            </w:r>
          </w:p>
        </w:tc>
        <w:tc>
          <w:tcPr>
            <w:tcW w:w="1394" w:type="dxa"/>
            <w:shd w:val="clear" w:color="auto" w:fill="F2F2F2"/>
          </w:tcPr>
          <w:p w14:paraId="38508D0A" w14:textId="15216D3C" w:rsidR="002F1384" w:rsidRPr="00D41301" w:rsidRDefault="002F1384" w:rsidP="002F1384">
            <w:pPr>
              <w:pStyle w:val="TableParagraph"/>
              <w:jc w:val="center"/>
              <w:rPr>
                <w:rFonts w:eastAsia="Calibri" w:cs="Calibri"/>
                <w:b/>
                <w:sz w:val="20"/>
                <w:szCs w:val="20"/>
                <w:highlight w:val="yellow"/>
              </w:rPr>
            </w:pPr>
            <w:r>
              <w:rPr>
                <w:b/>
                <w:sz w:val="20"/>
                <w:szCs w:val="20"/>
              </w:rPr>
              <w:t>9</w:t>
            </w:r>
            <w:r w:rsidRPr="002F1384">
              <w:rPr>
                <w:b/>
                <w:sz w:val="20"/>
                <w:szCs w:val="20"/>
              </w:rPr>
              <w:t>5.</w:t>
            </w:r>
            <w:r>
              <w:rPr>
                <w:b/>
                <w:sz w:val="20"/>
                <w:szCs w:val="20"/>
              </w:rPr>
              <w:t>87</w:t>
            </w:r>
          </w:p>
        </w:tc>
        <w:tc>
          <w:tcPr>
            <w:tcW w:w="1394" w:type="dxa"/>
            <w:shd w:val="clear" w:color="auto" w:fill="F2F2F2"/>
          </w:tcPr>
          <w:p w14:paraId="053F8B95" w14:textId="3E6842A1" w:rsidR="002F1384" w:rsidRPr="00D41301" w:rsidRDefault="002F1384" w:rsidP="002F1384">
            <w:pPr>
              <w:pStyle w:val="TableParagraph"/>
              <w:jc w:val="center"/>
              <w:rPr>
                <w:rFonts w:eastAsia="Calibri" w:cs="Calibri"/>
                <w:sz w:val="20"/>
                <w:szCs w:val="20"/>
                <w:highlight w:val="yellow"/>
              </w:rPr>
            </w:pPr>
          </w:p>
        </w:tc>
        <w:tc>
          <w:tcPr>
            <w:tcW w:w="1394" w:type="dxa"/>
            <w:shd w:val="clear" w:color="auto" w:fill="F2F2F2"/>
          </w:tcPr>
          <w:p w14:paraId="71DA8986" w14:textId="2CB85AFD" w:rsidR="002F1384" w:rsidRPr="00D41301" w:rsidRDefault="002F1384" w:rsidP="002F1384">
            <w:pPr>
              <w:pStyle w:val="TableParagraph"/>
              <w:jc w:val="center"/>
              <w:rPr>
                <w:sz w:val="20"/>
                <w:szCs w:val="20"/>
                <w:highlight w:val="yellow"/>
              </w:rPr>
            </w:pPr>
            <w:r w:rsidRPr="002F1384">
              <w:rPr>
                <w:sz w:val="20"/>
                <w:szCs w:val="20"/>
              </w:rPr>
              <w:t>-</w:t>
            </w:r>
            <w:r>
              <w:rPr>
                <w:sz w:val="20"/>
                <w:szCs w:val="20"/>
              </w:rPr>
              <w:t>32.934</w:t>
            </w:r>
          </w:p>
        </w:tc>
        <w:tc>
          <w:tcPr>
            <w:tcW w:w="1394" w:type="dxa"/>
            <w:shd w:val="clear" w:color="auto" w:fill="F2F2F2"/>
          </w:tcPr>
          <w:p w14:paraId="67DAD4EF" w14:textId="61054C35" w:rsidR="002F1384" w:rsidRPr="00D41301" w:rsidRDefault="002F1384" w:rsidP="002F1384">
            <w:pPr>
              <w:pStyle w:val="TableParagraph"/>
              <w:jc w:val="center"/>
              <w:rPr>
                <w:rFonts w:eastAsia="Calibri" w:cs="Calibri"/>
                <w:sz w:val="20"/>
                <w:szCs w:val="20"/>
                <w:highlight w:val="yellow"/>
              </w:rPr>
            </w:pPr>
            <w:r>
              <w:rPr>
                <w:sz w:val="20"/>
                <w:szCs w:val="20"/>
              </w:rPr>
              <w:t>-1</w:t>
            </w:r>
            <w:r w:rsidRPr="002F1384">
              <w:rPr>
                <w:sz w:val="20"/>
                <w:szCs w:val="20"/>
              </w:rPr>
              <w:t>.</w:t>
            </w:r>
            <w:r>
              <w:rPr>
                <w:sz w:val="20"/>
                <w:szCs w:val="20"/>
              </w:rPr>
              <w:t>011</w:t>
            </w:r>
          </w:p>
        </w:tc>
        <w:tc>
          <w:tcPr>
            <w:tcW w:w="1394" w:type="dxa"/>
            <w:shd w:val="clear" w:color="auto" w:fill="F2F2F2"/>
          </w:tcPr>
          <w:p w14:paraId="5127CD62" w14:textId="54749953" w:rsidR="002F1384" w:rsidRPr="00D41301" w:rsidRDefault="002F1384" w:rsidP="002F1384">
            <w:pPr>
              <w:pStyle w:val="TableParagraph"/>
              <w:jc w:val="center"/>
              <w:rPr>
                <w:rFonts w:eastAsia="Calibri" w:cs="Calibri"/>
                <w:sz w:val="20"/>
                <w:szCs w:val="20"/>
                <w:highlight w:val="yellow"/>
              </w:rPr>
            </w:pPr>
            <w:r w:rsidRPr="002F1384">
              <w:rPr>
                <w:sz w:val="20"/>
                <w:szCs w:val="20"/>
              </w:rPr>
              <w:t>0.</w:t>
            </w:r>
            <w:r>
              <w:rPr>
                <w:sz w:val="20"/>
                <w:szCs w:val="20"/>
              </w:rPr>
              <w:t>99</w:t>
            </w:r>
          </w:p>
        </w:tc>
        <w:tc>
          <w:tcPr>
            <w:tcW w:w="1394" w:type="dxa"/>
            <w:shd w:val="clear" w:color="auto" w:fill="F2F2F2"/>
          </w:tcPr>
          <w:p w14:paraId="7EFF0C67" w14:textId="439EFB12" w:rsidR="002F1384" w:rsidRPr="00D41301" w:rsidRDefault="002F1384" w:rsidP="002F1384">
            <w:pPr>
              <w:pStyle w:val="TableParagraph"/>
              <w:jc w:val="center"/>
              <w:rPr>
                <w:rFonts w:eastAsia="Calibri" w:cs="Calibri"/>
                <w:sz w:val="20"/>
                <w:szCs w:val="20"/>
                <w:highlight w:val="yellow"/>
              </w:rPr>
            </w:pPr>
            <w:r w:rsidRPr="002F1384">
              <w:rPr>
                <w:sz w:val="20"/>
                <w:szCs w:val="20"/>
              </w:rPr>
              <w:t>1.</w:t>
            </w:r>
            <w:r>
              <w:rPr>
                <w:sz w:val="20"/>
                <w:szCs w:val="20"/>
              </w:rPr>
              <w:t>10</w:t>
            </w:r>
          </w:p>
        </w:tc>
        <w:tc>
          <w:tcPr>
            <w:tcW w:w="1394" w:type="dxa"/>
            <w:shd w:val="clear" w:color="auto" w:fill="F2F2F2"/>
          </w:tcPr>
          <w:p w14:paraId="198BC986" w14:textId="7904BCEB" w:rsidR="002F1384" w:rsidRPr="002D4398" w:rsidRDefault="002F1384" w:rsidP="002F1384">
            <w:pPr>
              <w:pStyle w:val="TableParagraph"/>
              <w:jc w:val="center"/>
              <w:rPr>
                <w:rFonts w:eastAsia="Calibri" w:cs="Calibri"/>
                <w:sz w:val="20"/>
                <w:szCs w:val="20"/>
              </w:rPr>
            </w:pPr>
            <w:r w:rsidRPr="002D4398">
              <w:rPr>
                <w:sz w:val="20"/>
                <w:szCs w:val="20"/>
              </w:rPr>
              <w:t>SUR-AR1</w:t>
            </w:r>
          </w:p>
        </w:tc>
      </w:tr>
      <w:tr w:rsidR="002F1384" w:rsidRPr="009203D1" w14:paraId="6EDA4C6C" w14:textId="77777777" w:rsidTr="00A94739">
        <w:trPr>
          <w:trHeight w:hRule="exact" w:val="268"/>
          <w:jc w:val="center"/>
        </w:trPr>
        <w:tc>
          <w:tcPr>
            <w:tcW w:w="1394" w:type="dxa"/>
          </w:tcPr>
          <w:p w14:paraId="10DC1AA6" w14:textId="6A0F9ED6" w:rsidR="002F1384" w:rsidRPr="00D41301" w:rsidRDefault="002F1384" w:rsidP="002F1384">
            <w:pPr>
              <w:pStyle w:val="TableParagraph"/>
              <w:jc w:val="center"/>
              <w:rPr>
                <w:rFonts w:eastAsia="Calibri" w:cs="Calibri"/>
                <w:sz w:val="20"/>
                <w:szCs w:val="20"/>
                <w:highlight w:val="yellow"/>
              </w:rPr>
            </w:pPr>
            <w:r w:rsidRPr="002F1384">
              <w:rPr>
                <w:sz w:val="20"/>
                <w:szCs w:val="20"/>
              </w:rPr>
              <w:t>(</w:t>
            </w:r>
            <w:r>
              <w:rPr>
                <w:sz w:val="20"/>
                <w:szCs w:val="20"/>
              </w:rPr>
              <w:t>7.75</w:t>
            </w:r>
            <w:r w:rsidRPr="002F1384">
              <w:rPr>
                <w:sz w:val="20"/>
                <w:szCs w:val="20"/>
              </w:rPr>
              <w:t>)</w:t>
            </w:r>
          </w:p>
        </w:tc>
        <w:tc>
          <w:tcPr>
            <w:tcW w:w="1335" w:type="dxa"/>
          </w:tcPr>
          <w:p w14:paraId="66F711EB" w14:textId="58111257" w:rsidR="002F1384" w:rsidRPr="00D41301" w:rsidRDefault="002F1384" w:rsidP="002F1384">
            <w:pPr>
              <w:pStyle w:val="TableParagraph"/>
              <w:jc w:val="center"/>
              <w:rPr>
                <w:rFonts w:eastAsia="Calibri" w:cs="Calibri"/>
                <w:sz w:val="20"/>
                <w:szCs w:val="20"/>
                <w:highlight w:val="yellow"/>
              </w:rPr>
            </w:pPr>
            <w:r w:rsidRPr="002F1384">
              <w:rPr>
                <w:sz w:val="20"/>
                <w:szCs w:val="20"/>
              </w:rPr>
              <w:t>(</w:t>
            </w:r>
            <w:r>
              <w:rPr>
                <w:sz w:val="20"/>
                <w:szCs w:val="20"/>
              </w:rPr>
              <w:t>2.25</w:t>
            </w:r>
            <w:r w:rsidRPr="002F1384">
              <w:rPr>
                <w:sz w:val="20"/>
                <w:szCs w:val="20"/>
              </w:rPr>
              <w:t>)</w:t>
            </w:r>
          </w:p>
        </w:tc>
        <w:tc>
          <w:tcPr>
            <w:tcW w:w="1453" w:type="dxa"/>
          </w:tcPr>
          <w:p w14:paraId="2F774661" w14:textId="7910BE46" w:rsidR="002F1384" w:rsidRPr="00D41301" w:rsidRDefault="002F1384" w:rsidP="002F1384">
            <w:pPr>
              <w:pStyle w:val="TableParagraph"/>
              <w:jc w:val="center"/>
              <w:rPr>
                <w:rFonts w:eastAsia="Calibri" w:cs="Calibri"/>
                <w:sz w:val="20"/>
                <w:szCs w:val="20"/>
                <w:highlight w:val="yellow"/>
              </w:rPr>
            </w:pPr>
            <w:r w:rsidRPr="002F1384">
              <w:rPr>
                <w:sz w:val="20"/>
                <w:szCs w:val="20"/>
              </w:rPr>
              <w:t>(-</w:t>
            </w:r>
            <w:r>
              <w:rPr>
                <w:sz w:val="20"/>
                <w:szCs w:val="20"/>
              </w:rPr>
              <w:t>1.95</w:t>
            </w:r>
            <w:r w:rsidRPr="002F1384">
              <w:rPr>
                <w:sz w:val="20"/>
                <w:szCs w:val="20"/>
              </w:rPr>
              <w:t>)</w:t>
            </w:r>
          </w:p>
        </w:tc>
        <w:tc>
          <w:tcPr>
            <w:tcW w:w="1394" w:type="dxa"/>
          </w:tcPr>
          <w:p w14:paraId="0DD3C132" w14:textId="18AFD1BE" w:rsidR="002F1384" w:rsidRPr="00D41301" w:rsidRDefault="002F1384" w:rsidP="002F1384">
            <w:pPr>
              <w:pStyle w:val="TableParagraph"/>
              <w:jc w:val="center"/>
              <w:rPr>
                <w:rFonts w:eastAsia="Calibri" w:cs="Calibri"/>
                <w:b/>
                <w:sz w:val="20"/>
                <w:szCs w:val="20"/>
                <w:highlight w:val="yellow"/>
              </w:rPr>
            </w:pPr>
            <w:r w:rsidRPr="002F1384">
              <w:rPr>
                <w:b/>
                <w:sz w:val="20"/>
                <w:szCs w:val="20"/>
              </w:rPr>
              <w:t>(</w:t>
            </w:r>
            <w:r>
              <w:rPr>
                <w:b/>
                <w:sz w:val="20"/>
                <w:szCs w:val="20"/>
              </w:rPr>
              <w:t>2.84</w:t>
            </w:r>
            <w:r w:rsidRPr="002F1384">
              <w:rPr>
                <w:b/>
                <w:sz w:val="20"/>
                <w:szCs w:val="20"/>
              </w:rPr>
              <w:t>)</w:t>
            </w:r>
          </w:p>
        </w:tc>
        <w:tc>
          <w:tcPr>
            <w:tcW w:w="1394" w:type="dxa"/>
          </w:tcPr>
          <w:p w14:paraId="0FA7595C" w14:textId="2C0E2DCE" w:rsidR="002F1384" w:rsidRPr="00D41301" w:rsidRDefault="002F1384" w:rsidP="002F1384">
            <w:pPr>
              <w:pStyle w:val="TableParagraph"/>
              <w:jc w:val="center"/>
              <w:rPr>
                <w:rFonts w:eastAsia="Calibri" w:cs="Calibri"/>
                <w:sz w:val="20"/>
                <w:szCs w:val="20"/>
                <w:highlight w:val="yellow"/>
              </w:rPr>
            </w:pPr>
          </w:p>
        </w:tc>
        <w:tc>
          <w:tcPr>
            <w:tcW w:w="1394" w:type="dxa"/>
          </w:tcPr>
          <w:p w14:paraId="221BC8C2" w14:textId="18C42ABF" w:rsidR="002F1384" w:rsidRPr="00D41301" w:rsidRDefault="002F1384" w:rsidP="002F1384">
            <w:pPr>
              <w:pStyle w:val="TableParagraph"/>
              <w:jc w:val="center"/>
              <w:rPr>
                <w:sz w:val="20"/>
                <w:szCs w:val="20"/>
                <w:highlight w:val="yellow"/>
              </w:rPr>
            </w:pPr>
            <w:r w:rsidRPr="002F1384">
              <w:rPr>
                <w:sz w:val="20"/>
                <w:szCs w:val="20"/>
              </w:rPr>
              <w:t>(-</w:t>
            </w:r>
            <w:r>
              <w:rPr>
                <w:sz w:val="20"/>
                <w:szCs w:val="20"/>
              </w:rPr>
              <w:t>1.97</w:t>
            </w:r>
            <w:r w:rsidRPr="002F1384">
              <w:rPr>
                <w:sz w:val="20"/>
                <w:szCs w:val="20"/>
              </w:rPr>
              <w:t>)</w:t>
            </w:r>
          </w:p>
        </w:tc>
        <w:tc>
          <w:tcPr>
            <w:tcW w:w="1394" w:type="dxa"/>
          </w:tcPr>
          <w:p w14:paraId="1EF18602" w14:textId="385D9D32" w:rsidR="002F1384" w:rsidRPr="00D41301" w:rsidRDefault="002F1384" w:rsidP="002F1384">
            <w:pPr>
              <w:pStyle w:val="TableParagraph"/>
              <w:jc w:val="center"/>
              <w:rPr>
                <w:rFonts w:eastAsia="Calibri" w:cs="Calibri"/>
                <w:sz w:val="20"/>
                <w:szCs w:val="20"/>
                <w:highlight w:val="yellow"/>
              </w:rPr>
            </w:pPr>
            <w:r w:rsidRPr="002F1384">
              <w:rPr>
                <w:sz w:val="20"/>
                <w:szCs w:val="20"/>
              </w:rPr>
              <w:t>(</w:t>
            </w:r>
            <w:r>
              <w:rPr>
                <w:sz w:val="20"/>
                <w:szCs w:val="20"/>
              </w:rPr>
              <w:t>-75.85</w:t>
            </w:r>
            <w:r w:rsidRPr="002F1384">
              <w:rPr>
                <w:sz w:val="20"/>
                <w:szCs w:val="20"/>
              </w:rPr>
              <w:t>)</w:t>
            </w:r>
          </w:p>
        </w:tc>
        <w:tc>
          <w:tcPr>
            <w:tcW w:w="1394" w:type="dxa"/>
          </w:tcPr>
          <w:p w14:paraId="32AEB1CD" w14:textId="77777777" w:rsidR="002F1384" w:rsidRPr="00D41301" w:rsidRDefault="002F1384" w:rsidP="002F1384">
            <w:pPr>
              <w:jc w:val="center"/>
              <w:rPr>
                <w:sz w:val="20"/>
                <w:szCs w:val="20"/>
                <w:highlight w:val="yellow"/>
              </w:rPr>
            </w:pPr>
          </w:p>
        </w:tc>
        <w:tc>
          <w:tcPr>
            <w:tcW w:w="1394" w:type="dxa"/>
          </w:tcPr>
          <w:p w14:paraId="72E7CC5A" w14:textId="77777777" w:rsidR="002F1384" w:rsidRPr="00D41301" w:rsidRDefault="002F1384" w:rsidP="002F1384">
            <w:pPr>
              <w:jc w:val="center"/>
              <w:rPr>
                <w:sz w:val="20"/>
                <w:szCs w:val="20"/>
                <w:highlight w:val="yellow"/>
              </w:rPr>
            </w:pPr>
          </w:p>
        </w:tc>
        <w:tc>
          <w:tcPr>
            <w:tcW w:w="1394" w:type="dxa"/>
          </w:tcPr>
          <w:p w14:paraId="41979274" w14:textId="77777777" w:rsidR="002F1384" w:rsidRPr="002D4398" w:rsidRDefault="002F1384" w:rsidP="002F1384">
            <w:pPr>
              <w:jc w:val="center"/>
              <w:rPr>
                <w:sz w:val="20"/>
                <w:szCs w:val="20"/>
              </w:rPr>
            </w:pPr>
          </w:p>
        </w:tc>
      </w:tr>
    </w:tbl>
    <w:p w14:paraId="47B2B4BC" w14:textId="77777777" w:rsidR="00C215BC" w:rsidRDefault="00C215BC" w:rsidP="00C215BC">
      <w:pPr>
        <w:jc w:val="center"/>
        <w:rPr>
          <w:rFonts w:eastAsia="Calibri" w:cstheme="minorHAnsi"/>
          <w:b/>
        </w:rPr>
      </w:pPr>
    </w:p>
    <w:p w14:paraId="2DCC608C" w14:textId="77777777" w:rsidR="00C215BC" w:rsidRDefault="00C215BC" w:rsidP="00C215BC">
      <w:pPr>
        <w:jc w:val="center"/>
        <w:rPr>
          <w:rFonts w:eastAsia="Calibri" w:cstheme="minorHAnsi"/>
          <w:b/>
        </w:rPr>
      </w:pPr>
    </w:p>
    <w:p w14:paraId="7BA94958" w14:textId="77777777" w:rsidR="009203D1" w:rsidRDefault="009203D1" w:rsidP="004550DC">
      <w:pPr>
        <w:jc w:val="center"/>
        <w:rPr>
          <w:rFonts w:eastAsia="Calibri" w:cstheme="minorHAnsi"/>
          <w:b/>
        </w:rPr>
      </w:pPr>
    </w:p>
    <w:p w14:paraId="286FB5C6" w14:textId="77777777" w:rsidR="009203D1" w:rsidRDefault="009203D1" w:rsidP="004550DC">
      <w:pPr>
        <w:jc w:val="center"/>
        <w:rPr>
          <w:rFonts w:eastAsia="Calibri" w:cstheme="minorHAnsi"/>
          <w:b/>
        </w:rPr>
      </w:pPr>
    </w:p>
    <w:p w14:paraId="64EABA8A" w14:textId="55A546A5" w:rsidR="00FF07B1" w:rsidRPr="003711B1" w:rsidRDefault="00FF07B1" w:rsidP="00FF07B1">
      <w:pPr>
        <w:jc w:val="center"/>
        <w:rPr>
          <w:rFonts w:cstheme="minorHAnsi"/>
          <w:b/>
          <w:bCs/>
        </w:rPr>
      </w:pPr>
      <w:r w:rsidRPr="003711B1">
        <w:rPr>
          <w:rFonts w:cstheme="minorHAnsi"/>
          <w:b/>
          <w:bCs/>
        </w:rPr>
        <w:t xml:space="preserve">Table </w:t>
      </w:r>
      <w:r>
        <w:rPr>
          <w:rFonts w:cstheme="minorHAnsi"/>
          <w:b/>
          <w:bCs/>
        </w:rPr>
        <w:t>8</w:t>
      </w:r>
      <w:r w:rsidRPr="003711B1">
        <w:rPr>
          <w:rFonts w:cstheme="minorHAnsi"/>
          <w:b/>
          <w:bCs/>
        </w:rPr>
        <w:t xml:space="preserve">. </w:t>
      </w:r>
      <w:r>
        <w:rPr>
          <w:rFonts w:cstheme="minorHAnsi"/>
          <w:b/>
          <w:bCs/>
        </w:rPr>
        <w:t>Preferred unrestricted r</w:t>
      </w:r>
      <w:r w:rsidRPr="003711B1">
        <w:rPr>
          <w:rFonts w:cstheme="minorHAnsi"/>
          <w:b/>
          <w:bCs/>
        </w:rPr>
        <w:t xml:space="preserve">egression estimates </w:t>
      </w:r>
      <w:r>
        <w:rPr>
          <w:rFonts w:cstheme="minorHAnsi"/>
          <w:b/>
          <w:bCs/>
        </w:rPr>
        <w:t>for</w:t>
      </w:r>
      <w:r w:rsidRPr="003711B1">
        <w:rPr>
          <w:rFonts w:cstheme="minorHAnsi"/>
          <w:b/>
          <w:bCs/>
        </w:rPr>
        <w:t xml:space="preserve"> </w:t>
      </w:r>
      <w:r>
        <w:rPr>
          <w:rFonts w:cstheme="minorHAnsi"/>
          <w:b/>
          <w:bCs/>
        </w:rPr>
        <w:t>r</w:t>
      </w:r>
      <w:r w:rsidRPr="003711B1">
        <w:rPr>
          <w:rFonts w:cstheme="minorHAnsi"/>
          <w:b/>
          <w:bCs/>
        </w:rPr>
        <w:t xml:space="preserve">eal </w:t>
      </w:r>
      <w:r>
        <w:rPr>
          <w:rFonts w:cstheme="minorHAnsi"/>
          <w:b/>
          <w:bCs/>
        </w:rPr>
        <w:t>domestic c</w:t>
      </w:r>
      <w:r w:rsidRPr="003711B1">
        <w:rPr>
          <w:rFonts w:cstheme="minorHAnsi"/>
          <w:b/>
          <w:bCs/>
        </w:rPr>
        <w:t xml:space="preserve">hicken </w:t>
      </w:r>
      <w:r>
        <w:rPr>
          <w:rFonts w:cstheme="minorHAnsi"/>
          <w:b/>
          <w:bCs/>
        </w:rPr>
        <w:t>m</w:t>
      </w:r>
      <w:r w:rsidRPr="003711B1">
        <w:rPr>
          <w:rFonts w:cstheme="minorHAnsi"/>
          <w:b/>
          <w:bCs/>
        </w:rPr>
        <w:t xml:space="preserve">argin </w:t>
      </w:r>
      <w:r>
        <w:rPr>
          <w:rFonts w:cstheme="minorHAnsi"/>
          <w:b/>
          <w:bCs/>
        </w:rPr>
        <w:t>e</w:t>
      </w:r>
      <w:r w:rsidRPr="003711B1">
        <w:rPr>
          <w:rFonts w:cstheme="minorHAnsi"/>
          <w:b/>
          <w:bCs/>
        </w:rPr>
        <w:t>quations, 197</w:t>
      </w:r>
      <w:r w:rsidR="00A94739">
        <w:rPr>
          <w:rFonts w:cstheme="minorHAnsi"/>
          <w:b/>
          <w:bCs/>
        </w:rPr>
        <w:t xml:space="preserve">6 – </w:t>
      </w:r>
      <w:r w:rsidRPr="003711B1">
        <w:rPr>
          <w:rFonts w:cstheme="minorHAnsi"/>
          <w:b/>
          <w:bCs/>
        </w:rPr>
        <w:t>20</w:t>
      </w:r>
      <w:r>
        <w:rPr>
          <w:rFonts w:cstheme="minorHAnsi"/>
          <w:b/>
          <w:bCs/>
        </w:rPr>
        <w:t>21</w:t>
      </w:r>
      <w:r w:rsidR="00A94739">
        <w:rPr>
          <w:rFonts w:cstheme="minorHAnsi"/>
          <w:b/>
          <w:bCs/>
        </w:rPr>
        <w:t xml:space="preserve"> </w:t>
      </w:r>
      <w:r w:rsidR="00A94739" w:rsidRPr="009203D1">
        <w:rPr>
          <w:rFonts w:eastAsia="Calibri" w:cs="Calibri"/>
          <w:b/>
        </w:rPr>
        <w:t>(</w:t>
      </w:r>
      <w:r w:rsidR="00A94739" w:rsidRPr="009203D1">
        <w:rPr>
          <w:b/>
          <w:w w:val="95"/>
        </w:rPr>
        <w:t>t</w:t>
      </w:r>
      <w:r w:rsidR="00A94739" w:rsidRPr="009203D1">
        <w:rPr>
          <w:b/>
        </w:rPr>
        <w:t>-statistics</w:t>
      </w:r>
      <w:r w:rsidR="00A94739" w:rsidRPr="009203D1">
        <w:rPr>
          <w:b/>
          <w:spacing w:val="-4"/>
        </w:rPr>
        <w:t xml:space="preserve"> </w:t>
      </w:r>
      <w:r w:rsidR="00A94739" w:rsidRPr="009203D1">
        <w:rPr>
          <w:b/>
        </w:rPr>
        <w:t>are</w:t>
      </w:r>
      <w:r w:rsidR="00A94739" w:rsidRPr="009203D1">
        <w:rPr>
          <w:b/>
          <w:spacing w:val="-4"/>
        </w:rPr>
        <w:t xml:space="preserve"> </w:t>
      </w:r>
      <w:r w:rsidR="00A94739" w:rsidRPr="009203D1">
        <w:rPr>
          <w:b/>
        </w:rPr>
        <w:t>in</w:t>
      </w:r>
      <w:r w:rsidR="00A94739" w:rsidRPr="009203D1">
        <w:rPr>
          <w:b/>
          <w:spacing w:val="-4"/>
        </w:rPr>
        <w:t xml:space="preserve"> </w:t>
      </w:r>
      <w:r w:rsidR="00A94739" w:rsidRPr="009203D1">
        <w:rPr>
          <w:b/>
        </w:rPr>
        <w:t>brackets)</w:t>
      </w:r>
    </w:p>
    <w:p w14:paraId="1C03218B" w14:textId="77777777" w:rsidR="00FF07B1" w:rsidRPr="003711B1" w:rsidRDefault="00FF07B1" w:rsidP="00FF07B1">
      <w:pPr>
        <w:jc w:val="both"/>
        <w:rPr>
          <w:rFonts w:cstheme="minorHAnsi"/>
        </w:rPr>
      </w:pPr>
    </w:p>
    <w:tbl>
      <w:tblPr>
        <w:tblStyle w:val="TableGrid"/>
        <w:tblW w:w="9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1039"/>
        <w:gridCol w:w="868"/>
        <w:gridCol w:w="852"/>
        <w:gridCol w:w="1121"/>
        <w:gridCol w:w="852"/>
        <w:gridCol w:w="719"/>
        <w:gridCol w:w="719"/>
        <w:gridCol w:w="1795"/>
      </w:tblGrid>
      <w:tr w:rsidR="00EE4781" w:rsidRPr="003711B1" w14:paraId="344B41F5" w14:textId="77777777" w:rsidTr="00887DB7">
        <w:trPr>
          <w:trHeight w:val="312"/>
          <w:jc w:val="center"/>
        </w:trPr>
        <w:tc>
          <w:tcPr>
            <w:tcW w:w="1229" w:type="dxa"/>
            <w:tcBorders>
              <w:top w:val="single" w:sz="4" w:space="0" w:color="auto"/>
              <w:bottom w:val="single" w:sz="4" w:space="0" w:color="auto"/>
            </w:tcBorders>
            <w:shd w:val="clear" w:color="auto" w:fill="FFFFFF" w:themeFill="background1"/>
          </w:tcPr>
          <w:p w14:paraId="3F2A8A11" w14:textId="77777777" w:rsidR="00FF07B1" w:rsidRPr="003711B1" w:rsidRDefault="00FF07B1" w:rsidP="00887DB7">
            <w:pPr>
              <w:jc w:val="both"/>
              <w:rPr>
                <w:rFonts w:cstheme="minorHAnsi"/>
                <w:b/>
                <w:bCs/>
              </w:rPr>
            </w:pPr>
            <w:r w:rsidRPr="003711B1">
              <w:rPr>
                <w:rFonts w:cstheme="minorHAnsi"/>
                <w:b/>
                <w:bCs/>
              </w:rPr>
              <w:t>CONSTANT</w:t>
            </w:r>
          </w:p>
        </w:tc>
        <w:tc>
          <w:tcPr>
            <w:tcW w:w="1039" w:type="dxa"/>
            <w:tcBorders>
              <w:top w:val="single" w:sz="4" w:space="0" w:color="auto"/>
              <w:bottom w:val="single" w:sz="4" w:space="0" w:color="auto"/>
            </w:tcBorders>
            <w:shd w:val="clear" w:color="auto" w:fill="FFFFFF" w:themeFill="background1"/>
          </w:tcPr>
          <w:p w14:paraId="5DFF8D55" w14:textId="77777777" w:rsidR="00FF07B1" w:rsidRPr="003711B1" w:rsidRDefault="00FF07B1" w:rsidP="00887DB7">
            <w:pPr>
              <w:jc w:val="both"/>
              <w:rPr>
                <w:rFonts w:cstheme="minorHAnsi"/>
                <w:b/>
                <w:bCs/>
              </w:rPr>
            </w:pPr>
            <w:r w:rsidRPr="003711B1">
              <w:rPr>
                <w:rFonts w:cstheme="minorHAnsi"/>
                <w:b/>
                <w:bCs/>
              </w:rPr>
              <w:t>COSTIND</w:t>
            </w:r>
          </w:p>
        </w:tc>
        <w:tc>
          <w:tcPr>
            <w:tcW w:w="868" w:type="dxa"/>
            <w:tcBorders>
              <w:top w:val="single" w:sz="4" w:space="0" w:color="auto"/>
              <w:bottom w:val="single" w:sz="4" w:space="0" w:color="auto"/>
            </w:tcBorders>
            <w:shd w:val="clear" w:color="auto" w:fill="FFFFFF" w:themeFill="background1"/>
          </w:tcPr>
          <w:p w14:paraId="2FDDE9F2" w14:textId="77777777" w:rsidR="00FF07B1" w:rsidRPr="003711B1" w:rsidRDefault="00FF07B1" w:rsidP="00887DB7">
            <w:pPr>
              <w:jc w:val="both"/>
              <w:rPr>
                <w:rFonts w:cstheme="minorHAnsi"/>
                <w:b/>
                <w:bCs/>
              </w:rPr>
            </w:pPr>
            <w:r w:rsidRPr="003711B1">
              <w:rPr>
                <w:rFonts w:cstheme="minorHAnsi"/>
                <w:b/>
                <w:bCs/>
              </w:rPr>
              <w:t>DMCK</w:t>
            </w:r>
          </w:p>
        </w:tc>
        <w:tc>
          <w:tcPr>
            <w:tcW w:w="852" w:type="dxa"/>
            <w:tcBorders>
              <w:top w:val="single" w:sz="4" w:space="0" w:color="auto"/>
              <w:bottom w:val="single" w:sz="4" w:space="0" w:color="auto"/>
            </w:tcBorders>
            <w:shd w:val="clear" w:color="auto" w:fill="FFFFFF" w:themeFill="background1"/>
          </w:tcPr>
          <w:p w14:paraId="6F64AA40" w14:textId="77777777" w:rsidR="00FF07B1" w:rsidRPr="003711B1" w:rsidRDefault="00FF07B1" w:rsidP="00887DB7">
            <w:pPr>
              <w:jc w:val="both"/>
              <w:rPr>
                <w:rFonts w:cstheme="minorHAnsi"/>
                <w:b/>
                <w:bCs/>
              </w:rPr>
            </w:pPr>
            <w:r w:rsidRPr="003711B1">
              <w:rPr>
                <w:rFonts w:cstheme="minorHAnsi"/>
                <w:b/>
                <w:bCs/>
              </w:rPr>
              <w:t>DMCKI</w:t>
            </w:r>
          </w:p>
        </w:tc>
        <w:tc>
          <w:tcPr>
            <w:tcW w:w="1121" w:type="dxa"/>
            <w:tcBorders>
              <w:top w:val="single" w:sz="4" w:space="0" w:color="auto"/>
              <w:bottom w:val="single" w:sz="4" w:space="0" w:color="auto"/>
            </w:tcBorders>
            <w:shd w:val="clear" w:color="auto" w:fill="FFFFFF" w:themeFill="background1"/>
          </w:tcPr>
          <w:p w14:paraId="03E44214" w14:textId="77777777" w:rsidR="00FF07B1" w:rsidRPr="003711B1" w:rsidRDefault="00FF07B1" w:rsidP="00887DB7">
            <w:pPr>
              <w:jc w:val="both"/>
              <w:rPr>
                <w:rFonts w:cstheme="minorHAnsi"/>
                <w:b/>
                <w:bCs/>
              </w:rPr>
            </w:pPr>
            <w:r w:rsidRPr="003711B1">
              <w:rPr>
                <w:rFonts w:cstheme="minorHAnsi"/>
                <w:b/>
                <w:bCs/>
              </w:rPr>
              <w:t>TIME</w:t>
            </w:r>
          </w:p>
        </w:tc>
        <w:tc>
          <w:tcPr>
            <w:tcW w:w="852" w:type="dxa"/>
            <w:tcBorders>
              <w:top w:val="single" w:sz="4" w:space="0" w:color="auto"/>
              <w:bottom w:val="single" w:sz="4" w:space="0" w:color="auto"/>
            </w:tcBorders>
            <w:shd w:val="clear" w:color="auto" w:fill="FFFFFF" w:themeFill="background1"/>
          </w:tcPr>
          <w:p w14:paraId="66C7B13C" w14:textId="77777777" w:rsidR="00FF07B1" w:rsidRPr="003711B1" w:rsidRDefault="00FF07B1" w:rsidP="00887DB7">
            <w:pPr>
              <w:jc w:val="both"/>
              <w:rPr>
                <w:rFonts w:cstheme="minorHAnsi"/>
                <w:b/>
                <w:bCs/>
              </w:rPr>
            </w:pPr>
            <w:r w:rsidRPr="003711B1">
              <w:rPr>
                <w:rFonts w:cstheme="minorHAnsi"/>
                <w:b/>
                <w:bCs/>
              </w:rPr>
              <w:t>RHO</w:t>
            </w:r>
          </w:p>
        </w:tc>
        <w:tc>
          <w:tcPr>
            <w:tcW w:w="719" w:type="dxa"/>
            <w:tcBorders>
              <w:top w:val="single" w:sz="4" w:space="0" w:color="auto"/>
              <w:bottom w:val="single" w:sz="4" w:space="0" w:color="auto"/>
            </w:tcBorders>
            <w:shd w:val="clear" w:color="auto" w:fill="FFFFFF" w:themeFill="background1"/>
          </w:tcPr>
          <w:p w14:paraId="15E73EF0" w14:textId="77777777" w:rsidR="00FF07B1" w:rsidRPr="003711B1" w:rsidRDefault="00FF07B1" w:rsidP="00887DB7">
            <w:pPr>
              <w:pStyle w:val="NormalWeb"/>
              <w:spacing w:before="0" w:beforeAutospacing="0" w:after="0" w:afterAutospacing="0"/>
              <w:rPr>
                <w:rFonts w:asciiTheme="minorHAnsi" w:hAnsiTheme="minorHAnsi" w:cstheme="minorHAnsi"/>
                <w:b/>
                <w:bCs/>
                <w:sz w:val="22"/>
                <w:szCs w:val="22"/>
              </w:rPr>
            </w:pPr>
            <w:r w:rsidRPr="003711B1">
              <w:rPr>
                <w:rFonts w:asciiTheme="minorHAnsi" w:hAnsiTheme="minorHAnsi" w:cstheme="minorHAnsi"/>
                <w:b/>
                <w:bCs/>
                <w:position w:val="12"/>
                <w:sz w:val="22"/>
                <w:szCs w:val="22"/>
              </w:rPr>
              <w:t>R</w:t>
            </w:r>
            <w:r w:rsidRPr="003711B1">
              <w:rPr>
                <w:rFonts w:asciiTheme="minorHAnsi" w:hAnsiTheme="minorHAnsi" w:cstheme="minorHAnsi"/>
                <w:b/>
                <w:bCs/>
                <w:position w:val="12"/>
                <w:sz w:val="22"/>
                <w:szCs w:val="22"/>
                <w:vertAlign w:val="superscript"/>
              </w:rPr>
              <w:t>2</w:t>
            </w:r>
          </w:p>
        </w:tc>
        <w:tc>
          <w:tcPr>
            <w:tcW w:w="719" w:type="dxa"/>
            <w:tcBorders>
              <w:top w:val="single" w:sz="4" w:space="0" w:color="auto"/>
              <w:bottom w:val="single" w:sz="4" w:space="0" w:color="auto"/>
            </w:tcBorders>
            <w:shd w:val="clear" w:color="auto" w:fill="FFFFFF" w:themeFill="background1"/>
          </w:tcPr>
          <w:p w14:paraId="6366457E" w14:textId="77777777" w:rsidR="00FF07B1" w:rsidRPr="003711B1" w:rsidRDefault="00FF07B1" w:rsidP="00887DB7">
            <w:pPr>
              <w:jc w:val="both"/>
              <w:rPr>
                <w:rFonts w:cstheme="minorHAnsi"/>
                <w:b/>
                <w:bCs/>
              </w:rPr>
            </w:pPr>
            <w:r w:rsidRPr="003711B1">
              <w:rPr>
                <w:rFonts w:cstheme="minorHAnsi"/>
                <w:b/>
                <w:bCs/>
              </w:rPr>
              <w:t>DW</w:t>
            </w:r>
          </w:p>
        </w:tc>
        <w:tc>
          <w:tcPr>
            <w:tcW w:w="1795" w:type="dxa"/>
            <w:tcBorders>
              <w:top w:val="single" w:sz="4" w:space="0" w:color="auto"/>
              <w:bottom w:val="single" w:sz="4" w:space="0" w:color="auto"/>
            </w:tcBorders>
            <w:shd w:val="clear" w:color="auto" w:fill="FFFFFF" w:themeFill="background1"/>
          </w:tcPr>
          <w:p w14:paraId="6584D77A" w14:textId="77777777" w:rsidR="00FF07B1" w:rsidRPr="003711B1" w:rsidRDefault="00FF07B1" w:rsidP="00887DB7">
            <w:pPr>
              <w:jc w:val="both"/>
              <w:rPr>
                <w:rFonts w:cstheme="minorHAnsi"/>
                <w:b/>
                <w:bCs/>
              </w:rPr>
            </w:pPr>
            <w:r w:rsidRPr="003711B1">
              <w:rPr>
                <w:rFonts w:cstheme="minorHAnsi"/>
                <w:b/>
                <w:bCs/>
              </w:rPr>
              <w:t>Method</w:t>
            </w:r>
          </w:p>
        </w:tc>
      </w:tr>
      <w:tr w:rsidR="00EE4781" w:rsidRPr="003711B1" w14:paraId="6AF158CC" w14:textId="77777777" w:rsidTr="00887DB7">
        <w:trPr>
          <w:trHeight w:val="251"/>
          <w:jc w:val="center"/>
        </w:trPr>
        <w:tc>
          <w:tcPr>
            <w:tcW w:w="1229" w:type="dxa"/>
          </w:tcPr>
          <w:p w14:paraId="75B5E521" w14:textId="6CFDD84D" w:rsidR="00EE4781" w:rsidRPr="003711B1" w:rsidRDefault="00EE4781" w:rsidP="00EE4781">
            <w:pPr>
              <w:jc w:val="both"/>
              <w:rPr>
                <w:rFonts w:cstheme="minorHAnsi"/>
              </w:rPr>
            </w:pPr>
            <w:r>
              <w:rPr>
                <w:rFonts w:cstheme="minorHAnsi"/>
                <w:sz w:val="20"/>
                <w:szCs w:val="20"/>
              </w:rPr>
              <w:t>6.025</w:t>
            </w:r>
          </w:p>
        </w:tc>
        <w:tc>
          <w:tcPr>
            <w:tcW w:w="1039" w:type="dxa"/>
          </w:tcPr>
          <w:p w14:paraId="5E2425C6" w14:textId="3A0F97CE" w:rsidR="00EE4781" w:rsidRPr="003711B1" w:rsidRDefault="00EE4781" w:rsidP="00EE4781">
            <w:pPr>
              <w:jc w:val="both"/>
              <w:rPr>
                <w:rFonts w:cstheme="minorHAnsi"/>
              </w:rPr>
            </w:pPr>
            <w:r w:rsidRPr="00A21649">
              <w:rPr>
                <w:rFonts w:cstheme="minorHAnsi"/>
                <w:sz w:val="20"/>
                <w:szCs w:val="20"/>
              </w:rPr>
              <w:t>0.</w:t>
            </w:r>
            <w:r>
              <w:rPr>
                <w:rFonts w:cstheme="minorHAnsi"/>
                <w:sz w:val="20"/>
                <w:szCs w:val="20"/>
              </w:rPr>
              <w:t>869</w:t>
            </w:r>
          </w:p>
        </w:tc>
        <w:tc>
          <w:tcPr>
            <w:tcW w:w="868" w:type="dxa"/>
          </w:tcPr>
          <w:p w14:paraId="2BCA0C0D" w14:textId="3684A2E1" w:rsidR="00EE4781" w:rsidRPr="003711B1" w:rsidRDefault="00EE4781" w:rsidP="00EE4781">
            <w:pPr>
              <w:jc w:val="both"/>
              <w:rPr>
                <w:rFonts w:cstheme="minorHAnsi"/>
              </w:rPr>
            </w:pPr>
            <w:r w:rsidRPr="00A21649">
              <w:rPr>
                <w:rFonts w:cstheme="minorHAnsi"/>
                <w:sz w:val="20"/>
                <w:szCs w:val="20"/>
              </w:rPr>
              <w:t>-0.1</w:t>
            </w:r>
            <w:r>
              <w:rPr>
                <w:rFonts w:cstheme="minorHAnsi"/>
                <w:sz w:val="20"/>
                <w:szCs w:val="20"/>
              </w:rPr>
              <w:t>97</w:t>
            </w:r>
          </w:p>
        </w:tc>
        <w:tc>
          <w:tcPr>
            <w:tcW w:w="852" w:type="dxa"/>
          </w:tcPr>
          <w:p w14:paraId="013D1084" w14:textId="78B63EF3" w:rsidR="00EE4781" w:rsidRPr="003711B1" w:rsidRDefault="00EE4781" w:rsidP="00EE4781">
            <w:pPr>
              <w:jc w:val="both"/>
              <w:rPr>
                <w:rFonts w:cstheme="minorHAnsi"/>
                <w:b/>
                <w:bCs/>
              </w:rPr>
            </w:pPr>
            <w:r w:rsidRPr="00A21649">
              <w:rPr>
                <w:rFonts w:cstheme="minorHAnsi"/>
                <w:sz w:val="20"/>
                <w:szCs w:val="20"/>
              </w:rPr>
              <w:t>22.564</w:t>
            </w:r>
          </w:p>
        </w:tc>
        <w:tc>
          <w:tcPr>
            <w:tcW w:w="1121" w:type="dxa"/>
          </w:tcPr>
          <w:p w14:paraId="1EAF3780" w14:textId="680460E9" w:rsidR="00EE4781" w:rsidRPr="003711B1" w:rsidRDefault="00EE4781" w:rsidP="00EE4781">
            <w:pPr>
              <w:jc w:val="both"/>
              <w:rPr>
                <w:rFonts w:cstheme="minorHAnsi"/>
              </w:rPr>
            </w:pPr>
            <w:r>
              <w:rPr>
                <w:rFonts w:cstheme="minorHAnsi"/>
                <w:sz w:val="20"/>
                <w:szCs w:val="20"/>
              </w:rPr>
              <w:t>0.447</w:t>
            </w:r>
          </w:p>
        </w:tc>
        <w:tc>
          <w:tcPr>
            <w:tcW w:w="852" w:type="dxa"/>
          </w:tcPr>
          <w:p w14:paraId="42F0EF09" w14:textId="1A7C1F3B" w:rsidR="00EE4781" w:rsidRPr="003711B1" w:rsidRDefault="00EE4781" w:rsidP="00EE4781">
            <w:pPr>
              <w:jc w:val="both"/>
              <w:rPr>
                <w:rFonts w:cstheme="minorHAnsi"/>
              </w:rPr>
            </w:pPr>
            <w:r w:rsidRPr="00A21649">
              <w:rPr>
                <w:rFonts w:cstheme="minorHAnsi"/>
                <w:sz w:val="20"/>
                <w:szCs w:val="20"/>
              </w:rPr>
              <w:t>0.</w:t>
            </w:r>
            <w:r>
              <w:rPr>
                <w:rFonts w:cstheme="minorHAnsi"/>
                <w:sz w:val="20"/>
                <w:szCs w:val="20"/>
              </w:rPr>
              <w:t>412</w:t>
            </w:r>
          </w:p>
        </w:tc>
        <w:tc>
          <w:tcPr>
            <w:tcW w:w="719" w:type="dxa"/>
          </w:tcPr>
          <w:p w14:paraId="300F00D4" w14:textId="36151B74" w:rsidR="00EE4781" w:rsidRPr="003711B1" w:rsidRDefault="00EE4781" w:rsidP="00EE4781">
            <w:pPr>
              <w:jc w:val="both"/>
              <w:rPr>
                <w:rFonts w:cstheme="minorHAnsi"/>
              </w:rPr>
            </w:pPr>
            <w:r w:rsidRPr="00A21649">
              <w:rPr>
                <w:sz w:val="20"/>
                <w:szCs w:val="20"/>
              </w:rPr>
              <w:t>0.98</w:t>
            </w:r>
          </w:p>
        </w:tc>
        <w:tc>
          <w:tcPr>
            <w:tcW w:w="719" w:type="dxa"/>
          </w:tcPr>
          <w:p w14:paraId="4A9F8B00" w14:textId="1F96F1B5" w:rsidR="00EE4781" w:rsidRPr="003711B1" w:rsidRDefault="00EE4781" w:rsidP="00EE4781">
            <w:pPr>
              <w:jc w:val="both"/>
              <w:rPr>
                <w:rFonts w:cstheme="minorHAnsi"/>
              </w:rPr>
            </w:pPr>
            <w:r w:rsidRPr="00EE4781">
              <w:rPr>
                <w:sz w:val="20"/>
                <w:szCs w:val="20"/>
              </w:rPr>
              <w:t>2.20</w:t>
            </w:r>
          </w:p>
        </w:tc>
        <w:tc>
          <w:tcPr>
            <w:tcW w:w="1795" w:type="dxa"/>
          </w:tcPr>
          <w:p w14:paraId="65A44B80" w14:textId="6820A5BD" w:rsidR="00EE4781" w:rsidRPr="002D4398" w:rsidRDefault="00EE4781" w:rsidP="00EE4781">
            <w:pPr>
              <w:jc w:val="both"/>
              <w:rPr>
                <w:rFonts w:cstheme="minorHAnsi"/>
              </w:rPr>
            </w:pPr>
            <w:r w:rsidRPr="002D4398">
              <w:rPr>
                <w:rFonts w:cstheme="minorHAnsi"/>
              </w:rPr>
              <w:t>OLS</w:t>
            </w:r>
            <w:r w:rsidR="004114A9" w:rsidRPr="002D4398">
              <w:rPr>
                <w:rFonts w:cstheme="minorHAnsi"/>
              </w:rPr>
              <w:t>-AR1</w:t>
            </w:r>
          </w:p>
        </w:tc>
      </w:tr>
      <w:tr w:rsidR="00EE4781" w:rsidRPr="003711B1" w14:paraId="13120AC1" w14:textId="77777777" w:rsidTr="00887DB7">
        <w:trPr>
          <w:trHeight w:val="251"/>
          <w:jc w:val="center"/>
        </w:trPr>
        <w:tc>
          <w:tcPr>
            <w:tcW w:w="1229" w:type="dxa"/>
          </w:tcPr>
          <w:p w14:paraId="47E86825" w14:textId="6FE1F6FF" w:rsidR="00EE4781" w:rsidRPr="003711B1" w:rsidRDefault="00EE4781" w:rsidP="00EE4781">
            <w:pPr>
              <w:jc w:val="both"/>
              <w:rPr>
                <w:rFonts w:cstheme="minorHAnsi"/>
              </w:rPr>
            </w:pPr>
            <w:r w:rsidRPr="00A21649">
              <w:rPr>
                <w:rFonts w:cstheme="minorHAnsi"/>
                <w:sz w:val="20"/>
                <w:szCs w:val="20"/>
              </w:rPr>
              <w:t>(</w:t>
            </w:r>
            <w:r>
              <w:rPr>
                <w:rFonts w:cstheme="minorHAnsi"/>
                <w:sz w:val="20"/>
                <w:szCs w:val="20"/>
              </w:rPr>
              <w:t>0.44</w:t>
            </w:r>
            <w:r w:rsidRPr="00A21649">
              <w:rPr>
                <w:rFonts w:cstheme="minorHAnsi"/>
                <w:sz w:val="20"/>
                <w:szCs w:val="20"/>
              </w:rPr>
              <w:t>)</w:t>
            </w:r>
          </w:p>
        </w:tc>
        <w:tc>
          <w:tcPr>
            <w:tcW w:w="1039" w:type="dxa"/>
          </w:tcPr>
          <w:p w14:paraId="39F02BC8" w14:textId="4B8ED0F5" w:rsidR="00EE4781" w:rsidRPr="003711B1" w:rsidRDefault="00EE4781" w:rsidP="00EE4781">
            <w:pPr>
              <w:jc w:val="both"/>
              <w:rPr>
                <w:rFonts w:cstheme="minorHAnsi"/>
              </w:rPr>
            </w:pPr>
            <w:r w:rsidRPr="00A21649">
              <w:rPr>
                <w:rFonts w:cstheme="minorHAnsi"/>
                <w:sz w:val="20"/>
                <w:szCs w:val="20"/>
              </w:rPr>
              <w:t>(</w:t>
            </w:r>
            <w:r>
              <w:rPr>
                <w:rFonts w:cstheme="minorHAnsi"/>
                <w:sz w:val="20"/>
                <w:szCs w:val="20"/>
              </w:rPr>
              <w:t>61.83</w:t>
            </w:r>
            <w:r w:rsidRPr="00A21649">
              <w:rPr>
                <w:rFonts w:cstheme="minorHAnsi"/>
                <w:sz w:val="20"/>
                <w:szCs w:val="20"/>
              </w:rPr>
              <w:t>)</w:t>
            </w:r>
          </w:p>
        </w:tc>
        <w:tc>
          <w:tcPr>
            <w:tcW w:w="868" w:type="dxa"/>
          </w:tcPr>
          <w:p w14:paraId="4DCC776A" w14:textId="48CD00D3" w:rsidR="00EE4781" w:rsidRPr="003711B1" w:rsidRDefault="00EE4781" w:rsidP="00EE4781">
            <w:pPr>
              <w:jc w:val="both"/>
              <w:rPr>
                <w:rFonts w:cstheme="minorHAnsi"/>
              </w:rPr>
            </w:pPr>
            <w:r w:rsidRPr="00A21649">
              <w:rPr>
                <w:rFonts w:cstheme="minorHAnsi"/>
                <w:sz w:val="20"/>
                <w:szCs w:val="20"/>
              </w:rPr>
              <w:t>(-2.</w:t>
            </w:r>
            <w:r>
              <w:rPr>
                <w:rFonts w:cstheme="minorHAnsi"/>
                <w:sz w:val="20"/>
                <w:szCs w:val="20"/>
              </w:rPr>
              <w:t>27</w:t>
            </w:r>
            <w:r w:rsidRPr="00A21649">
              <w:rPr>
                <w:rFonts w:cstheme="minorHAnsi"/>
                <w:sz w:val="20"/>
                <w:szCs w:val="20"/>
              </w:rPr>
              <w:t>)</w:t>
            </w:r>
          </w:p>
        </w:tc>
        <w:tc>
          <w:tcPr>
            <w:tcW w:w="852" w:type="dxa"/>
          </w:tcPr>
          <w:p w14:paraId="380DFC98" w14:textId="152935AA" w:rsidR="00EE4781" w:rsidRPr="003711B1" w:rsidRDefault="00EE4781" w:rsidP="00EE4781">
            <w:pPr>
              <w:jc w:val="both"/>
              <w:rPr>
                <w:rFonts w:cstheme="minorHAnsi"/>
                <w:b/>
                <w:bCs/>
              </w:rPr>
            </w:pPr>
            <w:r w:rsidRPr="00A21649">
              <w:rPr>
                <w:rFonts w:cstheme="minorHAnsi"/>
                <w:sz w:val="20"/>
                <w:szCs w:val="20"/>
              </w:rPr>
              <w:t>(1.35)</w:t>
            </w:r>
          </w:p>
        </w:tc>
        <w:tc>
          <w:tcPr>
            <w:tcW w:w="1121" w:type="dxa"/>
          </w:tcPr>
          <w:p w14:paraId="0BA019F4" w14:textId="39DB25EA" w:rsidR="00EE4781" w:rsidRPr="003711B1" w:rsidRDefault="00EE4781" w:rsidP="00EE4781">
            <w:pPr>
              <w:jc w:val="both"/>
              <w:rPr>
                <w:rFonts w:cstheme="minorHAnsi"/>
              </w:rPr>
            </w:pPr>
            <w:r w:rsidRPr="00A21649">
              <w:rPr>
                <w:rFonts w:cstheme="minorHAnsi"/>
                <w:sz w:val="20"/>
                <w:szCs w:val="20"/>
              </w:rPr>
              <w:t>(</w:t>
            </w:r>
            <w:r>
              <w:rPr>
                <w:rFonts w:cstheme="minorHAnsi"/>
                <w:sz w:val="20"/>
                <w:szCs w:val="20"/>
              </w:rPr>
              <w:t>0.87</w:t>
            </w:r>
            <w:r w:rsidRPr="00A21649">
              <w:rPr>
                <w:rFonts w:cstheme="minorHAnsi"/>
                <w:sz w:val="20"/>
                <w:szCs w:val="20"/>
              </w:rPr>
              <w:t>)</w:t>
            </w:r>
          </w:p>
        </w:tc>
        <w:tc>
          <w:tcPr>
            <w:tcW w:w="852" w:type="dxa"/>
          </w:tcPr>
          <w:p w14:paraId="18106B1A" w14:textId="696AB43F" w:rsidR="00EE4781" w:rsidRPr="003711B1" w:rsidRDefault="00EE4781" w:rsidP="00EE4781">
            <w:pPr>
              <w:jc w:val="both"/>
              <w:rPr>
                <w:rFonts w:cstheme="minorHAnsi"/>
              </w:rPr>
            </w:pPr>
            <w:r w:rsidRPr="00A21649">
              <w:rPr>
                <w:rFonts w:cstheme="minorHAnsi"/>
                <w:sz w:val="20"/>
                <w:szCs w:val="20"/>
              </w:rPr>
              <w:t>(</w:t>
            </w:r>
            <w:r>
              <w:rPr>
                <w:rFonts w:cstheme="minorHAnsi"/>
                <w:sz w:val="20"/>
                <w:szCs w:val="20"/>
              </w:rPr>
              <w:t>2.42</w:t>
            </w:r>
            <w:r w:rsidRPr="00A21649">
              <w:rPr>
                <w:rFonts w:cstheme="minorHAnsi"/>
                <w:sz w:val="20"/>
                <w:szCs w:val="20"/>
              </w:rPr>
              <w:t>)</w:t>
            </w:r>
          </w:p>
        </w:tc>
        <w:tc>
          <w:tcPr>
            <w:tcW w:w="719" w:type="dxa"/>
          </w:tcPr>
          <w:p w14:paraId="48E98688" w14:textId="77777777" w:rsidR="00EE4781" w:rsidRPr="003711B1" w:rsidRDefault="00EE4781" w:rsidP="00EE4781">
            <w:pPr>
              <w:jc w:val="both"/>
              <w:rPr>
                <w:rFonts w:cstheme="minorHAnsi"/>
              </w:rPr>
            </w:pPr>
          </w:p>
        </w:tc>
        <w:tc>
          <w:tcPr>
            <w:tcW w:w="719" w:type="dxa"/>
          </w:tcPr>
          <w:p w14:paraId="41DAF130" w14:textId="77777777" w:rsidR="00EE4781" w:rsidRPr="003711B1" w:rsidRDefault="00EE4781" w:rsidP="00EE4781">
            <w:pPr>
              <w:jc w:val="both"/>
              <w:rPr>
                <w:rFonts w:cstheme="minorHAnsi"/>
              </w:rPr>
            </w:pPr>
          </w:p>
        </w:tc>
        <w:tc>
          <w:tcPr>
            <w:tcW w:w="1795" w:type="dxa"/>
          </w:tcPr>
          <w:p w14:paraId="076399DB" w14:textId="77777777" w:rsidR="00EE4781" w:rsidRPr="002D4398" w:rsidRDefault="00EE4781" w:rsidP="00EE4781">
            <w:pPr>
              <w:jc w:val="both"/>
              <w:rPr>
                <w:rFonts w:cstheme="minorHAnsi"/>
              </w:rPr>
            </w:pPr>
          </w:p>
        </w:tc>
      </w:tr>
      <w:tr w:rsidR="00EE4781" w:rsidRPr="003711B1" w14:paraId="0533966E" w14:textId="77777777" w:rsidTr="00FF07B1">
        <w:trPr>
          <w:trHeight w:val="260"/>
          <w:jc w:val="center"/>
        </w:trPr>
        <w:tc>
          <w:tcPr>
            <w:tcW w:w="1229" w:type="dxa"/>
          </w:tcPr>
          <w:p w14:paraId="36333753" w14:textId="5B6FB07D" w:rsidR="00EE4781" w:rsidRPr="003711B1" w:rsidRDefault="00EE4781" w:rsidP="00EE4781">
            <w:pPr>
              <w:jc w:val="both"/>
              <w:rPr>
                <w:rFonts w:cstheme="minorHAnsi"/>
              </w:rPr>
            </w:pPr>
            <w:r>
              <w:rPr>
                <w:rFonts w:cstheme="minorHAnsi"/>
              </w:rPr>
              <w:t>8.2533</w:t>
            </w:r>
          </w:p>
        </w:tc>
        <w:tc>
          <w:tcPr>
            <w:tcW w:w="1039" w:type="dxa"/>
          </w:tcPr>
          <w:p w14:paraId="65DE413E" w14:textId="3F9B8EA0" w:rsidR="00EE4781" w:rsidRPr="003711B1" w:rsidRDefault="00EE4781" w:rsidP="00EE4781">
            <w:pPr>
              <w:jc w:val="both"/>
              <w:rPr>
                <w:rFonts w:cstheme="minorHAnsi"/>
              </w:rPr>
            </w:pPr>
            <w:r w:rsidRPr="003711B1">
              <w:rPr>
                <w:rFonts w:cstheme="minorHAnsi"/>
              </w:rPr>
              <w:t>0.</w:t>
            </w:r>
            <w:r>
              <w:rPr>
                <w:rFonts w:cstheme="minorHAnsi"/>
              </w:rPr>
              <w:t>869</w:t>
            </w:r>
          </w:p>
        </w:tc>
        <w:tc>
          <w:tcPr>
            <w:tcW w:w="868" w:type="dxa"/>
          </w:tcPr>
          <w:p w14:paraId="1A79DC6A" w14:textId="042F0A0B" w:rsidR="00EE4781" w:rsidRPr="003711B1" w:rsidRDefault="00EE4781" w:rsidP="00EE4781">
            <w:pPr>
              <w:jc w:val="both"/>
              <w:rPr>
                <w:rFonts w:cstheme="minorHAnsi"/>
              </w:rPr>
            </w:pPr>
            <w:r w:rsidRPr="003711B1">
              <w:rPr>
                <w:rFonts w:cstheme="minorHAnsi"/>
              </w:rPr>
              <w:t>-0.</w:t>
            </w:r>
            <w:r>
              <w:rPr>
                <w:rFonts w:cstheme="minorHAnsi"/>
              </w:rPr>
              <w:t>243</w:t>
            </w:r>
          </w:p>
        </w:tc>
        <w:tc>
          <w:tcPr>
            <w:tcW w:w="852" w:type="dxa"/>
          </w:tcPr>
          <w:p w14:paraId="50098FC5" w14:textId="78C2354C" w:rsidR="00EE4781" w:rsidRPr="009A2DC9" w:rsidRDefault="00EE4781" w:rsidP="00EE4781">
            <w:pPr>
              <w:jc w:val="both"/>
              <w:rPr>
                <w:rFonts w:cstheme="minorHAnsi"/>
              </w:rPr>
            </w:pPr>
            <w:r w:rsidRPr="009A2DC9">
              <w:rPr>
                <w:rFonts w:cstheme="minorHAnsi"/>
              </w:rPr>
              <w:t>29.528</w:t>
            </w:r>
          </w:p>
        </w:tc>
        <w:tc>
          <w:tcPr>
            <w:tcW w:w="1121" w:type="dxa"/>
          </w:tcPr>
          <w:p w14:paraId="19DD5A6D" w14:textId="7C97054D" w:rsidR="00EE4781" w:rsidRPr="003711B1" w:rsidRDefault="00EE4781" w:rsidP="00EE4781">
            <w:pPr>
              <w:jc w:val="both"/>
              <w:rPr>
                <w:rFonts w:cstheme="minorHAnsi"/>
              </w:rPr>
            </w:pPr>
            <w:r>
              <w:rPr>
                <w:rFonts w:cstheme="minorHAnsi"/>
              </w:rPr>
              <w:t>0.509</w:t>
            </w:r>
          </w:p>
        </w:tc>
        <w:tc>
          <w:tcPr>
            <w:tcW w:w="852" w:type="dxa"/>
          </w:tcPr>
          <w:p w14:paraId="5BE2C39D" w14:textId="2F8978FD" w:rsidR="00EE4781" w:rsidRPr="003711B1" w:rsidRDefault="00EE4781" w:rsidP="00EE4781">
            <w:pPr>
              <w:jc w:val="both"/>
              <w:rPr>
                <w:rFonts w:cstheme="minorHAnsi"/>
              </w:rPr>
            </w:pPr>
            <w:r w:rsidRPr="003711B1">
              <w:rPr>
                <w:rFonts w:cstheme="minorHAnsi"/>
              </w:rPr>
              <w:t>0.</w:t>
            </w:r>
            <w:r>
              <w:rPr>
                <w:rFonts w:cstheme="minorHAnsi"/>
              </w:rPr>
              <w:t>236</w:t>
            </w:r>
          </w:p>
        </w:tc>
        <w:tc>
          <w:tcPr>
            <w:tcW w:w="719" w:type="dxa"/>
          </w:tcPr>
          <w:p w14:paraId="25774AD5" w14:textId="5EEB3CB9" w:rsidR="00EE4781" w:rsidRPr="003711B1" w:rsidRDefault="00EE4781" w:rsidP="00EE4781">
            <w:pPr>
              <w:jc w:val="both"/>
              <w:rPr>
                <w:rFonts w:cstheme="minorHAnsi"/>
              </w:rPr>
            </w:pPr>
            <w:r w:rsidRPr="003711B1">
              <w:rPr>
                <w:rFonts w:cstheme="minorHAnsi"/>
              </w:rPr>
              <w:t>0.9</w:t>
            </w:r>
            <w:r>
              <w:rPr>
                <w:rFonts w:cstheme="minorHAnsi"/>
              </w:rPr>
              <w:t>8</w:t>
            </w:r>
          </w:p>
        </w:tc>
        <w:tc>
          <w:tcPr>
            <w:tcW w:w="719" w:type="dxa"/>
          </w:tcPr>
          <w:p w14:paraId="6C7E9D53" w14:textId="037E8B48" w:rsidR="00EE4781" w:rsidRPr="003711B1" w:rsidRDefault="00EE4781" w:rsidP="00EE4781">
            <w:pPr>
              <w:jc w:val="both"/>
              <w:rPr>
                <w:rFonts w:cstheme="minorHAnsi"/>
              </w:rPr>
            </w:pPr>
            <w:r w:rsidRPr="003711B1">
              <w:rPr>
                <w:rFonts w:cstheme="minorHAnsi"/>
              </w:rPr>
              <w:t>1.</w:t>
            </w:r>
            <w:r>
              <w:rPr>
                <w:rFonts w:cstheme="minorHAnsi"/>
              </w:rPr>
              <w:t>83</w:t>
            </w:r>
          </w:p>
        </w:tc>
        <w:tc>
          <w:tcPr>
            <w:tcW w:w="1795" w:type="dxa"/>
          </w:tcPr>
          <w:p w14:paraId="50667216" w14:textId="1B8491D3" w:rsidR="00EE4781" w:rsidRPr="002D4398" w:rsidRDefault="00EE4781" w:rsidP="00EE4781">
            <w:pPr>
              <w:jc w:val="both"/>
              <w:rPr>
                <w:rFonts w:cstheme="minorHAnsi"/>
              </w:rPr>
            </w:pPr>
            <w:r w:rsidRPr="002D4398">
              <w:rPr>
                <w:rFonts w:cstheme="minorHAnsi"/>
              </w:rPr>
              <w:t>LSQ</w:t>
            </w:r>
            <w:r w:rsidR="004114A9" w:rsidRPr="002D4398">
              <w:rPr>
                <w:rFonts w:cstheme="minorHAnsi"/>
              </w:rPr>
              <w:t>-AR1</w:t>
            </w:r>
          </w:p>
        </w:tc>
      </w:tr>
      <w:tr w:rsidR="00EE4781" w:rsidRPr="003711B1" w14:paraId="136F10BE" w14:textId="77777777" w:rsidTr="00EE4781">
        <w:trPr>
          <w:trHeight w:val="251"/>
          <w:jc w:val="center"/>
        </w:trPr>
        <w:tc>
          <w:tcPr>
            <w:tcW w:w="1229" w:type="dxa"/>
          </w:tcPr>
          <w:p w14:paraId="271EA4AC" w14:textId="1BCE12D9" w:rsidR="00EE4781" w:rsidRPr="003711B1" w:rsidRDefault="00EE4781" w:rsidP="00EE4781">
            <w:pPr>
              <w:jc w:val="both"/>
              <w:rPr>
                <w:rFonts w:cstheme="minorHAnsi"/>
              </w:rPr>
            </w:pPr>
            <w:r w:rsidRPr="003711B1">
              <w:rPr>
                <w:rFonts w:cstheme="minorHAnsi"/>
              </w:rPr>
              <w:t>(</w:t>
            </w:r>
            <w:r>
              <w:rPr>
                <w:rFonts w:cstheme="minorHAnsi"/>
              </w:rPr>
              <w:t>0.60</w:t>
            </w:r>
            <w:r w:rsidRPr="003711B1">
              <w:rPr>
                <w:rFonts w:cstheme="minorHAnsi"/>
              </w:rPr>
              <w:t>)</w:t>
            </w:r>
          </w:p>
        </w:tc>
        <w:tc>
          <w:tcPr>
            <w:tcW w:w="1039" w:type="dxa"/>
          </w:tcPr>
          <w:p w14:paraId="5DA0227D" w14:textId="7ABFC97B" w:rsidR="00EE4781" w:rsidRPr="003711B1" w:rsidRDefault="00EE4781" w:rsidP="00EE4781">
            <w:pPr>
              <w:jc w:val="both"/>
              <w:rPr>
                <w:rFonts w:cstheme="minorHAnsi"/>
              </w:rPr>
            </w:pPr>
            <w:r w:rsidRPr="003711B1">
              <w:rPr>
                <w:rFonts w:cstheme="minorHAnsi"/>
              </w:rPr>
              <w:t>(</w:t>
            </w:r>
            <w:r>
              <w:rPr>
                <w:rFonts w:cstheme="minorHAnsi"/>
              </w:rPr>
              <w:t>51.79</w:t>
            </w:r>
            <w:r w:rsidRPr="003711B1">
              <w:rPr>
                <w:rFonts w:cstheme="minorHAnsi"/>
              </w:rPr>
              <w:t>)</w:t>
            </w:r>
          </w:p>
        </w:tc>
        <w:tc>
          <w:tcPr>
            <w:tcW w:w="868" w:type="dxa"/>
          </w:tcPr>
          <w:p w14:paraId="6358049A" w14:textId="1F6B4131" w:rsidR="00EE4781" w:rsidRPr="003711B1" w:rsidRDefault="00EE4781" w:rsidP="00EE4781">
            <w:pPr>
              <w:jc w:val="both"/>
              <w:rPr>
                <w:rFonts w:cstheme="minorHAnsi"/>
              </w:rPr>
            </w:pPr>
            <w:r w:rsidRPr="003711B1">
              <w:rPr>
                <w:rFonts w:cstheme="minorHAnsi"/>
              </w:rPr>
              <w:t>(-2.</w:t>
            </w:r>
            <w:r>
              <w:rPr>
                <w:rFonts w:cstheme="minorHAnsi"/>
              </w:rPr>
              <w:t>85</w:t>
            </w:r>
            <w:r w:rsidRPr="003711B1">
              <w:rPr>
                <w:rFonts w:cstheme="minorHAnsi"/>
              </w:rPr>
              <w:t>)</w:t>
            </w:r>
          </w:p>
        </w:tc>
        <w:tc>
          <w:tcPr>
            <w:tcW w:w="852" w:type="dxa"/>
          </w:tcPr>
          <w:p w14:paraId="42B57710" w14:textId="29B82303" w:rsidR="00EE4781" w:rsidRPr="009A2DC9" w:rsidRDefault="00EE4781" w:rsidP="00EE4781">
            <w:pPr>
              <w:jc w:val="both"/>
              <w:rPr>
                <w:rFonts w:cstheme="minorHAnsi"/>
              </w:rPr>
            </w:pPr>
            <w:r w:rsidRPr="009A2DC9">
              <w:rPr>
                <w:rFonts w:cstheme="minorHAnsi"/>
              </w:rPr>
              <w:t>(1.81)</w:t>
            </w:r>
          </w:p>
        </w:tc>
        <w:tc>
          <w:tcPr>
            <w:tcW w:w="1121" w:type="dxa"/>
          </w:tcPr>
          <w:p w14:paraId="46A588F6" w14:textId="178580FA" w:rsidR="00EE4781" w:rsidRPr="003711B1" w:rsidRDefault="00EE4781" w:rsidP="00EE4781">
            <w:pPr>
              <w:jc w:val="both"/>
              <w:rPr>
                <w:rFonts w:cstheme="minorHAnsi"/>
              </w:rPr>
            </w:pPr>
            <w:r w:rsidRPr="003711B1">
              <w:rPr>
                <w:rFonts w:cstheme="minorHAnsi"/>
              </w:rPr>
              <w:t>(</w:t>
            </w:r>
            <w:r>
              <w:rPr>
                <w:rFonts w:cstheme="minorHAnsi"/>
              </w:rPr>
              <w:t>0.91</w:t>
            </w:r>
            <w:r w:rsidRPr="003711B1">
              <w:rPr>
                <w:rFonts w:cstheme="minorHAnsi"/>
              </w:rPr>
              <w:t>)</w:t>
            </w:r>
          </w:p>
        </w:tc>
        <w:tc>
          <w:tcPr>
            <w:tcW w:w="852" w:type="dxa"/>
          </w:tcPr>
          <w:p w14:paraId="578431A3" w14:textId="7856E7FE" w:rsidR="00EE4781" w:rsidRPr="003711B1" w:rsidRDefault="00EE4781" w:rsidP="00EE4781">
            <w:pPr>
              <w:jc w:val="both"/>
              <w:rPr>
                <w:rFonts w:cstheme="minorHAnsi"/>
              </w:rPr>
            </w:pPr>
            <w:r w:rsidRPr="003711B1">
              <w:rPr>
                <w:rFonts w:cstheme="minorHAnsi"/>
              </w:rPr>
              <w:t>(</w:t>
            </w:r>
            <w:r>
              <w:rPr>
                <w:rFonts w:cstheme="minorHAnsi"/>
              </w:rPr>
              <w:t>1.47</w:t>
            </w:r>
            <w:r w:rsidRPr="003711B1">
              <w:rPr>
                <w:rFonts w:cstheme="minorHAnsi"/>
              </w:rPr>
              <w:t>)</w:t>
            </w:r>
          </w:p>
        </w:tc>
        <w:tc>
          <w:tcPr>
            <w:tcW w:w="719" w:type="dxa"/>
          </w:tcPr>
          <w:p w14:paraId="0571261E" w14:textId="77777777" w:rsidR="00EE4781" w:rsidRPr="003711B1" w:rsidRDefault="00EE4781" w:rsidP="00EE4781">
            <w:pPr>
              <w:jc w:val="both"/>
              <w:rPr>
                <w:rFonts w:cstheme="minorHAnsi"/>
              </w:rPr>
            </w:pPr>
          </w:p>
        </w:tc>
        <w:tc>
          <w:tcPr>
            <w:tcW w:w="719" w:type="dxa"/>
          </w:tcPr>
          <w:p w14:paraId="60CFEF97" w14:textId="77777777" w:rsidR="00EE4781" w:rsidRPr="003711B1" w:rsidRDefault="00EE4781" w:rsidP="00EE4781">
            <w:pPr>
              <w:jc w:val="both"/>
              <w:rPr>
                <w:rFonts w:cstheme="minorHAnsi"/>
              </w:rPr>
            </w:pPr>
          </w:p>
        </w:tc>
        <w:tc>
          <w:tcPr>
            <w:tcW w:w="1795" w:type="dxa"/>
          </w:tcPr>
          <w:p w14:paraId="24275185" w14:textId="77777777" w:rsidR="00EE4781" w:rsidRPr="002D4398" w:rsidRDefault="00EE4781" w:rsidP="00EE4781">
            <w:pPr>
              <w:jc w:val="both"/>
              <w:rPr>
                <w:rFonts w:cstheme="minorHAnsi"/>
              </w:rPr>
            </w:pPr>
          </w:p>
        </w:tc>
      </w:tr>
      <w:tr w:rsidR="00EE4781" w:rsidRPr="003711B1" w14:paraId="20E5AC68" w14:textId="77777777" w:rsidTr="00EE4781">
        <w:trPr>
          <w:trHeight w:val="251"/>
          <w:jc w:val="center"/>
        </w:trPr>
        <w:tc>
          <w:tcPr>
            <w:tcW w:w="1229" w:type="dxa"/>
          </w:tcPr>
          <w:p w14:paraId="3D2ADDF4" w14:textId="62582BAF" w:rsidR="00EE4781" w:rsidRPr="003711B1" w:rsidRDefault="004114A9" w:rsidP="00EE4781">
            <w:pPr>
              <w:jc w:val="both"/>
              <w:rPr>
                <w:rFonts w:cstheme="minorHAnsi"/>
              </w:rPr>
            </w:pPr>
            <w:r>
              <w:rPr>
                <w:rFonts w:cstheme="minorHAnsi"/>
              </w:rPr>
              <w:t>5.903</w:t>
            </w:r>
          </w:p>
        </w:tc>
        <w:tc>
          <w:tcPr>
            <w:tcW w:w="1039" w:type="dxa"/>
          </w:tcPr>
          <w:p w14:paraId="30919F53" w14:textId="2204763E" w:rsidR="00EE4781" w:rsidRPr="003711B1" w:rsidRDefault="004114A9" w:rsidP="00EE4781">
            <w:pPr>
              <w:jc w:val="both"/>
              <w:rPr>
                <w:rFonts w:cstheme="minorHAnsi"/>
              </w:rPr>
            </w:pPr>
            <w:r>
              <w:rPr>
                <w:rFonts w:cstheme="minorHAnsi"/>
              </w:rPr>
              <w:t>0.866</w:t>
            </w:r>
          </w:p>
        </w:tc>
        <w:tc>
          <w:tcPr>
            <w:tcW w:w="868" w:type="dxa"/>
          </w:tcPr>
          <w:p w14:paraId="5D9A0A25" w14:textId="0D5FCBBB" w:rsidR="00EE4781" w:rsidRPr="003711B1" w:rsidRDefault="004114A9" w:rsidP="00EE4781">
            <w:pPr>
              <w:jc w:val="both"/>
              <w:rPr>
                <w:rFonts w:cstheme="minorHAnsi"/>
              </w:rPr>
            </w:pPr>
            <w:r>
              <w:rPr>
                <w:rFonts w:cstheme="minorHAnsi"/>
              </w:rPr>
              <w:t>-0.233</w:t>
            </w:r>
          </w:p>
        </w:tc>
        <w:tc>
          <w:tcPr>
            <w:tcW w:w="852" w:type="dxa"/>
          </w:tcPr>
          <w:p w14:paraId="798402DB" w14:textId="70E255C0" w:rsidR="00EE4781" w:rsidRPr="009A2DC9" w:rsidRDefault="004114A9" w:rsidP="00EE4781">
            <w:pPr>
              <w:jc w:val="both"/>
              <w:rPr>
                <w:rFonts w:cstheme="minorHAnsi"/>
              </w:rPr>
            </w:pPr>
            <w:r w:rsidRPr="009A2DC9">
              <w:rPr>
                <w:rFonts w:cstheme="minorHAnsi"/>
              </w:rPr>
              <w:t>25.471</w:t>
            </w:r>
          </w:p>
        </w:tc>
        <w:tc>
          <w:tcPr>
            <w:tcW w:w="1121" w:type="dxa"/>
          </w:tcPr>
          <w:p w14:paraId="586E8E75" w14:textId="0D4CD249" w:rsidR="00EE4781" w:rsidRPr="003711B1" w:rsidRDefault="004114A9" w:rsidP="00EE4781">
            <w:pPr>
              <w:jc w:val="both"/>
              <w:rPr>
                <w:rFonts w:cstheme="minorHAnsi"/>
              </w:rPr>
            </w:pPr>
            <w:r>
              <w:rPr>
                <w:rFonts w:cstheme="minorHAnsi"/>
              </w:rPr>
              <w:t>0.693</w:t>
            </w:r>
          </w:p>
        </w:tc>
        <w:tc>
          <w:tcPr>
            <w:tcW w:w="852" w:type="dxa"/>
          </w:tcPr>
          <w:p w14:paraId="245C04EF" w14:textId="1BA3F84F" w:rsidR="00EE4781" w:rsidRPr="003711B1" w:rsidRDefault="004114A9" w:rsidP="00EE4781">
            <w:pPr>
              <w:jc w:val="both"/>
              <w:rPr>
                <w:rFonts w:cstheme="minorHAnsi"/>
              </w:rPr>
            </w:pPr>
            <w:r>
              <w:rPr>
                <w:rFonts w:cstheme="minorHAnsi"/>
              </w:rPr>
              <w:t>0.300</w:t>
            </w:r>
          </w:p>
        </w:tc>
        <w:tc>
          <w:tcPr>
            <w:tcW w:w="719" w:type="dxa"/>
          </w:tcPr>
          <w:p w14:paraId="793603E9" w14:textId="12FAA643" w:rsidR="00EE4781" w:rsidRPr="003711B1" w:rsidRDefault="004114A9" w:rsidP="00EE4781">
            <w:pPr>
              <w:jc w:val="both"/>
              <w:rPr>
                <w:rFonts w:cstheme="minorHAnsi"/>
              </w:rPr>
            </w:pPr>
            <w:r>
              <w:rPr>
                <w:rFonts w:cstheme="minorHAnsi"/>
              </w:rPr>
              <w:t>0.99</w:t>
            </w:r>
          </w:p>
        </w:tc>
        <w:tc>
          <w:tcPr>
            <w:tcW w:w="719" w:type="dxa"/>
          </w:tcPr>
          <w:p w14:paraId="2840FF9A" w14:textId="1C3FF902" w:rsidR="00EE4781" w:rsidRPr="003711B1" w:rsidRDefault="004114A9" w:rsidP="00EE4781">
            <w:pPr>
              <w:jc w:val="both"/>
              <w:rPr>
                <w:rFonts w:cstheme="minorHAnsi"/>
              </w:rPr>
            </w:pPr>
            <w:r>
              <w:rPr>
                <w:rFonts w:cstheme="minorHAnsi"/>
              </w:rPr>
              <w:t>1.10</w:t>
            </w:r>
          </w:p>
        </w:tc>
        <w:tc>
          <w:tcPr>
            <w:tcW w:w="1795" w:type="dxa"/>
          </w:tcPr>
          <w:p w14:paraId="609A7775" w14:textId="12687301" w:rsidR="00EE4781" w:rsidRPr="002D4398" w:rsidRDefault="004114A9" w:rsidP="00EE4781">
            <w:pPr>
              <w:jc w:val="both"/>
              <w:rPr>
                <w:rFonts w:cstheme="minorHAnsi"/>
              </w:rPr>
            </w:pPr>
            <w:r w:rsidRPr="002D4398">
              <w:rPr>
                <w:rFonts w:cstheme="minorHAnsi"/>
              </w:rPr>
              <w:t>SUR-AR1</w:t>
            </w:r>
          </w:p>
        </w:tc>
      </w:tr>
      <w:tr w:rsidR="00EE4781" w:rsidRPr="003711B1" w14:paraId="0353D246" w14:textId="77777777" w:rsidTr="00FF07B1">
        <w:trPr>
          <w:trHeight w:val="251"/>
          <w:jc w:val="center"/>
        </w:trPr>
        <w:tc>
          <w:tcPr>
            <w:tcW w:w="1229" w:type="dxa"/>
            <w:tcBorders>
              <w:bottom w:val="single" w:sz="4" w:space="0" w:color="auto"/>
            </w:tcBorders>
          </w:tcPr>
          <w:p w14:paraId="5902A80E" w14:textId="4EFDD46A" w:rsidR="00EE4781" w:rsidRPr="003711B1" w:rsidRDefault="004114A9" w:rsidP="00EE4781">
            <w:pPr>
              <w:jc w:val="both"/>
              <w:rPr>
                <w:rFonts w:cstheme="minorHAnsi"/>
              </w:rPr>
            </w:pPr>
            <w:r>
              <w:rPr>
                <w:rFonts w:cstheme="minorHAnsi"/>
              </w:rPr>
              <w:t>(0.45)</w:t>
            </w:r>
          </w:p>
        </w:tc>
        <w:tc>
          <w:tcPr>
            <w:tcW w:w="1039" w:type="dxa"/>
            <w:tcBorders>
              <w:bottom w:val="single" w:sz="4" w:space="0" w:color="auto"/>
            </w:tcBorders>
          </w:tcPr>
          <w:p w14:paraId="55F6020B" w14:textId="0644C949" w:rsidR="00EE4781" w:rsidRPr="003711B1" w:rsidRDefault="004114A9" w:rsidP="00EE4781">
            <w:pPr>
              <w:jc w:val="both"/>
              <w:rPr>
                <w:rFonts w:cstheme="minorHAnsi"/>
              </w:rPr>
            </w:pPr>
            <w:r>
              <w:rPr>
                <w:rFonts w:cstheme="minorHAnsi"/>
              </w:rPr>
              <w:t>(57.96)</w:t>
            </w:r>
          </w:p>
        </w:tc>
        <w:tc>
          <w:tcPr>
            <w:tcW w:w="868" w:type="dxa"/>
            <w:tcBorders>
              <w:bottom w:val="single" w:sz="4" w:space="0" w:color="auto"/>
            </w:tcBorders>
          </w:tcPr>
          <w:p w14:paraId="59B93B7B" w14:textId="08AAEA2B" w:rsidR="00EE4781" w:rsidRPr="003711B1" w:rsidRDefault="004114A9" w:rsidP="00EE4781">
            <w:pPr>
              <w:jc w:val="both"/>
              <w:rPr>
                <w:rFonts w:cstheme="minorHAnsi"/>
              </w:rPr>
            </w:pPr>
            <w:r>
              <w:rPr>
                <w:rFonts w:cstheme="minorHAnsi"/>
              </w:rPr>
              <w:t>(-3.07)</w:t>
            </w:r>
          </w:p>
        </w:tc>
        <w:tc>
          <w:tcPr>
            <w:tcW w:w="852" w:type="dxa"/>
            <w:tcBorders>
              <w:bottom w:val="single" w:sz="4" w:space="0" w:color="auto"/>
            </w:tcBorders>
          </w:tcPr>
          <w:p w14:paraId="322BD592" w14:textId="5E08A724" w:rsidR="00EE4781" w:rsidRPr="009A2DC9" w:rsidRDefault="004114A9" w:rsidP="00EE4781">
            <w:pPr>
              <w:jc w:val="both"/>
              <w:rPr>
                <w:rFonts w:cstheme="minorHAnsi"/>
              </w:rPr>
            </w:pPr>
            <w:r w:rsidRPr="009A2DC9">
              <w:rPr>
                <w:rFonts w:cstheme="minorHAnsi"/>
              </w:rPr>
              <w:t>(1.74)</w:t>
            </w:r>
          </w:p>
        </w:tc>
        <w:tc>
          <w:tcPr>
            <w:tcW w:w="1121" w:type="dxa"/>
            <w:tcBorders>
              <w:bottom w:val="single" w:sz="4" w:space="0" w:color="auto"/>
            </w:tcBorders>
          </w:tcPr>
          <w:p w14:paraId="56AD0D7E" w14:textId="59D98F20" w:rsidR="00EE4781" w:rsidRPr="003711B1" w:rsidRDefault="004114A9" w:rsidP="00EE4781">
            <w:pPr>
              <w:jc w:val="both"/>
              <w:rPr>
                <w:rFonts w:cstheme="minorHAnsi"/>
              </w:rPr>
            </w:pPr>
            <w:r>
              <w:rPr>
                <w:rFonts w:cstheme="minorHAnsi"/>
              </w:rPr>
              <w:t>(1.36)</w:t>
            </w:r>
          </w:p>
        </w:tc>
        <w:tc>
          <w:tcPr>
            <w:tcW w:w="852" w:type="dxa"/>
            <w:tcBorders>
              <w:bottom w:val="single" w:sz="4" w:space="0" w:color="auto"/>
            </w:tcBorders>
          </w:tcPr>
          <w:p w14:paraId="47EB713E" w14:textId="0ECA50C4" w:rsidR="00EE4781" w:rsidRPr="003711B1" w:rsidRDefault="004114A9" w:rsidP="00EE4781">
            <w:pPr>
              <w:jc w:val="both"/>
              <w:rPr>
                <w:rFonts w:cstheme="minorHAnsi"/>
              </w:rPr>
            </w:pPr>
            <w:r>
              <w:rPr>
                <w:rFonts w:cstheme="minorHAnsi"/>
              </w:rPr>
              <w:t>(2.11)</w:t>
            </w:r>
          </w:p>
        </w:tc>
        <w:tc>
          <w:tcPr>
            <w:tcW w:w="719" w:type="dxa"/>
            <w:tcBorders>
              <w:bottom w:val="single" w:sz="4" w:space="0" w:color="auto"/>
            </w:tcBorders>
          </w:tcPr>
          <w:p w14:paraId="2E642287" w14:textId="77777777" w:rsidR="00EE4781" w:rsidRPr="003711B1" w:rsidRDefault="00EE4781" w:rsidP="00EE4781">
            <w:pPr>
              <w:jc w:val="both"/>
              <w:rPr>
                <w:rFonts w:cstheme="minorHAnsi"/>
              </w:rPr>
            </w:pPr>
          </w:p>
        </w:tc>
        <w:tc>
          <w:tcPr>
            <w:tcW w:w="719" w:type="dxa"/>
            <w:tcBorders>
              <w:bottom w:val="single" w:sz="4" w:space="0" w:color="auto"/>
            </w:tcBorders>
          </w:tcPr>
          <w:p w14:paraId="528D6810" w14:textId="77777777" w:rsidR="00EE4781" w:rsidRPr="003711B1" w:rsidRDefault="00EE4781" w:rsidP="00EE4781">
            <w:pPr>
              <w:jc w:val="both"/>
              <w:rPr>
                <w:rFonts w:cstheme="minorHAnsi"/>
              </w:rPr>
            </w:pPr>
          </w:p>
        </w:tc>
        <w:tc>
          <w:tcPr>
            <w:tcW w:w="1795" w:type="dxa"/>
            <w:tcBorders>
              <w:bottom w:val="single" w:sz="4" w:space="0" w:color="auto"/>
            </w:tcBorders>
          </w:tcPr>
          <w:p w14:paraId="15DE118C" w14:textId="77777777" w:rsidR="00EE4781" w:rsidRPr="003711B1" w:rsidRDefault="00EE4781" w:rsidP="00EE4781">
            <w:pPr>
              <w:jc w:val="both"/>
              <w:rPr>
                <w:rFonts w:cstheme="minorHAnsi"/>
              </w:rPr>
            </w:pPr>
          </w:p>
        </w:tc>
      </w:tr>
    </w:tbl>
    <w:p w14:paraId="77956EFB" w14:textId="77777777" w:rsidR="00FF07B1" w:rsidRDefault="00FF07B1" w:rsidP="00FF07B1">
      <w:pPr>
        <w:jc w:val="center"/>
        <w:rPr>
          <w:rFonts w:cstheme="minorHAnsi"/>
          <w:sz w:val="20"/>
          <w:szCs w:val="20"/>
        </w:rPr>
      </w:pPr>
      <w:r w:rsidRPr="003711B1">
        <w:rPr>
          <w:rFonts w:cstheme="minorHAnsi"/>
          <w:i/>
          <w:iCs/>
          <w:sz w:val="20"/>
          <w:szCs w:val="20"/>
        </w:rPr>
        <w:t>Note</w:t>
      </w:r>
      <w:r w:rsidRPr="003711B1">
        <w:rPr>
          <w:rFonts w:cstheme="minorHAnsi"/>
          <w:sz w:val="20"/>
          <w:szCs w:val="20"/>
        </w:rPr>
        <w:t xml:space="preserve">: </w:t>
      </w:r>
      <w:proofErr w:type="gramStart"/>
      <w:r w:rsidRPr="003711B1">
        <w:rPr>
          <w:rFonts w:cstheme="minorHAnsi"/>
          <w:sz w:val="20"/>
          <w:szCs w:val="20"/>
        </w:rPr>
        <w:t>All t</w:t>
      </w:r>
      <w:proofErr w:type="gramEnd"/>
      <w:r w:rsidRPr="003711B1">
        <w:rPr>
          <w:rFonts w:cstheme="minorHAnsi"/>
          <w:sz w:val="20"/>
          <w:szCs w:val="20"/>
        </w:rPr>
        <w:t>-statistics are tested at the 5% level of significance</w:t>
      </w:r>
      <w:r>
        <w:rPr>
          <w:rFonts w:cstheme="minorHAnsi"/>
          <w:sz w:val="20"/>
          <w:szCs w:val="20"/>
        </w:rPr>
        <w:t>.</w:t>
      </w:r>
      <w:r w:rsidRPr="003711B1">
        <w:rPr>
          <w:rFonts w:cstheme="minorHAnsi"/>
          <w:sz w:val="20"/>
          <w:szCs w:val="20"/>
        </w:rPr>
        <w:t xml:space="preserve"> Values in brackets are t-statistics</w:t>
      </w:r>
      <w:r>
        <w:rPr>
          <w:rFonts w:cstheme="minorHAnsi"/>
          <w:sz w:val="20"/>
          <w:szCs w:val="20"/>
        </w:rPr>
        <w:t>.</w:t>
      </w:r>
    </w:p>
    <w:p w14:paraId="3ACF9689" w14:textId="77777777" w:rsidR="00FF07B1" w:rsidRDefault="00FF07B1" w:rsidP="00FF07B1">
      <w:pPr>
        <w:jc w:val="both"/>
        <w:rPr>
          <w:rFonts w:cstheme="minorHAnsi"/>
          <w:sz w:val="20"/>
          <w:szCs w:val="20"/>
        </w:rPr>
      </w:pPr>
    </w:p>
    <w:p w14:paraId="4DF2051E" w14:textId="10782858" w:rsidR="00C215BC" w:rsidRDefault="00C215BC" w:rsidP="00C215BC">
      <w:pPr>
        <w:jc w:val="center"/>
        <w:rPr>
          <w:rFonts w:eastAsia="Calibri" w:cstheme="minorHAnsi"/>
          <w:b/>
        </w:rPr>
      </w:pPr>
      <w:r w:rsidRPr="002E30FF">
        <w:rPr>
          <w:rFonts w:eastAsia="Calibri" w:cstheme="minorHAnsi"/>
          <w:b/>
        </w:rPr>
        <w:t>Table</w:t>
      </w:r>
      <w:r w:rsidRPr="002E30FF">
        <w:rPr>
          <w:rFonts w:eastAsia="Calibri" w:cstheme="minorHAnsi"/>
          <w:b/>
          <w:spacing w:val="-4"/>
        </w:rPr>
        <w:t xml:space="preserve"> </w:t>
      </w:r>
      <w:r>
        <w:rPr>
          <w:rFonts w:eastAsia="Calibri" w:cstheme="minorHAnsi"/>
          <w:b/>
          <w:spacing w:val="-4"/>
        </w:rPr>
        <w:t>9</w:t>
      </w:r>
      <w:r w:rsidRPr="002E30FF">
        <w:rPr>
          <w:rFonts w:eastAsia="Calibri" w:cstheme="minorHAnsi"/>
          <w:b/>
        </w:rPr>
        <w:t>.</w:t>
      </w:r>
      <w:r w:rsidRPr="002E30FF">
        <w:rPr>
          <w:rFonts w:eastAsia="Calibri" w:cstheme="minorHAnsi"/>
          <w:b/>
          <w:spacing w:val="-4"/>
        </w:rPr>
        <w:t xml:space="preserve"> Restricted </w:t>
      </w:r>
      <w:r>
        <w:rPr>
          <w:rFonts w:eastAsia="Calibri" w:cstheme="minorHAnsi"/>
          <w:b/>
          <w:spacing w:val="-4"/>
        </w:rPr>
        <w:t>r</w:t>
      </w:r>
      <w:r w:rsidRPr="002E30FF">
        <w:rPr>
          <w:rFonts w:eastAsia="Calibri" w:cstheme="minorHAnsi"/>
          <w:b/>
        </w:rPr>
        <w:t>egression</w:t>
      </w:r>
      <w:r w:rsidRPr="002E30FF">
        <w:rPr>
          <w:rFonts w:eastAsia="Calibri" w:cstheme="minorHAnsi"/>
          <w:b/>
          <w:spacing w:val="-4"/>
        </w:rPr>
        <w:t xml:space="preserve"> </w:t>
      </w:r>
      <w:r>
        <w:rPr>
          <w:rFonts w:eastAsia="Calibri" w:cstheme="minorHAnsi"/>
          <w:b/>
          <w:spacing w:val="-4"/>
        </w:rPr>
        <w:t>e</w:t>
      </w:r>
      <w:r w:rsidRPr="002E30FF">
        <w:rPr>
          <w:rFonts w:eastAsia="Calibri" w:cstheme="minorHAnsi"/>
          <w:b/>
        </w:rPr>
        <w:t>stimates</w:t>
      </w:r>
      <w:r w:rsidRPr="002E30FF">
        <w:rPr>
          <w:rFonts w:eastAsia="Calibri" w:cstheme="minorHAnsi"/>
          <w:b/>
          <w:spacing w:val="-4"/>
        </w:rPr>
        <w:t xml:space="preserve"> </w:t>
      </w:r>
      <w:r w:rsidRPr="002E30FF">
        <w:rPr>
          <w:rFonts w:eastAsia="Calibri" w:cstheme="minorHAnsi"/>
          <w:b/>
        </w:rPr>
        <w:t>for</w:t>
      </w:r>
      <w:r w:rsidRPr="002E30FF">
        <w:rPr>
          <w:rFonts w:eastAsia="Calibri" w:cstheme="minorHAnsi"/>
          <w:b/>
          <w:spacing w:val="-4"/>
        </w:rPr>
        <w:t xml:space="preserve"> </w:t>
      </w:r>
      <w:r>
        <w:rPr>
          <w:rFonts w:eastAsia="Calibri" w:cstheme="minorHAnsi"/>
          <w:b/>
          <w:spacing w:val="-4"/>
        </w:rPr>
        <w:t>r</w:t>
      </w:r>
      <w:r w:rsidRPr="002E30FF">
        <w:rPr>
          <w:rFonts w:eastAsia="Calibri" w:cstheme="minorHAnsi"/>
          <w:b/>
        </w:rPr>
        <w:t>eal</w:t>
      </w:r>
      <w:r w:rsidRPr="002E30FF">
        <w:rPr>
          <w:rFonts w:eastAsia="Calibri" w:cstheme="minorHAnsi"/>
          <w:b/>
          <w:spacing w:val="-4"/>
        </w:rPr>
        <w:t xml:space="preserve"> </w:t>
      </w:r>
      <w:r w:rsidR="00FF07B1">
        <w:rPr>
          <w:rFonts w:eastAsia="Calibri" w:cstheme="minorHAnsi"/>
          <w:b/>
          <w:spacing w:val="-4"/>
        </w:rPr>
        <w:t xml:space="preserve">domestic </w:t>
      </w:r>
      <w:r>
        <w:rPr>
          <w:rFonts w:eastAsia="Calibri" w:cstheme="minorHAnsi"/>
          <w:b/>
          <w:spacing w:val="-4"/>
        </w:rPr>
        <w:t>b</w:t>
      </w:r>
      <w:r w:rsidRPr="002E30FF">
        <w:rPr>
          <w:rFonts w:eastAsia="Calibri" w:cstheme="minorHAnsi"/>
          <w:b/>
        </w:rPr>
        <w:t>eef</w:t>
      </w:r>
      <w:r w:rsidRPr="002E30FF">
        <w:rPr>
          <w:rFonts w:eastAsia="Calibri" w:cstheme="minorHAnsi"/>
          <w:b/>
          <w:spacing w:val="-4"/>
        </w:rPr>
        <w:t xml:space="preserve"> </w:t>
      </w:r>
      <w:r>
        <w:rPr>
          <w:rFonts w:eastAsia="Calibri" w:cstheme="minorHAnsi"/>
          <w:b/>
          <w:spacing w:val="-4"/>
        </w:rPr>
        <w:t>m</w:t>
      </w:r>
      <w:r w:rsidRPr="002E30FF">
        <w:rPr>
          <w:rFonts w:eastAsia="Calibri" w:cstheme="minorHAnsi"/>
          <w:b/>
        </w:rPr>
        <w:t>argin</w:t>
      </w:r>
      <w:r w:rsidRPr="002E30FF">
        <w:rPr>
          <w:rFonts w:eastAsia="Calibri" w:cstheme="minorHAnsi"/>
          <w:b/>
          <w:spacing w:val="-4"/>
        </w:rPr>
        <w:t xml:space="preserve"> </w:t>
      </w:r>
      <w:r>
        <w:rPr>
          <w:rFonts w:eastAsia="Calibri" w:cstheme="minorHAnsi"/>
          <w:b/>
          <w:spacing w:val="-4"/>
        </w:rPr>
        <w:t>e</w:t>
      </w:r>
      <w:r w:rsidRPr="002E30FF">
        <w:rPr>
          <w:rFonts w:eastAsia="Calibri" w:cstheme="minorHAnsi"/>
          <w:b/>
        </w:rPr>
        <w:t>quations</w:t>
      </w:r>
      <w:r w:rsidRPr="002E30FF">
        <w:rPr>
          <w:rFonts w:eastAsia="Calibri" w:cstheme="minorHAnsi"/>
          <w:b/>
          <w:spacing w:val="-4"/>
        </w:rPr>
        <w:t xml:space="preserve"> </w:t>
      </w:r>
      <w:r w:rsidRPr="002E30FF">
        <w:rPr>
          <w:rFonts w:eastAsia="Calibri" w:cstheme="minorHAnsi"/>
          <w:b/>
        </w:rPr>
        <w:t>197</w:t>
      </w:r>
      <w:r>
        <w:rPr>
          <w:rFonts w:eastAsia="Calibri" w:cstheme="minorHAnsi"/>
          <w:b/>
        </w:rPr>
        <w:t>6</w:t>
      </w:r>
      <w:r w:rsidRPr="002E30FF">
        <w:rPr>
          <w:rFonts w:eastAsia="Calibri" w:cstheme="minorHAnsi"/>
          <w:b/>
          <w:spacing w:val="-4"/>
        </w:rPr>
        <w:t xml:space="preserve"> </w:t>
      </w:r>
      <w:r w:rsidRPr="002E30FF">
        <w:rPr>
          <w:rFonts w:eastAsia="Calibri" w:cstheme="minorHAnsi"/>
          <w:b/>
        </w:rPr>
        <w:t>–</w:t>
      </w:r>
      <w:r w:rsidRPr="002E30FF">
        <w:rPr>
          <w:rFonts w:eastAsia="Calibri" w:cstheme="minorHAnsi"/>
          <w:b/>
          <w:spacing w:val="-4"/>
        </w:rPr>
        <w:t xml:space="preserve"> </w:t>
      </w:r>
      <w:r w:rsidRPr="002E30FF">
        <w:rPr>
          <w:rFonts w:eastAsia="Calibri" w:cstheme="minorHAnsi"/>
          <w:b/>
        </w:rPr>
        <w:t>20</w:t>
      </w:r>
      <w:r>
        <w:rPr>
          <w:rFonts w:eastAsia="Calibri" w:cstheme="minorHAnsi"/>
          <w:b/>
        </w:rPr>
        <w:t xml:space="preserve">21 </w:t>
      </w:r>
      <w:r w:rsidRPr="009203D1">
        <w:rPr>
          <w:rFonts w:eastAsia="Calibri" w:cs="Calibri"/>
          <w:b/>
        </w:rPr>
        <w:t>(</w:t>
      </w:r>
      <w:r w:rsidRPr="009203D1">
        <w:rPr>
          <w:b/>
          <w:w w:val="95"/>
        </w:rPr>
        <w:t>t</w:t>
      </w:r>
      <w:r w:rsidRPr="009203D1">
        <w:rPr>
          <w:b/>
        </w:rPr>
        <w:t>-statistics</w:t>
      </w:r>
      <w:r w:rsidRPr="009203D1">
        <w:rPr>
          <w:b/>
          <w:spacing w:val="-4"/>
        </w:rPr>
        <w:t xml:space="preserve"> </w:t>
      </w:r>
      <w:r w:rsidRPr="009203D1">
        <w:rPr>
          <w:b/>
        </w:rPr>
        <w:t>are</w:t>
      </w:r>
      <w:r w:rsidRPr="009203D1">
        <w:rPr>
          <w:b/>
          <w:spacing w:val="-4"/>
        </w:rPr>
        <w:t xml:space="preserve"> </w:t>
      </w:r>
      <w:r w:rsidRPr="009203D1">
        <w:rPr>
          <w:b/>
        </w:rPr>
        <w:t>in</w:t>
      </w:r>
      <w:r w:rsidRPr="009203D1">
        <w:rPr>
          <w:b/>
          <w:spacing w:val="-4"/>
        </w:rPr>
        <w:t xml:space="preserve"> </w:t>
      </w:r>
      <w:r w:rsidRPr="009203D1">
        <w:rPr>
          <w:b/>
        </w:rPr>
        <w:t>brackets)</w:t>
      </w:r>
    </w:p>
    <w:p w14:paraId="58BB20D2" w14:textId="77777777" w:rsidR="00C215BC" w:rsidRPr="002E30FF" w:rsidRDefault="00C215BC" w:rsidP="00C215BC">
      <w:pPr>
        <w:jc w:val="center"/>
        <w:rPr>
          <w:rFonts w:eastAsia="Calibri" w:cstheme="minorHAnsi"/>
        </w:rPr>
      </w:pPr>
    </w:p>
    <w:tbl>
      <w:tblPr>
        <w:tblW w:w="13928" w:type="dxa"/>
        <w:jc w:val="center"/>
        <w:tblBorders>
          <w:top w:val="single" w:sz="4" w:space="0" w:color="BFBFBF"/>
          <w:bottom w:val="single" w:sz="4" w:space="0" w:color="BFBFBF"/>
          <w:insideH w:val="single" w:sz="4" w:space="0" w:color="BFBFBF"/>
        </w:tblBorders>
        <w:tblLayout w:type="fixed"/>
        <w:tblCellMar>
          <w:left w:w="0" w:type="dxa"/>
          <w:right w:w="0" w:type="dxa"/>
        </w:tblCellMar>
        <w:tblLook w:val="01E0" w:firstRow="1" w:lastRow="1" w:firstColumn="1" w:lastColumn="1" w:noHBand="0" w:noVBand="0"/>
      </w:tblPr>
      <w:tblGrid>
        <w:gridCol w:w="1170"/>
        <w:gridCol w:w="1276"/>
        <w:gridCol w:w="1276"/>
        <w:gridCol w:w="1275"/>
        <w:gridCol w:w="1134"/>
        <w:gridCol w:w="1134"/>
        <w:gridCol w:w="1134"/>
        <w:gridCol w:w="1134"/>
        <w:gridCol w:w="993"/>
        <w:gridCol w:w="1134"/>
        <w:gridCol w:w="2268"/>
      </w:tblGrid>
      <w:tr w:rsidR="00C215BC" w:rsidRPr="009203D1" w14:paraId="7A6F0068" w14:textId="77777777" w:rsidTr="00A94739">
        <w:trPr>
          <w:trHeight w:hRule="exact" w:val="268"/>
          <w:jc w:val="center"/>
        </w:trPr>
        <w:tc>
          <w:tcPr>
            <w:tcW w:w="1170" w:type="dxa"/>
          </w:tcPr>
          <w:p w14:paraId="1DE6F8B9" w14:textId="77777777" w:rsidR="00C215BC" w:rsidRPr="009203D1" w:rsidRDefault="00C215BC" w:rsidP="00887DB7">
            <w:pPr>
              <w:pStyle w:val="TableParagraph"/>
              <w:jc w:val="center"/>
              <w:rPr>
                <w:rFonts w:eastAsia="Calibri" w:cstheme="minorHAnsi"/>
                <w:sz w:val="20"/>
                <w:szCs w:val="20"/>
              </w:rPr>
            </w:pPr>
            <w:r w:rsidRPr="009203D1">
              <w:rPr>
                <w:rFonts w:cstheme="minorHAnsi"/>
                <w:b/>
                <w:sz w:val="20"/>
                <w:szCs w:val="20"/>
              </w:rPr>
              <w:t>Constant</w:t>
            </w:r>
          </w:p>
        </w:tc>
        <w:tc>
          <w:tcPr>
            <w:tcW w:w="1276" w:type="dxa"/>
          </w:tcPr>
          <w:p w14:paraId="40E0A248" w14:textId="77777777" w:rsidR="00C215BC" w:rsidRPr="009203D1" w:rsidRDefault="00C215BC" w:rsidP="00887DB7">
            <w:pPr>
              <w:pStyle w:val="TableParagraph"/>
              <w:jc w:val="center"/>
              <w:rPr>
                <w:rFonts w:eastAsia="Calibri" w:cstheme="minorHAnsi"/>
                <w:sz w:val="20"/>
                <w:szCs w:val="20"/>
              </w:rPr>
            </w:pPr>
            <w:r w:rsidRPr="009203D1">
              <w:rPr>
                <w:rFonts w:cstheme="minorHAnsi"/>
                <w:b/>
                <w:sz w:val="20"/>
                <w:szCs w:val="20"/>
              </w:rPr>
              <w:t>COSTIND</w:t>
            </w:r>
          </w:p>
        </w:tc>
        <w:tc>
          <w:tcPr>
            <w:tcW w:w="1276" w:type="dxa"/>
          </w:tcPr>
          <w:p w14:paraId="04BE6C2B" w14:textId="77777777" w:rsidR="00C215BC" w:rsidRPr="009203D1" w:rsidRDefault="00C215BC" w:rsidP="00887DB7">
            <w:pPr>
              <w:pStyle w:val="TableParagraph"/>
              <w:jc w:val="center"/>
              <w:rPr>
                <w:rFonts w:eastAsia="Calibri" w:cstheme="minorHAnsi"/>
                <w:sz w:val="20"/>
                <w:szCs w:val="20"/>
              </w:rPr>
            </w:pPr>
            <w:r w:rsidRPr="009203D1">
              <w:rPr>
                <w:rFonts w:cstheme="minorHAnsi"/>
                <w:b/>
                <w:sz w:val="20"/>
                <w:szCs w:val="20"/>
              </w:rPr>
              <w:t>DMBF</w:t>
            </w:r>
          </w:p>
        </w:tc>
        <w:tc>
          <w:tcPr>
            <w:tcW w:w="1275" w:type="dxa"/>
          </w:tcPr>
          <w:p w14:paraId="18485017" w14:textId="77777777" w:rsidR="00C215BC" w:rsidRPr="009203D1" w:rsidRDefault="00C215BC" w:rsidP="00887DB7">
            <w:pPr>
              <w:pStyle w:val="TableParagraph"/>
              <w:jc w:val="center"/>
              <w:rPr>
                <w:rFonts w:eastAsia="Calibri" w:cstheme="minorHAnsi"/>
                <w:sz w:val="20"/>
                <w:szCs w:val="20"/>
              </w:rPr>
            </w:pPr>
            <w:proofErr w:type="spellStart"/>
            <w:r w:rsidRPr="009203D1">
              <w:rPr>
                <w:rFonts w:cstheme="minorHAnsi"/>
                <w:b/>
                <w:sz w:val="20"/>
                <w:szCs w:val="20"/>
              </w:rPr>
              <w:t>DMBFi</w:t>
            </w:r>
            <w:proofErr w:type="spellEnd"/>
          </w:p>
        </w:tc>
        <w:tc>
          <w:tcPr>
            <w:tcW w:w="1134" w:type="dxa"/>
          </w:tcPr>
          <w:p w14:paraId="29354B1D" w14:textId="77777777" w:rsidR="00C215BC" w:rsidRPr="009203D1" w:rsidRDefault="00C215BC" w:rsidP="00887DB7">
            <w:pPr>
              <w:pStyle w:val="TableParagraph"/>
              <w:jc w:val="center"/>
              <w:rPr>
                <w:rFonts w:eastAsia="Calibri" w:cstheme="minorHAnsi"/>
                <w:sz w:val="20"/>
                <w:szCs w:val="20"/>
              </w:rPr>
            </w:pPr>
            <w:r w:rsidRPr="009203D1">
              <w:rPr>
                <w:rFonts w:cstheme="minorHAnsi"/>
                <w:b/>
                <w:sz w:val="20"/>
                <w:szCs w:val="20"/>
              </w:rPr>
              <w:t>TIME</w:t>
            </w:r>
          </w:p>
        </w:tc>
        <w:tc>
          <w:tcPr>
            <w:tcW w:w="1134" w:type="dxa"/>
          </w:tcPr>
          <w:p w14:paraId="7C8F5952" w14:textId="77777777" w:rsidR="00C215BC" w:rsidRPr="009203D1" w:rsidRDefault="00C215BC" w:rsidP="00887DB7">
            <w:pPr>
              <w:pStyle w:val="TableParagraph"/>
              <w:jc w:val="center"/>
              <w:rPr>
                <w:rFonts w:cstheme="minorHAnsi"/>
                <w:b/>
                <w:sz w:val="20"/>
                <w:szCs w:val="20"/>
              </w:rPr>
            </w:pPr>
            <w:r w:rsidRPr="009203D1">
              <w:rPr>
                <w:rFonts w:cstheme="minorHAnsi"/>
                <w:b/>
                <w:sz w:val="20"/>
                <w:szCs w:val="20"/>
              </w:rPr>
              <w:t>DUM75</w:t>
            </w:r>
          </w:p>
        </w:tc>
        <w:tc>
          <w:tcPr>
            <w:tcW w:w="1134" w:type="dxa"/>
          </w:tcPr>
          <w:p w14:paraId="22628B10" w14:textId="77777777" w:rsidR="00C215BC" w:rsidRPr="009203D1" w:rsidRDefault="00C215BC" w:rsidP="00887DB7">
            <w:pPr>
              <w:pStyle w:val="TableParagraph"/>
              <w:jc w:val="center"/>
              <w:rPr>
                <w:rFonts w:cstheme="minorHAnsi"/>
                <w:b/>
                <w:sz w:val="20"/>
                <w:szCs w:val="20"/>
              </w:rPr>
            </w:pPr>
            <w:r w:rsidRPr="009203D1">
              <w:rPr>
                <w:rFonts w:cstheme="minorHAnsi"/>
                <w:b/>
                <w:sz w:val="20"/>
                <w:szCs w:val="20"/>
              </w:rPr>
              <w:t>DUM11</w:t>
            </w:r>
          </w:p>
        </w:tc>
        <w:tc>
          <w:tcPr>
            <w:tcW w:w="1134" w:type="dxa"/>
          </w:tcPr>
          <w:p w14:paraId="397DAA6C" w14:textId="77777777" w:rsidR="00C215BC" w:rsidRPr="009203D1" w:rsidRDefault="00C215BC" w:rsidP="00887DB7">
            <w:pPr>
              <w:pStyle w:val="TableParagraph"/>
              <w:jc w:val="center"/>
              <w:rPr>
                <w:rFonts w:eastAsia="Calibri" w:cstheme="minorHAnsi"/>
                <w:sz w:val="20"/>
                <w:szCs w:val="20"/>
              </w:rPr>
            </w:pPr>
            <w:r w:rsidRPr="009203D1">
              <w:rPr>
                <w:rFonts w:cstheme="minorHAnsi"/>
                <w:b/>
                <w:sz w:val="20"/>
                <w:szCs w:val="20"/>
              </w:rPr>
              <w:t>RHO</w:t>
            </w:r>
          </w:p>
        </w:tc>
        <w:tc>
          <w:tcPr>
            <w:tcW w:w="993" w:type="dxa"/>
          </w:tcPr>
          <w:p w14:paraId="24FFC143" w14:textId="77777777" w:rsidR="00C215BC" w:rsidRPr="009203D1" w:rsidRDefault="00C215BC" w:rsidP="00887DB7">
            <w:pPr>
              <w:pStyle w:val="TableParagraph"/>
              <w:jc w:val="center"/>
              <w:rPr>
                <w:rFonts w:eastAsia="Calibri" w:cstheme="minorHAnsi"/>
                <w:sz w:val="20"/>
                <w:szCs w:val="20"/>
              </w:rPr>
            </w:pPr>
            <w:r w:rsidRPr="009203D1">
              <w:rPr>
                <w:rFonts w:cstheme="minorHAnsi"/>
                <w:b/>
                <w:sz w:val="20"/>
                <w:szCs w:val="20"/>
              </w:rPr>
              <w:t>R</w:t>
            </w:r>
            <w:r w:rsidRPr="009203D1">
              <w:rPr>
                <w:rFonts w:cstheme="minorHAnsi"/>
                <w:b/>
                <w:sz w:val="20"/>
                <w:szCs w:val="20"/>
                <w:vertAlign w:val="superscript"/>
              </w:rPr>
              <w:t>2</w:t>
            </w:r>
          </w:p>
        </w:tc>
        <w:tc>
          <w:tcPr>
            <w:tcW w:w="1134" w:type="dxa"/>
          </w:tcPr>
          <w:p w14:paraId="02A5DA85" w14:textId="77777777" w:rsidR="00C215BC" w:rsidRPr="009203D1" w:rsidRDefault="00C215BC" w:rsidP="00887DB7">
            <w:pPr>
              <w:pStyle w:val="TableParagraph"/>
              <w:jc w:val="center"/>
              <w:rPr>
                <w:rFonts w:eastAsia="Calibri" w:cstheme="minorHAnsi"/>
                <w:sz w:val="20"/>
                <w:szCs w:val="20"/>
              </w:rPr>
            </w:pPr>
            <w:r w:rsidRPr="009203D1">
              <w:rPr>
                <w:rFonts w:cstheme="minorHAnsi"/>
                <w:b/>
                <w:sz w:val="20"/>
                <w:szCs w:val="20"/>
              </w:rPr>
              <w:t>DW</w:t>
            </w:r>
          </w:p>
        </w:tc>
        <w:tc>
          <w:tcPr>
            <w:tcW w:w="2268" w:type="dxa"/>
          </w:tcPr>
          <w:p w14:paraId="2FBCD61E" w14:textId="77777777" w:rsidR="00C215BC" w:rsidRPr="009203D1" w:rsidRDefault="00C215BC" w:rsidP="00887DB7">
            <w:pPr>
              <w:pStyle w:val="TableParagraph"/>
              <w:jc w:val="center"/>
              <w:rPr>
                <w:rFonts w:eastAsia="Calibri" w:cstheme="minorHAnsi"/>
                <w:sz w:val="20"/>
                <w:szCs w:val="20"/>
              </w:rPr>
            </w:pPr>
            <w:r w:rsidRPr="009203D1">
              <w:rPr>
                <w:rFonts w:cstheme="minorHAnsi"/>
                <w:b/>
                <w:sz w:val="20"/>
                <w:szCs w:val="20"/>
              </w:rPr>
              <w:t>Method</w:t>
            </w:r>
          </w:p>
        </w:tc>
      </w:tr>
      <w:tr w:rsidR="00C215BC" w:rsidRPr="002D4398" w14:paraId="0C6DFE91" w14:textId="77777777" w:rsidTr="00A94739">
        <w:trPr>
          <w:trHeight w:hRule="exact" w:val="268"/>
          <w:jc w:val="center"/>
        </w:trPr>
        <w:tc>
          <w:tcPr>
            <w:tcW w:w="1170" w:type="dxa"/>
            <w:shd w:val="clear" w:color="auto" w:fill="F2F2F2"/>
          </w:tcPr>
          <w:p w14:paraId="0F6F9FE1"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112.34</w:t>
            </w:r>
          </w:p>
        </w:tc>
        <w:tc>
          <w:tcPr>
            <w:tcW w:w="1276" w:type="dxa"/>
            <w:shd w:val="clear" w:color="auto" w:fill="F2F2F2"/>
          </w:tcPr>
          <w:p w14:paraId="48552539"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4.407</w:t>
            </w:r>
          </w:p>
        </w:tc>
        <w:tc>
          <w:tcPr>
            <w:tcW w:w="1276" w:type="dxa"/>
            <w:shd w:val="clear" w:color="auto" w:fill="F2F2F2"/>
          </w:tcPr>
          <w:p w14:paraId="0581D52D"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0.000</w:t>
            </w:r>
          </w:p>
        </w:tc>
        <w:tc>
          <w:tcPr>
            <w:tcW w:w="1275" w:type="dxa"/>
            <w:shd w:val="clear" w:color="auto" w:fill="F2F2F2"/>
          </w:tcPr>
          <w:p w14:paraId="60DBCE2D"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0.000</w:t>
            </w:r>
          </w:p>
        </w:tc>
        <w:tc>
          <w:tcPr>
            <w:tcW w:w="1134" w:type="dxa"/>
            <w:shd w:val="clear" w:color="auto" w:fill="F2F2F2"/>
          </w:tcPr>
          <w:p w14:paraId="6B818257"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7.315</w:t>
            </w:r>
          </w:p>
        </w:tc>
        <w:tc>
          <w:tcPr>
            <w:tcW w:w="1134" w:type="dxa"/>
            <w:shd w:val="clear" w:color="auto" w:fill="F2F2F2"/>
          </w:tcPr>
          <w:p w14:paraId="62723652"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-119.94</w:t>
            </w:r>
          </w:p>
        </w:tc>
        <w:tc>
          <w:tcPr>
            <w:tcW w:w="1134" w:type="dxa"/>
            <w:shd w:val="clear" w:color="auto" w:fill="F2F2F2"/>
          </w:tcPr>
          <w:p w14:paraId="529AC539"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-99.612</w:t>
            </w:r>
          </w:p>
        </w:tc>
        <w:tc>
          <w:tcPr>
            <w:tcW w:w="1134" w:type="dxa"/>
            <w:shd w:val="clear" w:color="auto" w:fill="F2F2F2"/>
          </w:tcPr>
          <w:p w14:paraId="168D08F5"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0.161</w:t>
            </w:r>
          </w:p>
        </w:tc>
        <w:tc>
          <w:tcPr>
            <w:tcW w:w="993" w:type="dxa"/>
            <w:shd w:val="clear" w:color="auto" w:fill="F2F2F2"/>
          </w:tcPr>
          <w:p w14:paraId="3B9D4C09"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0.99</w:t>
            </w:r>
          </w:p>
        </w:tc>
        <w:tc>
          <w:tcPr>
            <w:tcW w:w="1134" w:type="dxa"/>
            <w:shd w:val="clear" w:color="auto" w:fill="F2F2F2"/>
          </w:tcPr>
          <w:p w14:paraId="1C7AD57B"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1.98</w:t>
            </w:r>
          </w:p>
        </w:tc>
        <w:tc>
          <w:tcPr>
            <w:tcW w:w="2268" w:type="dxa"/>
            <w:shd w:val="clear" w:color="auto" w:fill="F2F2F2"/>
          </w:tcPr>
          <w:p w14:paraId="2F5C8BDA"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LSQ-AR1 (a)</w:t>
            </w:r>
          </w:p>
        </w:tc>
      </w:tr>
      <w:tr w:rsidR="00C215BC" w:rsidRPr="002D4398" w14:paraId="3F766D05" w14:textId="77777777" w:rsidTr="00A94739">
        <w:trPr>
          <w:trHeight w:hRule="exact" w:val="268"/>
          <w:jc w:val="center"/>
        </w:trPr>
        <w:tc>
          <w:tcPr>
            <w:tcW w:w="1170" w:type="dxa"/>
          </w:tcPr>
          <w:p w14:paraId="72CBC861"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(2.90)</w:t>
            </w:r>
          </w:p>
        </w:tc>
        <w:tc>
          <w:tcPr>
            <w:tcW w:w="1276" w:type="dxa"/>
          </w:tcPr>
          <w:p w14:paraId="0ED32AED"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(74.56)</w:t>
            </w:r>
          </w:p>
        </w:tc>
        <w:tc>
          <w:tcPr>
            <w:tcW w:w="1276" w:type="dxa"/>
          </w:tcPr>
          <w:p w14:paraId="562278F9"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(0.00)</w:t>
            </w:r>
          </w:p>
        </w:tc>
        <w:tc>
          <w:tcPr>
            <w:tcW w:w="1275" w:type="dxa"/>
          </w:tcPr>
          <w:p w14:paraId="0387CF1D"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(0.00)</w:t>
            </w:r>
          </w:p>
        </w:tc>
        <w:tc>
          <w:tcPr>
            <w:tcW w:w="1134" w:type="dxa"/>
          </w:tcPr>
          <w:p w14:paraId="0C21392C"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(5.07)</w:t>
            </w:r>
          </w:p>
        </w:tc>
        <w:tc>
          <w:tcPr>
            <w:tcW w:w="1134" w:type="dxa"/>
          </w:tcPr>
          <w:p w14:paraId="719AF1D9"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(-2.23)</w:t>
            </w:r>
          </w:p>
        </w:tc>
        <w:tc>
          <w:tcPr>
            <w:tcW w:w="1134" w:type="dxa"/>
          </w:tcPr>
          <w:p w14:paraId="603CF9C2"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(-2.40)</w:t>
            </w:r>
          </w:p>
        </w:tc>
        <w:tc>
          <w:tcPr>
            <w:tcW w:w="1134" w:type="dxa"/>
          </w:tcPr>
          <w:p w14:paraId="1E465EEC"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(0.94)</w:t>
            </w:r>
          </w:p>
        </w:tc>
        <w:tc>
          <w:tcPr>
            <w:tcW w:w="993" w:type="dxa"/>
          </w:tcPr>
          <w:p w14:paraId="0CB4363D" w14:textId="77777777" w:rsidR="00C215BC" w:rsidRPr="002D4398" w:rsidRDefault="00C215BC" w:rsidP="00887DB7">
            <w:pPr>
              <w:jc w:val="center"/>
              <w:rPr>
                <w:rFonts w:cstheme="minorHAnsi"/>
                <w:sz w:val="20"/>
                <w:szCs w:val="20"/>
              </w:rPr>
            </w:pPr>
          </w:p>
        </w:tc>
        <w:tc>
          <w:tcPr>
            <w:tcW w:w="1134" w:type="dxa"/>
          </w:tcPr>
          <w:p w14:paraId="789185F8" w14:textId="77777777" w:rsidR="00C215BC" w:rsidRPr="002D4398" w:rsidRDefault="00C215BC" w:rsidP="00887DB7">
            <w:pPr>
              <w:jc w:val="center"/>
              <w:rPr>
                <w:rFonts w:cstheme="minorHAnsi"/>
                <w:sz w:val="20"/>
                <w:szCs w:val="20"/>
              </w:rPr>
            </w:pPr>
          </w:p>
        </w:tc>
        <w:tc>
          <w:tcPr>
            <w:tcW w:w="2268" w:type="dxa"/>
          </w:tcPr>
          <w:p w14:paraId="01CD63B3" w14:textId="77777777" w:rsidR="00C215BC" w:rsidRPr="002D4398" w:rsidRDefault="00C215BC" w:rsidP="00887DB7">
            <w:pPr>
              <w:jc w:val="center"/>
              <w:rPr>
                <w:rFonts w:cstheme="minorHAnsi"/>
                <w:sz w:val="20"/>
                <w:szCs w:val="20"/>
              </w:rPr>
            </w:pPr>
          </w:p>
        </w:tc>
      </w:tr>
      <w:tr w:rsidR="00C215BC" w:rsidRPr="002D4398" w14:paraId="7FDB5547" w14:textId="77777777" w:rsidTr="00A94739">
        <w:trPr>
          <w:trHeight w:hRule="exact" w:val="268"/>
          <w:jc w:val="center"/>
        </w:trPr>
        <w:tc>
          <w:tcPr>
            <w:tcW w:w="1170" w:type="dxa"/>
            <w:shd w:val="clear" w:color="auto" w:fill="F2F2F2"/>
          </w:tcPr>
          <w:p w14:paraId="3D412BFD"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100.92</w:t>
            </w:r>
          </w:p>
        </w:tc>
        <w:tc>
          <w:tcPr>
            <w:tcW w:w="1276" w:type="dxa"/>
            <w:shd w:val="clear" w:color="auto" w:fill="F2F2F2"/>
          </w:tcPr>
          <w:p w14:paraId="08416B38"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4.462</w:t>
            </w:r>
          </w:p>
        </w:tc>
        <w:tc>
          <w:tcPr>
            <w:tcW w:w="1276" w:type="dxa"/>
            <w:shd w:val="clear" w:color="auto" w:fill="F2F2F2"/>
          </w:tcPr>
          <w:p w14:paraId="50BB02CF"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0.000</w:t>
            </w:r>
          </w:p>
        </w:tc>
        <w:tc>
          <w:tcPr>
            <w:tcW w:w="1275" w:type="dxa"/>
            <w:shd w:val="clear" w:color="auto" w:fill="F2F2F2"/>
          </w:tcPr>
          <w:p w14:paraId="31679345"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-13.227</w:t>
            </w:r>
          </w:p>
        </w:tc>
        <w:tc>
          <w:tcPr>
            <w:tcW w:w="1134" w:type="dxa"/>
            <w:shd w:val="clear" w:color="auto" w:fill="F2F2F2"/>
          </w:tcPr>
          <w:p w14:paraId="6D899043"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7.655</w:t>
            </w:r>
          </w:p>
        </w:tc>
        <w:tc>
          <w:tcPr>
            <w:tcW w:w="1134" w:type="dxa"/>
            <w:shd w:val="clear" w:color="auto" w:fill="F2F2F2"/>
          </w:tcPr>
          <w:p w14:paraId="51703E25"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-115.19</w:t>
            </w:r>
          </w:p>
        </w:tc>
        <w:tc>
          <w:tcPr>
            <w:tcW w:w="1134" w:type="dxa"/>
            <w:shd w:val="clear" w:color="auto" w:fill="F2F2F2"/>
          </w:tcPr>
          <w:p w14:paraId="5A0CE92E"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-108.86</w:t>
            </w:r>
          </w:p>
        </w:tc>
        <w:tc>
          <w:tcPr>
            <w:tcW w:w="1134" w:type="dxa"/>
            <w:shd w:val="clear" w:color="auto" w:fill="F2F2F2"/>
          </w:tcPr>
          <w:p w14:paraId="3C5A7E73"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0.153</w:t>
            </w:r>
          </w:p>
        </w:tc>
        <w:tc>
          <w:tcPr>
            <w:tcW w:w="993" w:type="dxa"/>
            <w:shd w:val="clear" w:color="auto" w:fill="F2F2F2"/>
          </w:tcPr>
          <w:p w14:paraId="76B1DB77"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0.99</w:t>
            </w:r>
          </w:p>
        </w:tc>
        <w:tc>
          <w:tcPr>
            <w:tcW w:w="1134" w:type="dxa"/>
            <w:shd w:val="clear" w:color="auto" w:fill="F2F2F2"/>
          </w:tcPr>
          <w:p w14:paraId="203D4E55"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1.99</w:t>
            </w:r>
          </w:p>
        </w:tc>
        <w:tc>
          <w:tcPr>
            <w:tcW w:w="2268" w:type="dxa"/>
            <w:shd w:val="clear" w:color="auto" w:fill="F2F2F2"/>
          </w:tcPr>
          <w:p w14:paraId="6AF2CE25"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LSQ-AR1 (b)</w:t>
            </w:r>
          </w:p>
        </w:tc>
      </w:tr>
      <w:tr w:rsidR="00C215BC" w:rsidRPr="002D4398" w14:paraId="156DE08F" w14:textId="77777777" w:rsidTr="00A94739">
        <w:trPr>
          <w:trHeight w:hRule="exact" w:val="268"/>
          <w:jc w:val="center"/>
        </w:trPr>
        <w:tc>
          <w:tcPr>
            <w:tcW w:w="1170" w:type="dxa"/>
          </w:tcPr>
          <w:p w14:paraId="1C637E1B"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(2.42)</w:t>
            </w:r>
          </w:p>
        </w:tc>
        <w:tc>
          <w:tcPr>
            <w:tcW w:w="1276" w:type="dxa"/>
          </w:tcPr>
          <w:p w14:paraId="2FE98848"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(14.91)</w:t>
            </w:r>
          </w:p>
        </w:tc>
        <w:tc>
          <w:tcPr>
            <w:tcW w:w="1276" w:type="dxa"/>
          </w:tcPr>
          <w:p w14:paraId="2D1E0E05"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(0.00)</w:t>
            </w:r>
          </w:p>
        </w:tc>
        <w:tc>
          <w:tcPr>
            <w:tcW w:w="1275" w:type="dxa"/>
          </w:tcPr>
          <w:p w14:paraId="750CA3D0"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(-0.68)</w:t>
            </w:r>
          </w:p>
        </w:tc>
        <w:tc>
          <w:tcPr>
            <w:tcW w:w="1134" w:type="dxa"/>
          </w:tcPr>
          <w:p w14:paraId="00F56624"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(5.07)</w:t>
            </w:r>
          </w:p>
        </w:tc>
        <w:tc>
          <w:tcPr>
            <w:tcW w:w="1134" w:type="dxa"/>
          </w:tcPr>
          <w:p w14:paraId="615C250E"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(-2.18)</w:t>
            </w:r>
          </w:p>
        </w:tc>
        <w:tc>
          <w:tcPr>
            <w:tcW w:w="1134" w:type="dxa"/>
          </w:tcPr>
          <w:p w14:paraId="270669D9"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(-2.53)</w:t>
            </w:r>
          </w:p>
        </w:tc>
        <w:tc>
          <w:tcPr>
            <w:tcW w:w="1134" w:type="dxa"/>
          </w:tcPr>
          <w:p w14:paraId="3C176E04"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(0.90)</w:t>
            </w:r>
          </w:p>
        </w:tc>
        <w:tc>
          <w:tcPr>
            <w:tcW w:w="993" w:type="dxa"/>
          </w:tcPr>
          <w:p w14:paraId="69E47487" w14:textId="77777777" w:rsidR="00C215BC" w:rsidRPr="002D4398" w:rsidRDefault="00C215BC" w:rsidP="00887DB7">
            <w:pPr>
              <w:jc w:val="center"/>
              <w:rPr>
                <w:rFonts w:cstheme="minorHAnsi"/>
                <w:sz w:val="20"/>
                <w:szCs w:val="20"/>
              </w:rPr>
            </w:pPr>
          </w:p>
        </w:tc>
        <w:tc>
          <w:tcPr>
            <w:tcW w:w="1134" w:type="dxa"/>
          </w:tcPr>
          <w:p w14:paraId="7C576084" w14:textId="77777777" w:rsidR="00C215BC" w:rsidRPr="002D4398" w:rsidRDefault="00C215BC" w:rsidP="00887DB7">
            <w:pPr>
              <w:jc w:val="center"/>
              <w:rPr>
                <w:rFonts w:cstheme="minorHAnsi"/>
                <w:sz w:val="20"/>
                <w:szCs w:val="20"/>
              </w:rPr>
            </w:pPr>
          </w:p>
        </w:tc>
        <w:tc>
          <w:tcPr>
            <w:tcW w:w="2268" w:type="dxa"/>
          </w:tcPr>
          <w:p w14:paraId="3F1EA35C" w14:textId="77777777" w:rsidR="00C215BC" w:rsidRPr="002D4398" w:rsidRDefault="00C215BC" w:rsidP="00887DB7">
            <w:pPr>
              <w:jc w:val="center"/>
              <w:rPr>
                <w:rFonts w:cstheme="minorHAnsi"/>
                <w:sz w:val="20"/>
                <w:szCs w:val="20"/>
              </w:rPr>
            </w:pPr>
          </w:p>
        </w:tc>
      </w:tr>
      <w:tr w:rsidR="00C215BC" w:rsidRPr="002D4398" w14:paraId="5B26204F" w14:textId="77777777" w:rsidTr="00A94739">
        <w:trPr>
          <w:trHeight w:hRule="exact" w:val="268"/>
          <w:jc w:val="center"/>
        </w:trPr>
        <w:tc>
          <w:tcPr>
            <w:tcW w:w="1170" w:type="dxa"/>
          </w:tcPr>
          <w:p w14:paraId="334C8326" w14:textId="096AB9F9" w:rsidR="00C215BC" w:rsidRPr="002D4398" w:rsidRDefault="0086360B" w:rsidP="00887DB7">
            <w:pPr>
              <w:pStyle w:val="TableParagraph"/>
              <w:jc w:val="center"/>
              <w:rPr>
                <w:rFonts w:cstheme="minorHAnsi"/>
                <w:sz w:val="20"/>
                <w:szCs w:val="20"/>
              </w:rPr>
            </w:pPr>
            <w:r w:rsidRPr="002D4398">
              <w:rPr>
                <w:rFonts w:cstheme="minorHAnsi"/>
                <w:sz w:val="20"/>
                <w:szCs w:val="20"/>
              </w:rPr>
              <w:t>112.34</w:t>
            </w:r>
          </w:p>
        </w:tc>
        <w:tc>
          <w:tcPr>
            <w:tcW w:w="1276" w:type="dxa"/>
          </w:tcPr>
          <w:p w14:paraId="1950214C" w14:textId="66B19445" w:rsidR="00C215BC" w:rsidRPr="002D4398" w:rsidRDefault="0086360B" w:rsidP="00887DB7">
            <w:pPr>
              <w:pStyle w:val="TableParagraph"/>
              <w:jc w:val="center"/>
              <w:rPr>
                <w:rFonts w:cstheme="minorHAnsi"/>
                <w:sz w:val="20"/>
                <w:szCs w:val="20"/>
              </w:rPr>
            </w:pPr>
            <w:r w:rsidRPr="002D4398">
              <w:rPr>
                <w:rFonts w:cstheme="minorHAnsi"/>
                <w:sz w:val="20"/>
                <w:szCs w:val="20"/>
              </w:rPr>
              <w:t>4.407</w:t>
            </w:r>
          </w:p>
        </w:tc>
        <w:tc>
          <w:tcPr>
            <w:tcW w:w="1276" w:type="dxa"/>
          </w:tcPr>
          <w:p w14:paraId="321A27F1"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0.000</w:t>
            </w:r>
          </w:p>
        </w:tc>
        <w:tc>
          <w:tcPr>
            <w:tcW w:w="1275" w:type="dxa"/>
          </w:tcPr>
          <w:p w14:paraId="307B1F65"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0.000</w:t>
            </w:r>
          </w:p>
        </w:tc>
        <w:tc>
          <w:tcPr>
            <w:tcW w:w="1134" w:type="dxa"/>
          </w:tcPr>
          <w:p w14:paraId="7E702D2B" w14:textId="49F86638" w:rsidR="00C215BC" w:rsidRPr="002D4398" w:rsidRDefault="0086360B" w:rsidP="00887DB7">
            <w:pPr>
              <w:pStyle w:val="TableParagraph"/>
              <w:jc w:val="center"/>
              <w:rPr>
                <w:rFonts w:cstheme="minorHAnsi"/>
                <w:sz w:val="20"/>
                <w:szCs w:val="20"/>
              </w:rPr>
            </w:pPr>
            <w:r w:rsidRPr="002D4398">
              <w:rPr>
                <w:rFonts w:cstheme="minorHAnsi"/>
                <w:sz w:val="20"/>
                <w:szCs w:val="20"/>
              </w:rPr>
              <w:t>7.315</w:t>
            </w:r>
          </w:p>
        </w:tc>
        <w:tc>
          <w:tcPr>
            <w:tcW w:w="1134" w:type="dxa"/>
          </w:tcPr>
          <w:p w14:paraId="3081D5C4" w14:textId="3B1C142B" w:rsidR="00C215BC" w:rsidRPr="002D4398" w:rsidRDefault="00C215BC" w:rsidP="00887DB7">
            <w:pPr>
              <w:pStyle w:val="TableParagraph"/>
              <w:jc w:val="center"/>
              <w:rPr>
                <w:rFonts w:cstheme="minorHAnsi"/>
                <w:sz w:val="20"/>
                <w:szCs w:val="20"/>
              </w:rPr>
            </w:pPr>
            <w:r w:rsidRPr="002D4398">
              <w:rPr>
                <w:rFonts w:cstheme="minorHAnsi"/>
                <w:sz w:val="20"/>
                <w:szCs w:val="20"/>
              </w:rPr>
              <w:t>-119.</w:t>
            </w:r>
            <w:r w:rsidR="0086360B" w:rsidRPr="002D4398">
              <w:rPr>
                <w:rFonts w:cstheme="minorHAnsi"/>
                <w:sz w:val="20"/>
                <w:szCs w:val="20"/>
              </w:rPr>
              <w:t>94</w:t>
            </w:r>
          </w:p>
        </w:tc>
        <w:tc>
          <w:tcPr>
            <w:tcW w:w="1134" w:type="dxa"/>
          </w:tcPr>
          <w:p w14:paraId="7FF27F84" w14:textId="0B300AED" w:rsidR="00C215BC" w:rsidRPr="002D4398" w:rsidRDefault="00C215BC" w:rsidP="00887DB7">
            <w:pPr>
              <w:pStyle w:val="TableParagraph"/>
              <w:jc w:val="center"/>
              <w:rPr>
                <w:rFonts w:cstheme="minorHAnsi"/>
                <w:sz w:val="20"/>
                <w:szCs w:val="20"/>
              </w:rPr>
            </w:pPr>
            <w:r w:rsidRPr="002D4398">
              <w:rPr>
                <w:rFonts w:cstheme="minorHAnsi"/>
                <w:sz w:val="20"/>
                <w:szCs w:val="20"/>
              </w:rPr>
              <w:t>-</w:t>
            </w:r>
            <w:r w:rsidR="0086360B" w:rsidRPr="002D4398">
              <w:rPr>
                <w:rFonts w:cstheme="minorHAnsi"/>
                <w:sz w:val="20"/>
                <w:szCs w:val="20"/>
              </w:rPr>
              <w:t>99.617</w:t>
            </w:r>
          </w:p>
        </w:tc>
        <w:tc>
          <w:tcPr>
            <w:tcW w:w="1134" w:type="dxa"/>
          </w:tcPr>
          <w:p w14:paraId="1512D774" w14:textId="7A69DB1B" w:rsidR="00C215BC" w:rsidRPr="002D4398" w:rsidRDefault="00C215BC" w:rsidP="00887DB7">
            <w:pPr>
              <w:pStyle w:val="TableParagraph"/>
              <w:jc w:val="center"/>
              <w:rPr>
                <w:rFonts w:cstheme="minorHAnsi"/>
                <w:sz w:val="20"/>
                <w:szCs w:val="20"/>
              </w:rPr>
            </w:pPr>
            <w:r w:rsidRPr="002D4398">
              <w:rPr>
                <w:rFonts w:cstheme="minorHAnsi"/>
                <w:sz w:val="20"/>
                <w:szCs w:val="20"/>
              </w:rPr>
              <w:t>0.</w:t>
            </w:r>
            <w:r w:rsidR="0086360B" w:rsidRPr="002D4398">
              <w:rPr>
                <w:rFonts w:cstheme="minorHAnsi"/>
                <w:sz w:val="20"/>
                <w:szCs w:val="20"/>
              </w:rPr>
              <w:t>153</w:t>
            </w:r>
          </w:p>
        </w:tc>
        <w:tc>
          <w:tcPr>
            <w:tcW w:w="993" w:type="dxa"/>
          </w:tcPr>
          <w:p w14:paraId="0EE03138" w14:textId="7109337A" w:rsidR="00C215BC" w:rsidRPr="002D4398" w:rsidRDefault="00C215BC" w:rsidP="00887DB7">
            <w:pPr>
              <w:jc w:val="center"/>
              <w:rPr>
                <w:rFonts w:cstheme="minorHAnsi"/>
                <w:sz w:val="20"/>
                <w:szCs w:val="20"/>
              </w:rPr>
            </w:pPr>
            <w:r w:rsidRPr="002D4398">
              <w:rPr>
                <w:rFonts w:cstheme="minorHAnsi"/>
                <w:sz w:val="20"/>
                <w:szCs w:val="20"/>
              </w:rPr>
              <w:t>0.</w:t>
            </w:r>
            <w:r w:rsidR="0086360B" w:rsidRPr="002D4398">
              <w:rPr>
                <w:rFonts w:cstheme="minorHAnsi"/>
                <w:sz w:val="20"/>
                <w:szCs w:val="20"/>
              </w:rPr>
              <w:t>99</w:t>
            </w:r>
          </w:p>
        </w:tc>
        <w:tc>
          <w:tcPr>
            <w:tcW w:w="1134" w:type="dxa"/>
          </w:tcPr>
          <w:p w14:paraId="49CCEE09" w14:textId="24B5EE33" w:rsidR="00C215BC" w:rsidRPr="002D4398" w:rsidRDefault="00C215BC" w:rsidP="00887DB7">
            <w:pPr>
              <w:jc w:val="center"/>
              <w:rPr>
                <w:rFonts w:cstheme="minorHAnsi"/>
                <w:sz w:val="20"/>
                <w:szCs w:val="20"/>
              </w:rPr>
            </w:pPr>
            <w:r w:rsidRPr="002D4398">
              <w:rPr>
                <w:rFonts w:cstheme="minorHAnsi"/>
                <w:sz w:val="20"/>
                <w:szCs w:val="20"/>
              </w:rPr>
              <w:t>1.</w:t>
            </w:r>
            <w:r w:rsidR="0086360B" w:rsidRPr="002D4398">
              <w:rPr>
                <w:rFonts w:cstheme="minorHAnsi"/>
                <w:sz w:val="20"/>
                <w:szCs w:val="20"/>
              </w:rPr>
              <w:t>73</w:t>
            </w:r>
          </w:p>
        </w:tc>
        <w:tc>
          <w:tcPr>
            <w:tcW w:w="2268" w:type="dxa"/>
          </w:tcPr>
          <w:p w14:paraId="55D4AE0E" w14:textId="77777777" w:rsidR="00C215BC" w:rsidRPr="002D4398" w:rsidRDefault="00C215BC" w:rsidP="00887DB7">
            <w:pPr>
              <w:jc w:val="center"/>
              <w:rPr>
                <w:rFonts w:cstheme="minorHAnsi"/>
                <w:sz w:val="20"/>
                <w:szCs w:val="20"/>
              </w:rPr>
            </w:pPr>
            <w:r w:rsidRPr="002D4398">
              <w:rPr>
                <w:rFonts w:cstheme="minorHAnsi"/>
                <w:sz w:val="20"/>
                <w:szCs w:val="20"/>
              </w:rPr>
              <w:t>SUR-AR1 (a)</w:t>
            </w:r>
          </w:p>
        </w:tc>
      </w:tr>
      <w:tr w:rsidR="00C215BC" w:rsidRPr="002D4398" w14:paraId="1D6DDA90" w14:textId="77777777" w:rsidTr="00A94739">
        <w:trPr>
          <w:trHeight w:hRule="exact" w:val="268"/>
          <w:jc w:val="center"/>
        </w:trPr>
        <w:tc>
          <w:tcPr>
            <w:tcW w:w="1170" w:type="dxa"/>
          </w:tcPr>
          <w:p w14:paraId="60B24CA4" w14:textId="792B4B94" w:rsidR="00C215BC" w:rsidRPr="002D4398" w:rsidRDefault="0086360B" w:rsidP="00887DB7">
            <w:pPr>
              <w:pStyle w:val="TableParagraph"/>
              <w:jc w:val="center"/>
              <w:rPr>
                <w:rFonts w:cstheme="minorHAnsi"/>
                <w:sz w:val="20"/>
                <w:szCs w:val="20"/>
              </w:rPr>
            </w:pPr>
            <w:r w:rsidRPr="002D4398">
              <w:rPr>
                <w:rFonts w:cstheme="minorHAnsi"/>
                <w:sz w:val="20"/>
                <w:szCs w:val="20"/>
              </w:rPr>
              <w:t>(3.31</w:t>
            </w:r>
            <w:r w:rsidR="00C215BC" w:rsidRPr="002D4398">
              <w:rPr>
                <w:rFonts w:cstheme="minorHAnsi"/>
                <w:sz w:val="20"/>
                <w:szCs w:val="20"/>
              </w:rPr>
              <w:t>)</w:t>
            </w:r>
          </w:p>
        </w:tc>
        <w:tc>
          <w:tcPr>
            <w:tcW w:w="1276" w:type="dxa"/>
          </w:tcPr>
          <w:p w14:paraId="33331688" w14:textId="45D33EEE" w:rsidR="00C215BC" w:rsidRPr="002D4398" w:rsidRDefault="00C215BC" w:rsidP="00887DB7">
            <w:pPr>
              <w:pStyle w:val="TableParagraph"/>
              <w:jc w:val="center"/>
              <w:rPr>
                <w:rFonts w:cstheme="minorHAnsi"/>
                <w:sz w:val="20"/>
                <w:szCs w:val="20"/>
              </w:rPr>
            </w:pPr>
            <w:r w:rsidRPr="002D4398">
              <w:rPr>
                <w:rFonts w:cstheme="minorHAnsi"/>
                <w:sz w:val="20"/>
                <w:szCs w:val="20"/>
              </w:rPr>
              <w:t>(</w:t>
            </w:r>
            <w:r w:rsidR="0086360B" w:rsidRPr="002D4398">
              <w:rPr>
                <w:rFonts w:cstheme="minorHAnsi"/>
                <w:sz w:val="20"/>
                <w:szCs w:val="20"/>
              </w:rPr>
              <w:t>80.72</w:t>
            </w:r>
            <w:r w:rsidRPr="002D4398">
              <w:rPr>
                <w:rFonts w:cstheme="minorHAnsi"/>
                <w:sz w:val="20"/>
                <w:szCs w:val="20"/>
              </w:rPr>
              <w:t>)</w:t>
            </w:r>
          </w:p>
        </w:tc>
        <w:tc>
          <w:tcPr>
            <w:tcW w:w="1276" w:type="dxa"/>
          </w:tcPr>
          <w:p w14:paraId="49F428E9"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(0.00)</w:t>
            </w:r>
          </w:p>
        </w:tc>
        <w:tc>
          <w:tcPr>
            <w:tcW w:w="1275" w:type="dxa"/>
          </w:tcPr>
          <w:p w14:paraId="36D253C1"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(0.00)</w:t>
            </w:r>
          </w:p>
        </w:tc>
        <w:tc>
          <w:tcPr>
            <w:tcW w:w="1134" w:type="dxa"/>
          </w:tcPr>
          <w:p w14:paraId="3DE3D62D" w14:textId="6592657F" w:rsidR="00C215BC" w:rsidRPr="002D4398" w:rsidRDefault="00C215BC" w:rsidP="00887DB7">
            <w:pPr>
              <w:pStyle w:val="TableParagraph"/>
              <w:jc w:val="center"/>
              <w:rPr>
                <w:rFonts w:cstheme="minorHAnsi"/>
                <w:sz w:val="20"/>
                <w:szCs w:val="20"/>
              </w:rPr>
            </w:pPr>
            <w:r w:rsidRPr="002D4398">
              <w:rPr>
                <w:rFonts w:cstheme="minorHAnsi"/>
                <w:sz w:val="20"/>
                <w:szCs w:val="20"/>
              </w:rPr>
              <w:t>(</w:t>
            </w:r>
            <w:r w:rsidR="0069375C" w:rsidRPr="002D4398">
              <w:rPr>
                <w:rFonts w:cstheme="minorHAnsi"/>
                <w:sz w:val="20"/>
                <w:szCs w:val="20"/>
              </w:rPr>
              <w:t>5.78</w:t>
            </w:r>
            <w:r w:rsidRPr="002D4398">
              <w:rPr>
                <w:rFonts w:cstheme="minorHAnsi"/>
                <w:sz w:val="20"/>
                <w:szCs w:val="20"/>
              </w:rPr>
              <w:t>)</w:t>
            </w:r>
          </w:p>
        </w:tc>
        <w:tc>
          <w:tcPr>
            <w:tcW w:w="1134" w:type="dxa"/>
          </w:tcPr>
          <w:p w14:paraId="689C45A0" w14:textId="7E45074A" w:rsidR="00C215BC" w:rsidRPr="002D4398" w:rsidRDefault="0069375C" w:rsidP="00887DB7">
            <w:pPr>
              <w:pStyle w:val="TableParagraph"/>
              <w:jc w:val="center"/>
              <w:rPr>
                <w:rFonts w:cstheme="minorHAnsi"/>
                <w:sz w:val="20"/>
                <w:szCs w:val="20"/>
              </w:rPr>
            </w:pPr>
            <w:r w:rsidRPr="002D4398">
              <w:rPr>
                <w:rFonts w:cstheme="minorHAnsi"/>
                <w:sz w:val="20"/>
                <w:szCs w:val="20"/>
              </w:rPr>
              <w:t>(</w:t>
            </w:r>
            <w:r w:rsidR="00C215BC" w:rsidRPr="002D4398">
              <w:rPr>
                <w:rFonts w:cstheme="minorHAnsi"/>
                <w:sz w:val="20"/>
                <w:szCs w:val="20"/>
              </w:rPr>
              <w:t>-</w:t>
            </w:r>
            <w:r w:rsidRPr="002D4398">
              <w:rPr>
                <w:rFonts w:cstheme="minorHAnsi"/>
                <w:sz w:val="20"/>
                <w:szCs w:val="20"/>
              </w:rPr>
              <w:t>1.78</w:t>
            </w:r>
            <w:r w:rsidR="00C215BC" w:rsidRPr="002D4398">
              <w:rPr>
                <w:rFonts w:cstheme="minorHAnsi"/>
                <w:sz w:val="20"/>
                <w:szCs w:val="20"/>
              </w:rPr>
              <w:t>)</w:t>
            </w:r>
          </w:p>
        </w:tc>
        <w:tc>
          <w:tcPr>
            <w:tcW w:w="1134" w:type="dxa"/>
          </w:tcPr>
          <w:p w14:paraId="4E27FDB1" w14:textId="41AF3D7D" w:rsidR="00C215BC" w:rsidRPr="002D4398" w:rsidRDefault="00C215BC" w:rsidP="00887DB7">
            <w:pPr>
              <w:pStyle w:val="TableParagraph"/>
              <w:jc w:val="center"/>
              <w:rPr>
                <w:rFonts w:cstheme="minorHAnsi"/>
                <w:sz w:val="20"/>
                <w:szCs w:val="20"/>
              </w:rPr>
            </w:pPr>
            <w:r w:rsidRPr="002D4398">
              <w:rPr>
                <w:rFonts w:cstheme="minorHAnsi"/>
                <w:sz w:val="20"/>
                <w:szCs w:val="20"/>
              </w:rPr>
              <w:t>(-2.</w:t>
            </w:r>
            <w:r w:rsidR="0069375C" w:rsidRPr="002D4398">
              <w:rPr>
                <w:rFonts w:cstheme="minorHAnsi"/>
                <w:sz w:val="20"/>
                <w:szCs w:val="20"/>
              </w:rPr>
              <w:t>74</w:t>
            </w:r>
            <w:r w:rsidRPr="002D4398">
              <w:rPr>
                <w:rFonts w:cstheme="minorHAnsi"/>
                <w:sz w:val="20"/>
                <w:szCs w:val="20"/>
              </w:rPr>
              <w:t>)</w:t>
            </w:r>
          </w:p>
        </w:tc>
        <w:tc>
          <w:tcPr>
            <w:tcW w:w="1134" w:type="dxa"/>
          </w:tcPr>
          <w:p w14:paraId="6F3C3EB9" w14:textId="71A44EA2" w:rsidR="00C215BC" w:rsidRPr="002D4398" w:rsidRDefault="00C215BC" w:rsidP="00887DB7">
            <w:pPr>
              <w:pStyle w:val="TableParagraph"/>
              <w:jc w:val="center"/>
              <w:rPr>
                <w:rFonts w:cstheme="minorHAnsi"/>
                <w:sz w:val="20"/>
                <w:szCs w:val="20"/>
              </w:rPr>
            </w:pPr>
            <w:r w:rsidRPr="002D4398">
              <w:rPr>
                <w:rFonts w:cstheme="minorHAnsi"/>
                <w:sz w:val="20"/>
                <w:szCs w:val="20"/>
              </w:rPr>
              <w:t>(</w:t>
            </w:r>
            <w:r w:rsidR="0069375C" w:rsidRPr="002D4398">
              <w:rPr>
                <w:rFonts w:cstheme="minorHAnsi"/>
                <w:sz w:val="20"/>
                <w:szCs w:val="20"/>
              </w:rPr>
              <w:t>1.06</w:t>
            </w:r>
            <w:r w:rsidRPr="002D4398">
              <w:rPr>
                <w:rFonts w:cstheme="minorHAnsi"/>
                <w:sz w:val="20"/>
                <w:szCs w:val="20"/>
              </w:rPr>
              <w:t>)</w:t>
            </w:r>
          </w:p>
        </w:tc>
        <w:tc>
          <w:tcPr>
            <w:tcW w:w="993" w:type="dxa"/>
          </w:tcPr>
          <w:p w14:paraId="753F2DB9" w14:textId="77777777" w:rsidR="00C215BC" w:rsidRPr="002D4398" w:rsidRDefault="00C215BC" w:rsidP="00887DB7">
            <w:pPr>
              <w:jc w:val="center"/>
              <w:rPr>
                <w:rFonts w:cstheme="minorHAnsi"/>
                <w:sz w:val="20"/>
                <w:szCs w:val="20"/>
              </w:rPr>
            </w:pPr>
          </w:p>
        </w:tc>
        <w:tc>
          <w:tcPr>
            <w:tcW w:w="1134" w:type="dxa"/>
          </w:tcPr>
          <w:p w14:paraId="13CA0F6A" w14:textId="77777777" w:rsidR="00C215BC" w:rsidRPr="002D4398" w:rsidRDefault="00C215BC" w:rsidP="00887DB7">
            <w:pPr>
              <w:jc w:val="center"/>
              <w:rPr>
                <w:rFonts w:cstheme="minorHAnsi"/>
                <w:sz w:val="20"/>
                <w:szCs w:val="20"/>
              </w:rPr>
            </w:pPr>
          </w:p>
        </w:tc>
        <w:tc>
          <w:tcPr>
            <w:tcW w:w="2268" w:type="dxa"/>
          </w:tcPr>
          <w:p w14:paraId="49BE1D10" w14:textId="77777777" w:rsidR="00C215BC" w:rsidRPr="002D4398" w:rsidRDefault="00C215BC" w:rsidP="00887DB7">
            <w:pPr>
              <w:jc w:val="center"/>
              <w:rPr>
                <w:rFonts w:cstheme="minorHAnsi"/>
                <w:sz w:val="20"/>
                <w:szCs w:val="20"/>
              </w:rPr>
            </w:pPr>
          </w:p>
        </w:tc>
      </w:tr>
    </w:tbl>
    <w:p w14:paraId="26BCF8A6" w14:textId="77777777" w:rsidR="00C215BC" w:rsidRPr="002D4398" w:rsidRDefault="00C215BC" w:rsidP="00C215BC">
      <w:pPr>
        <w:tabs>
          <w:tab w:val="left" w:pos="1579"/>
          <w:tab w:val="left" w:pos="3739"/>
          <w:tab w:val="left" w:pos="5899"/>
          <w:tab w:val="left" w:pos="10219"/>
        </w:tabs>
        <w:jc w:val="center"/>
        <w:rPr>
          <w:rFonts w:eastAsia="Calibri" w:cstheme="minorHAnsi"/>
          <w:sz w:val="20"/>
          <w:szCs w:val="20"/>
        </w:rPr>
      </w:pPr>
      <w:r w:rsidRPr="002D4398">
        <w:rPr>
          <w:rFonts w:cstheme="minorHAnsi"/>
          <w:i/>
          <w:w w:val="95"/>
          <w:sz w:val="20"/>
          <w:szCs w:val="20"/>
        </w:rPr>
        <w:t>Notes</w:t>
      </w:r>
      <w:r w:rsidRPr="002D4398">
        <w:rPr>
          <w:rFonts w:cstheme="minorHAnsi"/>
          <w:w w:val="95"/>
          <w:sz w:val="20"/>
          <w:szCs w:val="20"/>
        </w:rPr>
        <w:t xml:space="preserve">: </w:t>
      </w:r>
      <w:r w:rsidRPr="002D4398">
        <w:rPr>
          <w:rFonts w:cstheme="minorHAnsi"/>
          <w:sz w:val="20"/>
          <w:szCs w:val="20"/>
        </w:rPr>
        <w:t>(a) when both beef coefficients are restricted (b) when only one beef coefficient is restricted</w:t>
      </w:r>
    </w:p>
    <w:p w14:paraId="3A9BBE97" w14:textId="77777777" w:rsidR="00C215BC" w:rsidRPr="002D4398" w:rsidRDefault="00C215BC" w:rsidP="00C215BC">
      <w:pPr>
        <w:pStyle w:val="BodyText"/>
        <w:ind w:left="0"/>
        <w:jc w:val="both"/>
        <w:rPr>
          <w:rFonts w:asciiTheme="minorHAnsi" w:hAnsiTheme="minorHAnsi" w:cstheme="minorHAnsi"/>
          <w:sz w:val="22"/>
          <w:szCs w:val="22"/>
        </w:rPr>
      </w:pPr>
    </w:p>
    <w:p w14:paraId="03EB68DF" w14:textId="7592E367" w:rsidR="00C215BC" w:rsidRPr="002D4398" w:rsidRDefault="00C215BC" w:rsidP="00C215BC">
      <w:pPr>
        <w:pStyle w:val="BodyText"/>
        <w:ind w:left="0"/>
        <w:jc w:val="center"/>
        <w:rPr>
          <w:rFonts w:asciiTheme="minorHAnsi" w:hAnsiTheme="minorHAnsi" w:cstheme="minorHAnsi"/>
          <w:b/>
          <w:sz w:val="22"/>
          <w:szCs w:val="22"/>
        </w:rPr>
      </w:pPr>
      <w:r w:rsidRPr="002D4398">
        <w:rPr>
          <w:rFonts w:asciiTheme="minorHAnsi" w:hAnsiTheme="minorHAnsi" w:cstheme="minorHAnsi"/>
          <w:b/>
          <w:sz w:val="22"/>
          <w:szCs w:val="22"/>
        </w:rPr>
        <w:t xml:space="preserve">Table 10. </w:t>
      </w:r>
      <w:r w:rsidRPr="002D4398">
        <w:rPr>
          <w:rFonts w:asciiTheme="minorHAnsi" w:hAnsiTheme="minorHAnsi" w:cstheme="minorHAnsi"/>
          <w:b/>
          <w:spacing w:val="-4"/>
          <w:sz w:val="22"/>
          <w:szCs w:val="22"/>
        </w:rPr>
        <w:t>Restricted r</w:t>
      </w:r>
      <w:r w:rsidRPr="002D4398">
        <w:rPr>
          <w:rFonts w:asciiTheme="minorHAnsi" w:hAnsiTheme="minorHAnsi" w:cstheme="minorHAnsi"/>
          <w:b/>
          <w:sz w:val="22"/>
          <w:szCs w:val="22"/>
        </w:rPr>
        <w:t>egression</w:t>
      </w:r>
      <w:r w:rsidRPr="002D4398">
        <w:rPr>
          <w:rFonts w:asciiTheme="minorHAnsi" w:hAnsiTheme="minorHAnsi" w:cstheme="minorHAnsi"/>
          <w:b/>
          <w:spacing w:val="-4"/>
          <w:sz w:val="22"/>
          <w:szCs w:val="22"/>
        </w:rPr>
        <w:t xml:space="preserve"> e</w:t>
      </w:r>
      <w:r w:rsidRPr="002D4398">
        <w:rPr>
          <w:rFonts w:asciiTheme="minorHAnsi" w:hAnsiTheme="minorHAnsi" w:cstheme="minorHAnsi"/>
          <w:b/>
          <w:sz w:val="22"/>
          <w:szCs w:val="22"/>
        </w:rPr>
        <w:t>stimates</w:t>
      </w:r>
      <w:r w:rsidRPr="002D4398">
        <w:rPr>
          <w:rFonts w:asciiTheme="minorHAnsi" w:hAnsiTheme="minorHAnsi" w:cstheme="minorHAnsi"/>
          <w:b/>
          <w:spacing w:val="-4"/>
          <w:sz w:val="22"/>
          <w:szCs w:val="22"/>
        </w:rPr>
        <w:t xml:space="preserve"> </w:t>
      </w:r>
      <w:r w:rsidRPr="002D4398">
        <w:rPr>
          <w:rFonts w:asciiTheme="minorHAnsi" w:hAnsiTheme="minorHAnsi" w:cstheme="minorHAnsi"/>
          <w:b/>
          <w:sz w:val="22"/>
          <w:szCs w:val="22"/>
        </w:rPr>
        <w:t>for</w:t>
      </w:r>
      <w:r w:rsidRPr="002D4398">
        <w:rPr>
          <w:rFonts w:asciiTheme="minorHAnsi" w:hAnsiTheme="minorHAnsi" w:cstheme="minorHAnsi"/>
          <w:b/>
          <w:spacing w:val="-4"/>
          <w:sz w:val="22"/>
          <w:szCs w:val="22"/>
        </w:rPr>
        <w:t xml:space="preserve"> r</w:t>
      </w:r>
      <w:r w:rsidRPr="002D4398">
        <w:rPr>
          <w:rFonts w:asciiTheme="minorHAnsi" w:hAnsiTheme="minorHAnsi" w:cstheme="minorHAnsi"/>
          <w:b/>
          <w:sz w:val="22"/>
          <w:szCs w:val="22"/>
        </w:rPr>
        <w:t>eal</w:t>
      </w:r>
      <w:r w:rsidRPr="002D4398">
        <w:rPr>
          <w:rFonts w:asciiTheme="minorHAnsi" w:hAnsiTheme="minorHAnsi" w:cstheme="minorHAnsi"/>
          <w:b/>
          <w:spacing w:val="-4"/>
          <w:sz w:val="22"/>
          <w:szCs w:val="22"/>
        </w:rPr>
        <w:t xml:space="preserve"> </w:t>
      </w:r>
      <w:r w:rsidR="00FF07B1" w:rsidRPr="002D4398">
        <w:rPr>
          <w:rFonts w:asciiTheme="minorHAnsi" w:hAnsiTheme="minorHAnsi" w:cstheme="minorHAnsi"/>
          <w:b/>
          <w:spacing w:val="-4"/>
          <w:sz w:val="22"/>
          <w:szCs w:val="22"/>
        </w:rPr>
        <w:t xml:space="preserve">domestic </w:t>
      </w:r>
      <w:r w:rsidRPr="002D4398">
        <w:rPr>
          <w:rFonts w:asciiTheme="minorHAnsi" w:hAnsiTheme="minorHAnsi" w:cstheme="minorHAnsi"/>
          <w:b/>
          <w:spacing w:val="-4"/>
          <w:sz w:val="22"/>
          <w:szCs w:val="22"/>
        </w:rPr>
        <w:t>lamb m</w:t>
      </w:r>
      <w:r w:rsidRPr="002D4398">
        <w:rPr>
          <w:rFonts w:asciiTheme="minorHAnsi" w:hAnsiTheme="minorHAnsi" w:cstheme="minorHAnsi"/>
          <w:b/>
          <w:sz w:val="22"/>
          <w:szCs w:val="22"/>
        </w:rPr>
        <w:t>argin</w:t>
      </w:r>
      <w:r w:rsidRPr="002D4398">
        <w:rPr>
          <w:rFonts w:asciiTheme="minorHAnsi" w:hAnsiTheme="minorHAnsi" w:cstheme="minorHAnsi"/>
          <w:b/>
          <w:spacing w:val="-4"/>
          <w:sz w:val="22"/>
          <w:szCs w:val="22"/>
        </w:rPr>
        <w:t xml:space="preserve"> e</w:t>
      </w:r>
      <w:r w:rsidRPr="002D4398">
        <w:rPr>
          <w:rFonts w:asciiTheme="minorHAnsi" w:hAnsiTheme="minorHAnsi" w:cstheme="minorHAnsi"/>
          <w:b/>
          <w:sz w:val="22"/>
          <w:szCs w:val="22"/>
        </w:rPr>
        <w:t>quations</w:t>
      </w:r>
      <w:r w:rsidRPr="002D4398">
        <w:rPr>
          <w:rFonts w:asciiTheme="minorHAnsi" w:hAnsiTheme="minorHAnsi" w:cstheme="minorHAnsi"/>
          <w:b/>
          <w:spacing w:val="-4"/>
          <w:sz w:val="22"/>
          <w:szCs w:val="22"/>
        </w:rPr>
        <w:t xml:space="preserve"> </w:t>
      </w:r>
      <w:r w:rsidRPr="002D4398">
        <w:rPr>
          <w:rFonts w:asciiTheme="minorHAnsi" w:hAnsiTheme="minorHAnsi" w:cstheme="minorHAnsi"/>
          <w:b/>
          <w:sz w:val="22"/>
          <w:szCs w:val="22"/>
        </w:rPr>
        <w:t>1976</w:t>
      </w:r>
      <w:r w:rsidRPr="002D4398">
        <w:rPr>
          <w:rFonts w:asciiTheme="minorHAnsi" w:hAnsiTheme="minorHAnsi" w:cstheme="minorHAnsi"/>
          <w:b/>
          <w:spacing w:val="-4"/>
          <w:sz w:val="22"/>
          <w:szCs w:val="22"/>
        </w:rPr>
        <w:t xml:space="preserve"> </w:t>
      </w:r>
      <w:r w:rsidRPr="002D4398">
        <w:rPr>
          <w:rFonts w:asciiTheme="minorHAnsi" w:hAnsiTheme="minorHAnsi" w:cstheme="minorHAnsi"/>
          <w:b/>
          <w:sz w:val="22"/>
          <w:szCs w:val="22"/>
        </w:rPr>
        <w:t>–</w:t>
      </w:r>
      <w:r w:rsidRPr="002D4398">
        <w:rPr>
          <w:rFonts w:asciiTheme="minorHAnsi" w:hAnsiTheme="minorHAnsi" w:cstheme="minorHAnsi"/>
          <w:b/>
          <w:spacing w:val="-4"/>
          <w:sz w:val="22"/>
          <w:szCs w:val="22"/>
        </w:rPr>
        <w:t xml:space="preserve"> </w:t>
      </w:r>
      <w:r w:rsidRPr="002D4398">
        <w:rPr>
          <w:rFonts w:asciiTheme="minorHAnsi" w:hAnsiTheme="minorHAnsi" w:cstheme="minorHAnsi"/>
          <w:b/>
          <w:sz w:val="22"/>
          <w:szCs w:val="22"/>
        </w:rPr>
        <w:t xml:space="preserve">2021 </w:t>
      </w:r>
      <w:r w:rsidRPr="002D4398">
        <w:rPr>
          <w:rFonts w:cs="Calibri"/>
          <w:b/>
          <w:sz w:val="22"/>
          <w:szCs w:val="22"/>
        </w:rPr>
        <w:t>(</w:t>
      </w:r>
      <w:r w:rsidRPr="002D4398">
        <w:rPr>
          <w:b/>
          <w:w w:val="95"/>
          <w:sz w:val="22"/>
          <w:szCs w:val="22"/>
        </w:rPr>
        <w:t>t</w:t>
      </w:r>
      <w:r w:rsidRPr="002D4398">
        <w:rPr>
          <w:b/>
          <w:sz w:val="22"/>
          <w:szCs w:val="22"/>
        </w:rPr>
        <w:t>-statistics</w:t>
      </w:r>
      <w:r w:rsidRPr="002D4398">
        <w:rPr>
          <w:b/>
          <w:spacing w:val="-4"/>
          <w:sz w:val="22"/>
          <w:szCs w:val="22"/>
        </w:rPr>
        <w:t xml:space="preserve"> </w:t>
      </w:r>
      <w:r w:rsidRPr="002D4398">
        <w:rPr>
          <w:b/>
          <w:sz w:val="22"/>
          <w:szCs w:val="22"/>
        </w:rPr>
        <w:t>are</w:t>
      </w:r>
      <w:r w:rsidRPr="002D4398">
        <w:rPr>
          <w:b/>
          <w:spacing w:val="-4"/>
          <w:sz w:val="22"/>
          <w:szCs w:val="22"/>
        </w:rPr>
        <w:t xml:space="preserve"> </w:t>
      </w:r>
      <w:r w:rsidRPr="002D4398">
        <w:rPr>
          <w:b/>
          <w:sz w:val="22"/>
          <w:szCs w:val="22"/>
        </w:rPr>
        <w:t>in</w:t>
      </w:r>
      <w:r w:rsidRPr="002D4398">
        <w:rPr>
          <w:b/>
          <w:spacing w:val="-4"/>
          <w:sz w:val="22"/>
          <w:szCs w:val="22"/>
        </w:rPr>
        <w:t xml:space="preserve"> </w:t>
      </w:r>
      <w:r w:rsidRPr="002D4398">
        <w:rPr>
          <w:b/>
          <w:sz w:val="22"/>
          <w:szCs w:val="22"/>
        </w:rPr>
        <w:t>brackets)</w:t>
      </w:r>
    </w:p>
    <w:p w14:paraId="7922E775" w14:textId="77777777" w:rsidR="00C215BC" w:rsidRPr="002D4398" w:rsidRDefault="00C215BC" w:rsidP="00C215BC">
      <w:pPr>
        <w:pStyle w:val="BodyText"/>
        <w:ind w:left="0"/>
        <w:jc w:val="center"/>
        <w:rPr>
          <w:rFonts w:asciiTheme="minorHAnsi" w:hAnsiTheme="minorHAnsi" w:cstheme="minorHAnsi"/>
          <w:b/>
          <w:sz w:val="22"/>
          <w:szCs w:val="22"/>
        </w:rPr>
      </w:pPr>
    </w:p>
    <w:tbl>
      <w:tblPr>
        <w:tblW w:w="0" w:type="auto"/>
        <w:jc w:val="center"/>
        <w:tblBorders>
          <w:top w:val="single" w:sz="4" w:space="0" w:color="BFBFBF"/>
          <w:bottom w:val="single" w:sz="4" w:space="0" w:color="auto"/>
          <w:insideH w:val="single" w:sz="4" w:space="0" w:color="BFBFBF"/>
        </w:tblBorders>
        <w:tblLayout w:type="fixed"/>
        <w:tblCellMar>
          <w:left w:w="0" w:type="dxa"/>
          <w:right w:w="0" w:type="dxa"/>
        </w:tblCellMar>
        <w:tblLook w:val="01E0" w:firstRow="1" w:lastRow="1" w:firstColumn="1" w:lastColumn="1" w:noHBand="0" w:noVBand="0"/>
      </w:tblPr>
      <w:tblGrid>
        <w:gridCol w:w="1378"/>
        <w:gridCol w:w="1379"/>
        <w:gridCol w:w="1378"/>
        <w:gridCol w:w="1379"/>
        <w:gridCol w:w="1379"/>
        <w:gridCol w:w="1378"/>
        <w:gridCol w:w="1378"/>
        <w:gridCol w:w="1379"/>
        <w:gridCol w:w="1378"/>
        <w:gridCol w:w="1379"/>
      </w:tblGrid>
      <w:tr w:rsidR="00C215BC" w:rsidRPr="002D4398" w14:paraId="54A0D860" w14:textId="77777777" w:rsidTr="00887DB7">
        <w:trPr>
          <w:trHeight w:hRule="exact" w:val="325"/>
          <w:jc w:val="center"/>
        </w:trPr>
        <w:tc>
          <w:tcPr>
            <w:tcW w:w="1378" w:type="dxa"/>
          </w:tcPr>
          <w:p w14:paraId="4B167967" w14:textId="77777777" w:rsidR="00C215BC" w:rsidRPr="002D4398" w:rsidRDefault="00C215BC" w:rsidP="00887DB7">
            <w:pPr>
              <w:pStyle w:val="TableParagraph"/>
              <w:jc w:val="center"/>
              <w:rPr>
                <w:rFonts w:eastAsia="Calibri" w:cstheme="minorHAnsi"/>
                <w:sz w:val="20"/>
                <w:szCs w:val="20"/>
              </w:rPr>
            </w:pPr>
            <w:r w:rsidRPr="002D4398">
              <w:rPr>
                <w:rFonts w:cstheme="minorHAnsi"/>
                <w:b/>
                <w:sz w:val="20"/>
                <w:szCs w:val="20"/>
              </w:rPr>
              <w:t>Constant</w:t>
            </w:r>
          </w:p>
        </w:tc>
        <w:tc>
          <w:tcPr>
            <w:tcW w:w="1379" w:type="dxa"/>
          </w:tcPr>
          <w:p w14:paraId="383C2EAC" w14:textId="77777777" w:rsidR="00C215BC" w:rsidRPr="002D4398" w:rsidRDefault="00C215BC" w:rsidP="00887DB7">
            <w:pPr>
              <w:pStyle w:val="TableParagraph"/>
              <w:jc w:val="center"/>
              <w:rPr>
                <w:rFonts w:eastAsia="Calibri" w:cstheme="minorHAnsi"/>
                <w:sz w:val="20"/>
                <w:szCs w:val="20"/>
              </w:rPr>
            </w:pPr>
            <w:proofErr w:type="spellStart"/>
            <w:r w:rsidRPr="002D4398">
              <w:rPr>
                <w:rFonts w:cstheme="minorHAnsi"/>
                <w:b/>
                <w:sz w:val="20"/>
                <w:szCs w:val="20"/>
              </w:rPr>
              <w:t>Costind</w:t>
            </w:r>
            <w:proofErr w:type="spellEnd"/>
          </w:p>
        </w:tc>
        <w:tc>
          <w:tcPr>
            <w:tcW w:w="1378" w:type="dxa"/>
          </w:tcPr>
          <w:p w14:paraId="77D7568C" w14:textId="77777777" w:rsidR="00C215BC" w:rsidRPr="002D4398" w:rsidRDefault="00C215BC" w:rsidP="00887DB7">
            <w:pPr>
              <w:pStyle w:val="TableParagraph"/>
              <w:jc w:val="center"/>
              <w:rPr>
                <w:rFonts w:eastAsia="Calibri" w:cstheme="minorHAnsi"/>
                <w:sz w:val="20"/>
                <w:szCs w:val="20"/>
              </w:rPr>
            </w:pPr>
            <w:r w:rsidRPr="002D4398">
              <w:rPr>
                <w:rFonts w:cstheme="minorHAnsi"/>
                <w:b/>
                <w:sz w:val="20"/>
                <w:szCs w:val="20"/>
              </w:rPr>
              <w:t>DMLB</w:t>
            </w:r>
          </w:p>
        </w:tc>
        <w:tc>
          <w:tcPr>
            <w:tcW w:w="1379" w:type="dxa"/>
          </w:tcPr>
          <w:p w14:paraId="1B201F70" w14:textId="77777777" w:rsidR="00C215BC" w:rsidRPr="002D4398" w:rsidRDefault="00C215BC" w:rsidP="00887DB7">
            <w:pPr>
              <w:pStyle w:val="TableParagraph"/>
              <w:jc w:val="center"/>
              <w:rPr>
                <w:rFonts w:eastAsia="Calibri" w:cstheme="minorHAnsi"/>
                <w:sz w:val="20"/>
                <w:szCs w:val="20"/>
              </w:rPr>
            </w:pPr>
            <w:proofErr w:type="spellStart"/>
            <w:r w:rsidRPr="002D4398">
              <w:rPr>
                <w:rFonts w:cstheme="minorHAnsi"/>
                <w:b/>
                <w:sz w:val="20"/>
                <w:szCs w:val="20"/>
              </w:rPr>
              <w:t>DMLBi</w:t>
            </w:r>
            <w:proofErr w:type="spellEnd"/>
          </w:p>
        </w:tc>
        <w:tc>
          <w:tcPr>
            <w:tcW w:w="1379" w:type="dxa"/>
          </w:tcPr>
          <w:p w14:paraId="3A62D8CA" w14:textId="77777777" w:rsidR="00C215BC" w:rsidRPr="002D4398" w:rsidRDefault="00C215BC" w:rsidP="00887DB7">
            <w:pPr>
              <w:pStyle w:val="TableParagraph"/>
              <w:jc w:val="center"/>
              <w:rPr>
                <w:rFonts w:eastAsia="Calibri" w:cstheme="minorHAnsi"/>
                <w:sz w:val="20"/>
                <w:szCs w:val="20"/>
              </w:rPr>
            </w:pPr>
            <w:r w:rsidRPr="002D4398">
              <w:rPr>
                <w:rFonts w:cstheme="minorHAnsi"/>
                <w:b/>
                <w:sz w:val="20"/>
                <w:szCs w:val="20"/>
              </w:rPr>
              <w:t>TIME</w:t>
            </w:r>
          </w:p>
        </w:tc>
        <w:tc>
          <w:tcPr>
            <w:tcW w:w="1378" w:type="dxa"/>
          </w:tcPr>
          <w:p w14:paraId="7D2393B2" w14:textId="77777777" w:rsidR="00C215BC" w:rsidRPr="002D4398" w:rsidRDefault="00C215BC" w:rsidP="00887DB7">
            <w:pPr>
              <w:pStyle w:val="TableParagraph"/>
              <w:jc w:val="center"/>
              <w:rPr>
                <w:rFonts w:cstheme="minorHAnsi"/>
                <w:b/>
                <w:sz w:val="20"/>
                <w:szCs w:val="20"/>
              </w:rPr>
            </w:pPr>
            <w:r w:rsidRPr="002D4398">
              <w:rPr>
                <w:rFonts w:cstheme="minorHAnsi"/>
                <w:b/>
                <w:sz w:val="20"/>
                <w:szCs w:val="20"/>
              </w:rPr>
              <w:t>DUM11</w:t>
            </w:r>
          </w:p>
        </w:tc>
        <w:tc>
          <w:tcPr>
            <w:tcW w:w="1378" w:type="dxa"/>
          </w:tcPr>
          <w:p w14:paraId="58E61D75" w14:textId="77777777" w:rsidR="00C215BC" w:rsidRPr="002D4398" w:rsidRDefault="00C215BC" w:rsidP="00887DB7">
            <w:pPr>
              <w:pStyle w:val="TableParagraph"/>
              <w:jc w:val="center"/>
              <w:rPr>
                <w:rFonts w:eastAsia="Calibri" w:cstheme="minorHAnsi"/>
                <w:sz w:val="20"/>
                <w:szCs w:val="20"/>
              </w:rPr>
            </w:pPr>
            <w:r w:rsidRPr="002D4398">
              <w:rPr>
                <w:rFonts w:cstheme="minorHAnsi"/>
                <w:b/>
                <w:sz w:val="20"/>
                <w:szCs w:val="20"/>
              </w:rPr>
              <w:t>RHO</w:t>
            </w:r>
          </w:p>
        </w:tc>
        <w:tc>
          <w:tcPr>
            <w:tcW w:w="1379" w:type="dxa"/>
          </w:tcPr>
          <w:p w14:paraId="0F04ECD8" w14:textId="77777777" w:rsidR="00C215BC" w:rsidRPr="002D4398" w:rsidRDefault="00C215BC" w:rsidP="00887DB7">
            <w:pPr>
              <w:pStyle w:val="TableParagraph"/>
              <w:jc w:val="center"/>
              <w:rPr>
                <w:rFonts w:eastAsia="Calibri" w:cstheme="minorHAnsi"/>
                <w:sz w:val="20"/>
                <w:szCs w:val="20"/>
              </w:rPr>
            </w:pPr>
            <w:r w:rsidRPr="002D4398">
              <w:rPr>
                <w:rFonts w:cstheme="minorHAnsi"/>
                <w:b/>
                <w:sz w:val="20"/>
                <w:szCs w:val="20"/>
              </w:rPr>
              <w:t>R</w:t>
            </w:r>
            <w:r w:rsidRPr="002D4398">
              <w:rPr>
                <w:rFonts w:cstheme="minorHAnsi"/>
                <w:b/>
                <w:sz w:val="20"/>
                <w:szCs w:val="20"/>
                <w:vertAlign w:val="superscript"/>
              </w:rPr>
              <w:t>2</w:t>
            </w:r>
          </w:p>
        </w:tc>
        <w:tc>
          <w:tcPr>
            <w:tcW w:w="1378" w:type="dxa"/>
          </w:tcPr>
          <w:p w14:paraId="4AFEDE0E" w14:textId="77777777" w:rsidR="00C215BC" w:rsidRPr="002D4398" w:rsidRDefault="00C215BC" w:rsidP="00887DB7">
            <w:pPr>
              <w:pStyle w:val="TableParagraph"/>
              <w:jc w:val="center"/>
              <w:rPr>
                <w:rFonts w:eastAsia="Calibri" w:cstheme="minorHAnsi"/>
                <w:sz w:val="20"/>
                <w:szCs w:val="20"/>
              </w:rPr>
            </w:pPr>
            <w:r w:rsidRPr="002D4398">
              <w:rPr>
                <w:rFonts w:cstheme="minorHAnsi"/>
                <w:b/>
                <w:sz w:val="20"/>
                <w:szCs w:val="20"/>
              </w:rPr>
              <w:t>DW</w:t>
            </w:r>
          </w:p>
        </w:tc>
        <w:tc>
          <w:tcPr>
            <w:tcW w:w="1379" w:type="dxa"/>
          </w:tcPr>
          <w:p w14:paraId="2E9992C8" w14:textId="77777777" w:rsidR="00C215BC" w:rsidRPr="002D4398" w:rsidRDefault="00C215BC" w:rsidP="00887DB7">
            <w:pPr>
              <w:pStyle w:val="TableParagraph"/>
              <w:jc w:val="center"/>
              <w:rPr>
                <w:rFonts w:eastAsia="Calibri" w:cstheme="minorHAnsi"/>
                <w:sz w:val="20"/>
                <w:szCs w:val="20"/>
              </w:rPr>
            </w:pPr>
            <w:r w:rsidRPr="002D4398">
              <w:rPr>
                <w:rFonts w:cstheme="minorHAnsi"/>
                <w:b/>
                <w:sz w:val="20"/>
                <w:szCs w:val="20"/>
              </w:rPr>
              <w:t>Method</w:t>
            </w:r>
          </w:p>
        </w:tc>
      </w:tr>
      <w:tr w:rsidR="00C215BC" w:rsidRPr="002D4398" w14:paraId="17504689" w14:textId="77777777" w:rsidTr="00887DB7">
        <w:trPr>
          <w:trHeight w:hRule="exact" w:val="325"/>
          <w:jc w:val="center"/>
        </w:trPr>
        <w:tc>
          <w:tcPr>
            <w:tcW w:w="1378" w:type="dxa"/>
          </w:tcPr>
          <w:p w14:paraId="3999ACEC"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51.685</w:t>
            </w:r>
          </w:p>
        </w:tc>
        <w:tc>
          <w:tcPr>
            <w:tcW w:w="1379" w:type="dxa"/>
          </w:tcPr>
          <w:p w14:paraId="578BAF9A"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2.571</w:t>
            </w:r>
          </w:p>
        </w:tc>
        <w:tc>
          <w:tcPr>
            <w:tcW w:w="1378" w:type="dxa"/>
          </w:tcPr>
          <w:p w14:paraId="24DC86EE"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0.000</w:t>
            </w:r>
          </w:p>
        </w:tc>
        <w:tc>
          <w:tcPr>
            <w:tcW w:w="1379" w:type="dxa"/>
          </w:tcPr>
          <w:p w14:paraId="3B312616"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0.000</w:t>
            </w:r>
          </w:p>
        </w:tc>
        <w:tc>
          <w:tcPr>
            <w:tcW w:w="1379" w:type="dxa"/>
          </w:tcPr>
          <w:p w14:paraId="678EFAB9"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5.005</w:t>
            </w:r>
          </w:p>
        </w:tc>
        <w:tc>
          <w:tcPr>
            <w:tcW w:w="1378" w:type="dxa"/>
          </w:tcPr>
          <w:p w14:paraId="73357826"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-45.216</w:t>
            </w:r>
          </w:p>
        </w:tc>
        <w:tc>
          <w:tcPr>
            <w:tcW w:w="1378" w:type="dxa"/>
          </w:tcPr>
          <w:p w14:paraId="654F4E0D"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-0.324</w:t>
            </w:r>
          </w:p>
        </w:tc>
        <w:tc>
          <w:tcPr>
            <w:tcW w:w="1379" w:type="dxa"/>
          </w:tcPr>
          <w:p w14:paraId="2E72397E" w14:textId="77777777" w:rsidR="00C215BC" w:rsidRPr="002D4398" w:rsidRDefault="00C215BC" w:rsidP="00887DB7">
            <w:pPr>
              <w:jc w:val="center"/>
              <w:rPr>
                <w:rFonts w:cstheme="minorHAnsi"/>
                <w:sz w:val="20"/>
                <w:szCs w:val="20"/>
              </w:rPr>
            </w:pPr>
            <w:r w:rsidRPr="002D4398">
              <w:rPr>
                <w:rFonts w:cstheme="minorHAnsi"/>
                <w:sz w:val="20"/>
                <w:szCs w:val="20"/>
              </w:rPr>
              <w:t>0.98</w:t>
            </w:r>
          </w:p>
        </w:tc>
        <w:tc>
          <w:tcPr>
            <w:tcW w:w="1378" w:type="dxa"/>
          </w:tcPr>
          <w:p w14:paraId="6F145868" w14:textId="77777777" w:rsidR="00C215BC" w:rsidRPr="002D4398" w:rsidRDefault="00C215BC" w:rsidP="00887DB7">
            <w:pPr>
              <w:jc w:val="center"/>
              <w:rPr>
                <w:rFonts w:cstheme="minorHAnsi"/>
                <w:sz w:val="20"/>
                <w:szCs w:val="20"/>
              </w:rPr>
            </w:pPr>
            <w:r w:rsidRPr="002D4398">
              <w:rPr>
                <w:rFonts w:cstheme="minorHAnsi"/>
                <w:sz w:val="20"/>
                <w:szCs w:val="20"/>
              </w:rPr>
              <w:t>1.83</w:t>
            </w:r>
          </w:p>
        </w:tc>
        <w:tc>
          <w:tcPr>
            <w:tcW w:w="1379" w:type="dxa"/>
          </w:tcPr>
          <w:p w14:paraId="7A90927A" w14:textId="77777777" w:rsidR="00C215BC" w:rsidRPr="002D4398" w:rsidRDefault="00C215BC" w:rsidP="00887DB7">
            <w:pPr>
              <w:jc w:val="center"/>
              <w:rPr>
                <w:rFonts w:cstheme="minorHAnsi"/>
                <w:sz w:val="20"/>
                <w:szCs w:val="20"/>
              </w:rPr>
            </w:pPr>
            <w:r w:rsidRPr="002D4398">
              <w:rPr>
                <w:rFonts w:cstheme="minorHAnsi"/>
                <w:sz w:val="20"/>
                <w:szCs w:val="20"/>
              </w:rPr>
              <w:t>LSQ-AR1</w:t>
            </w:r>
          </w:p>
        </w:tc>
      </w:tr>
      <w:tr w:rsidR="00C215BC" w:rsidRPr="002D4398" w14:paraId="2A12E777" w14:textId="77777777" w:rsidTr="00887DB7">
        <w:trPr>
          <w:trHeight w:hRule="exact" w:val="325"/>
          <w:jc w:val="center"/>
        </w:trPr>
        <w:tc>
          <w:tcPr>
            <w:tcW w:w="1378" w:type="dxa"/>
          </w:tcPr>
          <w:p w14:paraId="7DAEC51D"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(3.02)</w:t>
            </w:r>
          </w:p>
        </w:tc>
        <w:tc>
          <w:tcPr>
            <w:tcW w:w="1379" w:type="dxa"/>
          </w:tcPr>
          <w:p w14:paraId="34CCF773"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(35.02)</w:t>
            </w:r>
          </w:p>
        </w:tc>
        <w:tc>
          <w:tcPr>
            <w:tcW w:w="1378" w:type="dxa"/>
          </w:tcPr>
          <w:p w14:paraId="363DD1D1"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(0.00)</w:t>
            </w:r>
          </w:p>
        </w:tc>
        <w:tc>
          <w:tcPr>
            <w:tcW w:w="1379" w:type="dxa"/>
          </w:tcPr>
          <w:p w14:paraId="7CA70CFF"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(0.00)</w:t>
            </w:r>
          </w:p>
        </w:tc>
        <w:tc>
          <w:tcPr>
            <w:tcW w:w="1379" w:type="dxa"/>
          </w:tcPr>
          <w:p w14:paraId="2FAA9D2E"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(8.20)</w:t>
            </w:r>
          </w:p>
        </w:tc>
        <w:tc>
          <w:tcPr>
            <w:tcW w:w="1378" w:type="dxa"/>
          </w:tcPr>
          <w:p w14:paraId="3F5CC201"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(-2.35)</w:t>
            </w:r>
          </w:p>
        </w:tc>
        <w:tc>
          <w:tcPr>
            <w:tcW w:w="1378" w:type="dxa"/>
          </w:tcPr>
          <w:p w14:paraId="648B8776" w14:textId="77777777" w:rsidR="00C215BC" w:rsidRPr="002D4398" w:rsidRDefault="00C215BC" w:rsidP="00887DB7">
            <w:pPr>
              <w:pStyle w:val="TableParagraph"/>
              <w:jc w:val="center"/>
              <w:rPr>
                <w:rFonts w:cstheme="minorHAnsi"/>
                <w:sz w:val="20"/>
                <w:szCs w:val="20"/>
              </w:rPr>
            </w:pPr>
            <w:r w:rsidRPr="002D4398">
              <w:rPr>
                <w:rFonts w:cstheme="minorHAnsi"/>
                <w:sz w:val="20"/>
                <w:szCs w:val="20"/>
              </w:rPr>
              <w:t>(-2.11)</w:t>
            </w:r>
          </w:p>
        </w:tc>
        <w:tc>
          <w:tcPr>
            <w:tcW w:w="1379" w:type="dxa"/>
          </w:tcPr>
          <w:p w14:paraId="57D8B7AC" w14:textId="77777777" w:rsidR="00C215BC" w:rsidRPr="002D4398" w:rsidRDefault="00C215BC" w:rsidP="00887DB7">
            <w:pPr>
              <w:jc w:val="center"/>
              <w:rPr>
                <w:rFonts w:cstheme="minorHAnsi"/>
                <w:sz w:val="20"/>
                <w:szCs w:val="20"/>
              </w:rPr>
            </w:pPr>
          </w:p>
        </w:tc>
        <w:tc>
          <w:tcPr>
            <w:tcW w:w="1378" w:type="dxa"/>
          </w:tcPr>
          <w:p w14:paraId="300B1A5A" w14:textId="77777777" w:rsidR="00C215BC" w:rsidRPr="002D4398" w:rsidRDefault="00C215BC" w:rsidP="00887DB7">
            <w:pPr>
              <w:jc w:val="center"/>
              <w:rPr>
                <w:rFonts w:cstheme="minorHAnsi"/>
                <w:sz w:val="20"/>
                <w:szCs w:val="20"/>
              </w:rPr>
            </w:pPr>
          </w:p>
        </w:tc>
        <w:tc>
          <w:tcPr>
            <w:tcW w:w="1379" w:type="dxa"/>
          </w:tcPr>
          <w:p w14:paraId="34FEB282" w14:textId="77777777" w:rsidR="00C215BC" w:rsidRPr="002D4398" w:rsidRDefault="00C215BC" w:rsidP="00887DB7">
            <w:pPr>
              <w:jc w:val="center"/>
              <w:rPr>
                <w:rFonts w:cstheme="minorHAnsi"/>
                <w:sz w:val="20"/>
                <w:szCs w:val="20"/>
              </w:rPr>
            </w:pPr>
          </w:p>
        </w:tc>
      </w:tr>
      <w:tr w:rsidR="00C215BC" w:rsidRPr="002D4398" w14:paraId="70CD57D9" w14:textId="77777777" w:rsidTr="00887DB7">
        <w:trPr>
          <w:trHeight w:hRule="exact" w:val="428"/>
          <w:jc w:val="center"/>
        </w:trPr>
        <w:tc>
          <w:tcPr>
            <w:tcW w:w="1378" w:type="dxa"/>
            <w:shd w:val="clear" w:color="auto" w:fill="F2F2F2"/>
          </w:tcPr>
          <w:p w14:paraId="32468996" w14:textId="4693F83B" w:rsidR="00C215BC" w:rsidRPr="002D4398" w:rsidRDefault="0069375C" w:rsidP="00887DB7">
            <w:pPr>
              <w:pStyle w:val="TableParagraph"/>
              <w:jc w:val="center"/>
              <w:rPr>
                <w:rFonts w:eastAsia="Calibri" w:cstheme="minorHAnsi"/>
                <w:sz w:val="20"/>
                <w:szCs w:val="20"/>
              </w:rPr>
            </w:pPr>
            <w:r w:rsidRPr="002D4398">
              <w:rPr>
                <w:rFonts w:cstheme="minorHAnsi"/>
                <w:sz w:val="20"/>
                <w:szCs w:val="20"/>
              </w:rPr>
              <w:t>51.685</w:t>
            </w:r>
          </w:p>
        </w:tc>
        <w:tc>
          <w:tcPr>
            <w:tcW w:w="1379" w:type="dxa"/>
            <w:shd w:val="clear" w:color="auto" w:fill="F2F2F2"/>
          </w:tcPr>
          <w:p w14:paraId="571912A9" w14:textId="1D5EC7CE" w:rsidR="00C215BC" w:rsidRPr="002D4398" w:rsidRDefault="0069375C" w:rsidP="00887DB7">
            <w:pPr>
              <w:pStyle w:val="TableParagraph"/>
              <w:jc w:val="center"/>
              <w:rPr>
                <w:rFonts w:eastAsia="Calibri" w:cstheme="minorHAnsi"/>
                <w:sz w:val="20"/>
                <w:szCs w:val="20"/>
              </w:rPr>
            </w:pPr>
            <w:r w:rsidRPr="002D4398">
              <w:rPr>
                <w:rFonts w:cstheme="minorHAnsi"/>
                <w:sz w:val="20"/>
                <w:szCs w:val="20"/>
              </w:rPr>
              <w:t>2.571</w:t>
            </w:r>
          </w:p>
        </w:tc>
        <w:tc>
          <w:tcPr>
            <w:tcW w:w="1378" w:type="dxa"/>
            <w:shd w:val="clear" w:color="auto" w:fill="F2F2F2"/>
          </w:tcPr>
          <w:p w14:paraId="77EDCF0F"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0.000</w:t>
            </w:r>
          </w:p>
        </w:tc>
        <w:tc>
          <w:tcPr>
            <w:tcW w:w="1379" w:type="dxa"/>
            <w:shd w:val="clear" w:color="auto" w:fill="F2F2F2"/>
          </w:tcPr>
          <w:p w14:paraId="792D6157"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0.000</w:t>
            </w:r>
          </w:p>
        </w:tc>
        <w:tc>
          <w:tcPr>
            <w:tcW w:w="1379" w:type="dxa"/>
            <w:shd w:val="clear" w:color="auto" w:fill="F2F2F2"/>
          </w:tcPr>
          <w:p w14:paraId="5CFC4036" w14:textId="4A96FB6E" w:rsidR="00C215BC" w:rsidRPr="002D4398" w:rsidRDefault="0069375C" w:rsidP="00887DB7">
            <w:pPr>
              <w:pStyle w:val="TableParagraph"/>
              <w:jc w:val="center"/>
              <w:rPr>
                <w:rFonts w:eastAsia="Calibri" w:cstheme="minorHAnsi"/>
                <w:sz w:val="20"/>
                <w:szCs w:val="20"/>
              </w:rPr>
            </w:pPr>
            <w:r w:rsidRPr="002D4398">
              <w:rPr>
                <w:rFonts w:cstheme="minorHAnsi"/>
                <w:sz w:val="20"/>
                <w:szCs w:val="20"/>
              </w:rPr>
              <w:t>5.005</w:t>
            </w:r>
          </w:p>
        </w:tc>
        <w:tc>
          <w:tcPr>
            <w:tcW w:w="1378" w:type="dxa"/>
            <w:shd w:val="clear" w:color="auto" w:fill="F2F2F2"/>
          </w:tcPr>
          <w:p w14:paraId="54385053" w14:textId="5706FFE4" w:rsidR="00C215BC" w:rsidRPr="002D4398" w:rsidRDefault="0069375C" w:rsidP="00887DB7">
            <w:pPr>
              <w:pStyle w:val="TableParagraph"/>
              <w:jc w:val="center"/>
              <w:rPr>
                <w:rFonts w:cstheme="minorHAnsi"/>
                <w:sz w:val="20"/>
                <w:szCs w:val="20"/>
              </w:rPr>
            </w:pPr>
            <w:r w:rsidRPr="002D4398">
              <w:rPr>
                <w:rFonts w:cstheme="minorHAnsi"/>
                <w:sz w:val="20"/>
                <w:szCs w:val="20"/>
              </w:rPr>
              <w:t>-45.216</w:t>
            </w:r>
          </w:p>
        </w:tc>
        <w:tc>
          <w:tcPr>
            <w:tcW w:w="1378" w:type="dxa"/>
            <w:shd w:val="clear" w:color="auto" w:fill="F2F2F2"/>
          </w:tcPr>
          <w:p w14:paraId="0F6E71E6" w14:textId="37D8AE5D" w:rsidR="00C215BC" w:rsidRPr="002D4398" w:rsidRDefault="0069375C" w:rsidP="00887DB7">
            <w:pPr>
              <w:pStyle w:val="TableParagraph"/>
              <w:jc w:val="center"/>
              <w:rPr>
                <w:rFonts w:eastAsia="Calibri" w:cstheme="minorHAnsi"/>
                <w:sz w:val="20"/>
                <w:szCs w:val="20"/>
              </w:rPr>
            </w:pPr>
            <w:r w:rsidRPr="002D4398">
              <w:rPr>
                <w:rFonts w:cstheme="minorHAnsi"/>
                <w:sz w:val="20"/>
                <w:szCs w:val="20"/>
              </w:rPr>
              <w:t>-</w:t>
            </w:r>
            <w:r w:rsidR="00C215BC" w:rsidRPr="002D4398">
              <w:rPr>
                <w:rFonts w:cstheme="minorHAnsi"/>
                <w:sz w:val="20"/>
                <w:szCs w:val="20"/>
              </w:rPr>
              <w:t>0.</w:t>
            </w:r>
            <w:r w:rsidRPr="002D4398">
              <w:rPr>
                <w:rFonts w:cstheme="minorHAnsi"/>
                <w:sz w:val="20"/>
                <w:szCs w:val="20"/>
              </w:rPr>
              <w:t>325</w:t>
            </w:r>
          </w:p>
        </w:tc>
        <w:tc>
          <w:tcPr>
            <w:tcW w:w="1379" w:type="dxa"/>
            <w:shd w:val="clear" w:color="auto" w:fill="F2F2F2"/>
          </w:tcPr>
          <w:p w14:paraId="1B142DB1" w14:textId="67E42BF5"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w:t>
            </w:r>
            <w:r w:rsidR="0069375C" w:rsidRPr="002D4398">
              <w:rPr>
                <w:rFonts w:cstheme="minorHAnsi"/>
                <w:sz w:val="20"/>
                <w:szCs w:val="20"/>
              </w:rPr>
              <w:t>99</w:t>
            </w:r>
          </w:p>
        </w:tc>
        <w:tc>
          <w:tcPr>
            <w:tcW w:w="1378" w:type="dxa"/>
            <w:shd w:val="clear" w:color="auto" w:fill="F2F2F2"/>
          </w:tcPr>
          <w:p w14:paraId="7029AE6C" w14:textId="0148B8B9"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1.</w:t>
            </w:r>
            <w:r w:rsidR="0069375C" w:rsidRPr="002D4398">
              <w:rPr>
                <w:rFonts w:cstheme="minorHAnsi"/>
                <w:sz w:val="20"/>
                <w:szCs w:val="20"/>
              </w:rPr>
              <w:t>76</w:t>
            </w:r>
          </w:p>
        </w:tc>
        <w:tc>
          <w:tcPr>
            <w:tcW w:w="1379" w:type="dxa"/>
            <w:shd w:val="clear" w:color="auto" w:fill="F2F2F2"/>
          </w:tcPr>
          <w:p w14:paraId="0A155E3F"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SUR-AR1</w:t>
            </w:r>
          </w:p>
        </w:tc>
      </w:tr>
      <w:tr w:rsidR="00C215BC" w:rsidRPr="002D4398" w14:paraId="0B316FDB" w14:textId="77777777" w:rsidTr="00887DB7">
        <w:trPr>
          <w:trHeight w:hRule="exact" w:val="325"/>
          <w:jc w:val="center"/>
        </w:trPr>
        <w:tc>
          <w:tcPr>
            <w:tcW w:w="1378" w:type="dxa"/>
          </w:tcPr>
          <w:p w14:paraId="10B00C2E" w14:textId="1D2A4920"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w:t>
            </w:r>
            <w:r w:rsidR="0069375C" w:rsidRPr="002D4398">
              <w:rPr>
                <w:rFonts w:cstheme="minorHAnsi"/>
                <w:sz w:val="20"/>
                <w:szCs w:val="20"/>
              </w:rPr>
              <w:t>3.00</w:t>
            </w:r>
            <w:r w:rsidRPr="002D4398">
              <w:rPr>
                <w:rFonts w:cstheme="minorHAnsi"/>
                <w:sz w:val="20"/>
                <w:szCs w:val="20"/>
              </w:rPr>
              <w:t>)</w:t>
            </w:r>
          </w:p>
        </w:tc>
        <w:tc>
          <w:tcPr>
            <w:tcW w:w="1379" w:type="dxa"/>
          </w:tcPr>
          <w:p w14:paraId="4CD00D5D" w14:textId="5768811E"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(36</w:t>
            </w:r>
            <w:r w:rsidR="0069375C" w:rsidRPr="002D4398">
              <w:rPr>
                <w:rFonts w:cstheme="minorHAnsi"/>
                <w:sz w:val="20"/>
                <w:szCs w:val="20"/>
              </w:rPr>
              <w:t>.64</w:t>
            </w:r>
            <w:r w:rsidRPr="002D4398">
              <w:rPr>
                <w:rFonts w:cstheme="minorHAnsi"/>
                <w:sz w:val="20"/>
                <w:szCs w:val="20"/>
              </w:rPr>
              <w:t>)</w:t>
            </w:r>
          </w:p>
        </w:tc>
        <w:tc>
          <w:tcPr>
            <w:tcW w:w="1378" w:type="dxa"/>
          </w:tcPr>
          <w:p w14:paraId="649D7BA7"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(0.00)</w:t>
            </w:r>
          </w:p>
        </w:tc>
        <w:tc>
          <w:tcPr>
            <w:tcW w:w="1379" w:type="dxa"/>
          </w:tcPr>
          <w:p w14:paraId="089DB1D4" w14:textId="77777777"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(0.00)</w:t>
            </w:r>
          </w:p>
        </w:tc>
        <w:tc>
          <w:tcPr>
            <w:tcW w:w="1379" w:type="dxa"/>
          </w:tcPr>
          <w:p w14:paraId="24BBC4AB" w14:textId="5E247D6E"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w:t>
            </w:r>
            <w:r w:rsidR="0069375C" w:rsidRPr="002D4398">
              <w:rPr>
                <w:rFonts w:cstheme="minorHAnsi"/>
                <w:sz w:val="20"/>
                <w:szCs w:val="20"/>
              </w:rPr>
              <w:t>8.27</w:t>
            </w:r>
            <w:r w:rsidRPr="002D4398">
              <w:rPr>
                <w:rFonts w:cstheme="minorHAnsi"/>
                <w:sz w:val="20"/>
                <w:szCs w:val="20"/>
              </w:rPr>
              <w:t>)</w:t>
            </w:r>
          </w:p>
        </w:tc>
        <w:tc>
          <w:tcPr>
            <w:tcW w:w="1378" w:type="dxa"/>
          </w:tcPr>
          <w:p w14:paraId="5274A5DE" w14:textId="06604F8E" w:rsidR="00C215BC" w:rsidRPr="002D4398" w:rsidRDefault="0069375C" w:rsidP="00887DB7">
            <w:pPr>
              <w:pStyle w:val="TableParagraph"/>
              <w:jc w:val="center"/>
              <w:rPr>
                <w:rFonts w:cstheme="minorHAnsi"/>
                <w:sz w:val="20"/>
                <w:szCs w:val="20"/>
              </w:rPr>
            </w:pPr>
            <w:r w:rsidRPr="002D4398">
              <w:rPr>
                <w:rFonts w:cstheme="minorHAnsi"/>
                <w:sz w:val="20"/>
                <w:szCs w:val="20"/>
              </w:rPr>
              <w:t>(-2.56)</w:t>
            </w:r>
          </w:p>
        </w:tc>
        <w:tc>
          <w:tcPr>
            <w:tcW w:w="1378" w:type="dxa"/>
          </w:tcPr>
          <w:p w14:paraId="600C1601" w14:textId="4704DBC2" w:rsidR="00C215BC" w:rsidRPr="002D4398" w:rsidRDefault="00C215BC" w:rsidP="00887DB7">
            <w:pPr>
              <w:pStyle w:val="TableParagraph"/>
              <w:jc w:val="center"/>
              <w:rPr>
                <w:rFonts w:eastAsia="Calibri" w:cstheme="minorHAnsi"/>
                <w:sz w:val="20"/>
                <w:szCs w:val="20"/>
              </w:rPr>
            </w:pPr>
            <w:r w:rsidRPr="002D4398">
              <w:rPr>
                <w:rFonts w:cstheme="minorHAnsi"/>
                <w:sz w:val="20"/>
                <w:szCs w:val="20"/>
              </w:rPr>
              <w:t>(</w:t>
            </w:r>
            <w:r w:rsidR="0069375C" w:rsidRPr="002D4398">
              <w:rPr>
                <w:rFonts w:cstheme="minorHAnsi"/>
                <w:sz w:val="20"/>
                <w:szCs w:val="20"/>
              </w:rPr>
              <w:t>-2.58</w:t>
            </w:r>
            <w:r w:rsidRPr="002D4398">
              <w:rPr>
                <w:rFonts w:cstheme="minorHAnsi"/>
                <w:sz w:val="20"/>
                <w:szCs w:val="20"/>
              </w:rPr>
              <w:t>)</w:t>
            </w:r>
          </w:p>
        </w:tc>
        <w:tc>
          <w:tcPr>
            <w:tcW w:w="1379" w:type="dxa"/>
          </w:tcPr>
          <w:p w14:paraId="4AB514D5" w14:textId="77777777" w:rsidR="00C215BC" w:rsidRPr="002D4398" w:rsidRDefault="00C215BC" w:rsidP="00887DB7">
            <w:pPr>
              <w:jc w:val="center"/>
              <w:rPr>
                <w:rFonts w:cstheme="minorHAnsi"/>
                <w:sz w:val="20"/>
                <w:szCs w:val="20"/>
              </w:rPr>
            </w:pPr>
          </w:p>
        </w:tc>
        <w:tc>
          <w:tcPr>
            <w:tcW w:w="1378" w:type="dxa"/>
          </w:tcPr>
          <w:p w14:paraId="1FECFB82" w14:textId="77777777" w:rsidR="00C215BC" w:rsidRPr="002D4398" w:rsidRDefault="00C215BC" w:rsidP="00887DB7">
            <w:pPr>
              <w:jc w:val="center"/>
              <w:rPr>
                <w:rFonts w:cstheme="minorHAnsi"/>
                <w:sz w:val="20"/>
                <w:szCs w:val="20"/>
              </w:rPr>
            </w:pPr>
          </w:p>
        </w:tc>
        <w:tc>
          <w:tcPr>
            <w:tcW w:w="1379" w:type="dxa"/>
          </w:tcPr>
          <w:p w14:paraId="617972AE" w14:textId="77777777" w:rsidR="00C215BC" w:rsidRPr="002D4398" w:rsidRDefault="00C215BC" w:rsidP="00887DB7">
            <w:pPr>
              <w:jc w:val="center"/>
              <w:rPr>
                <w:rFonts w:cstheme="minorHAnsi"/>
                <w:sz w:val="20"/>
                <w:szCs w:val="20"/>
              </w:rPr>
            </w:pPr>
          </w:p>
        </w:tc>
      </w:tr>
    </w:tbl>
    <w:p w14:paraId="479DE6EA" w14:textId="77777777" w:rsidR="0069375C" w:rsidRPr="002D4398" w:rsidRDefault="0069375C" w:rsidP="00C215BC">
      <w:pPr>
        <w:pStyle w:val="BodyText"/>
        <w:ind w:left="0"/>
        <w:jc w:val="center"/>
        <w:rPr>
          <w:rFonts w:asciiTheme="minorHAnsi" w:hAnsiTheme="minorHAnsi" w:cstheme="minorHAnsi"/>
          <w:b/>
          <w:sz w:val="22"/>
          <w:szCs w:val="22"/>
        </w:rPr>
      </w:pPr>
    </w:p>
    <w:p w14:paraId="5DF7FCF3" w14:textId="77777777" w:rsidR="00B50A7D" w:rsidRDefault="00B50A7D" w:rsidP="00C215BC">
      <w:pPr>
        <w:pStyle w:val="BodyText"/>
        <w:ind w:left="0"/>
        <w:jc w:val="center"/>
        <w:rPr>
          <w:rFonts w:asciiTheme="minorHAnsi" w:hAnsiTheme="minorHAnsi" w:cstheme="minorHAnsi"/>
          <w:b/>
          <w:sz w:val="22"/>
          <w:szCs w:val="22"/>
        </w:rPr>
      </w:pPr>
    </w:p>
    <w:p w14:paraId="3988C9F9" w14:textId="1D7649C0" w:rsidR="00C215BC" w:rsidRPr="002D4398" w:rsidRDefault="00C215BC" w:rsidP="00C215BC">
      <w:pPr>
        <w:pStyle w:val="BodyText"/>
        <w:ind w:left="0"/>
        <w:jc w:val="center"/>
        <w:rPr>
          <w:rFonts w:asciiTheme="minorHAnsi" w:hAnsiTheme="minorHAnsi" w:cstheme="minorHAnsi"/>
          <w:b/>
          <w:sz w:val="22"/>
          <w:szCs w:val="22"/>
        </w:rPr>
      </w:pPr>
      <w:r w:rsidRPr="002D4398">
        <w:rPr>
          <w:rFonts w:asciiTheme="minorHAnsi" w:hAnsiTheme="minorHAnsi" w:cstheme="minorHAnsi"/>
          <w:b/>
          <w:sz w:val="22"/>
          <w:szCs w:val="22"/>
        </w:rPr>
        <w:lastRenderedPageBreak/>
        <w:t>Table 11</w:t>
      </w:r>
      <w:r w:rsidR="00FF07B1" w:rsidRPr="002D4398">
        <w:rPr>
          <w:rFonts w:asciiTheme="minorHAnsi" w:hAnsiTheme="minorHAnsi" w:cstheme="minorHAnsi"/>
          <w:b/>
          <w:sz w:val="22"/>
          <w:szCs w:val="22"/>
        </w:rPr>
        <w:t>.</w:t>
      </w:r>
      <w:r w:rsidRPr="002D4398">
        <w:rPr>
          <w:rFonts w:asciiTheme="minorHAnsi" w:hAnsiTheme="minorHAnsi" w:cstheme="minorHAnsi"/>
          <w:b/>
          <w:sz w:val="22"/>
          <w:szCs w:val="22"/>
        </w:rPr>
        <w:t xml:space="preserve"> </w:t>
      </w:r>
      <w:r w:rsidRPr="002D4398">
        <w:rPr>
          <w:rFonts w:asciiTheme="minorHAnsi" w:hAnsiTheme="minorHAnsi" w:cstheme="minorHAnsi"/>
          <w:b/>
          <w:spacing w:val="-4"/>
          <w:sz w:val="22"/>
          <w:szCs w:val="22"/>
        </w:rPr>
        <w:t>Restricted r</w:t>
      </w:r>
      <w:r w:rsidRPr="002D4398">
        <w:rPr>
          <w:rFonts w:asciiTheme="minorHAnsi" w:hAnsiTheme="minorHAnsi" w:cstheme="minorHAnsi"/>
          <w:b/>
          <w:sz w:val="22"/>
          <w:szCs w:val="22"/>
        </w:rPr>
        <w:t>egression estimates</w:t>
      </w:r>
      <w:r w:rsidRPr="002D4398">
        <w:rPr>
          <w:rFonts w:asciiTheme="minorHAnsi" w:hAnsiTheme="minorHAnsi" w:cstheme="minorHAnsi"/>
          <w:b/>
          <w:spacing w:val="-4"/>
          <w:sz w:val="22"/>
          <w:szCs w:val="22"/>
        </w:rPr>
        <w:t xml:space="preserve"> </w:t>
      </w:r>
      <w:r w:rsidRPr="002D4398">
        <w:rPr>
          <w:rFonts w:asciiTheme="minorHAnsi" w:hAnsiTheme="minorHAnsi" w:cstheme="minorHAnsi"/>
          <w:b/>
          <w:sz w:val="22"/>
          <w:szCs w:val="22"/>
        </w:rPr>
        <w:t>for</w:t>
      </w:r>
      <w:r w:rsidRPr="002D4398">
        <w:rPr>
          <w:rFonts w:asciiTheme="minorHAnsi" w:hAnsiTheme="minorHAnsi" w:cstheme="minorHAnsi"/>
          <w:b/>
          <w:spacing w:val="-4"/>
          <w:sz w:val="22"/>
          <w:szCs w:val="22"/>
        </w:rPr>
        <w:t xml:space="preserve"> r</w:t>
      </w:r>
      <w:r w:rsidRPr="002D4398">
        <w:rPr>
          <w:rFonts w:asciiTheme="minorHAnsi" w:hAnsiTheme="minorHAnsi" w:cstheme="minorHAnsi"/>
          <w:b/>
          <w:sz w:val="22"/>
          <w:szCs w:val="22"/>
        </w:rPr>
        <w:t>eal</w:t>
      </w:r>
      <w:r w:rsidRPr="002D4398">
        <w:rPr>
          <w:rFonts w:asciiTheme="minorHAnsi" w:hAnsiTheme="minorHAnsi" w:cstheme="minorHAnsi"/>
          <w:b/>
          <w:spacing w:val="-4"/>
          <w:sz w:val="22"/>
          <w:szCs w:val="22"/>
        </w:rPr>
        <w:t xml:space="preserve"> </w:t>
      </w:r>
      <w:r w:rsidR="00FF07B1" w:rsidRPr="002D4398">
        <w:rPr>
          <w:rFonts w:asciiTheme="minorHAnsi" w:hAnsiTheme="minorHAnsi" w:cstheme="minorHAnsi"/>
          <w:b/>
          <w:spacing w:val="-4"/>
          <w:sz w:val="22"/>
          <w:szCs w:val="22"/>
        </w:rPr>
        <w:t xml:space="preserve">domestic </w:t>
      </w:r>
      <w:r w:rsidRPr="002D4398">
        <w:rPr>
          <w:rFonts w:asciiTheme="minorHAnsi" w:hAnsiTheme="minorHAnsi" w:cstheme="minorHAnsi"/>
          <w:b/>
          <w:spacing w:val="-4"/>
          <w:sz w:val="22"/>
          <w:szCs w:val="22"/>
        </w:rPr>
        <w:t>pork m</w:t>
      </w:r>
      <w:r w:rsidRPr="002D4398">
        <w:rPr>
          <w:rFonts w:asciiTheme="minorHAnsi" w:hAnsiTheme="minorHAnsi" w:cstheme="minorHAnsi"/>
          <w:b/>
          <w:sz w:val="22"/>
          <w:szCs w:val="22"/>
        </w:rPr>
        <w:t>argin</w:t>
      </w:r>
      <w:r w:rsidRPr="002D4398">
        <w:rPr>
          <w:rFonts w:asciiTheme="minorHAnsi" w:hAnsiTheme="minorHAnsi" w:cstheme="minorHAnsi"/>
          <w:b/>
          <w:spacing w:val="-4"/>
          <w:sz w:val="22"/>
          <w:szCs w:val="22"/>
        </w:rPr>
        <w:t xml:space="preserve"> e</w:t>
      </w:r>
      <w:r w:rsidRPr="002D4398">
        <w:rPr>
          <w:rFonts w:asciiTheme="minorHAnsi" w:hAnsiTheme="minorHAnsi" w:cstheme="minorHAnsi"/>
          <w:b/>
          <w:sz w:val="22"/>
          <w:szCs w:val="22"/>
        </w:rPr>
        <w:t>quations</w:t>
      </w:r>
      <w:r w:rsidRPr="002D4398">
        <w:rPr>
          <w:rFonts w:asciiTheme="minorHAnsi" w:hAnsiTheme="minorHAnsi" w:cstheme="minorHAnsi"/>
          <w:b/>
          <w:spacing w:val="-4"/>
          <w:sz w:val="22"/>
          <w:szCs w:val="22"/>
        </w:rPr>
        <w:t xml:space="preserve"> </w:t>
      </w:r>
      <w:r w:rsidRPr="002D4398">
        <w:rPr>
          <w:rFonts w:asciiTheme="minorHAnsi" w:hAnsiTheme="minorHAnsi" w:cstheme="minorHAnsi"/>
          <w:b/>
          <w:sz w:val="22"/>
          <w:szCs w:val="22"/>
        </w:rPr>
        <w:t>197</w:t>
      </w:r>
      <w:r w:rsidR="00FF07B1" w:rsidRPr="002D4398">
        <w:rPr>
          <w:rFonts w:asciiTheme="minorHAnsi" w:hAnsiTheme="minorHAnsi" w:cstheme="minorHAnsi"/>
          <w:b/>
          <w:sz w:val="22"/>
          <w:szCs w:val="22"/>
        </w:rPr>
        <w:t>6</w:t>
      </w:r>
      <w:r w:rsidRPr="002D4398">
        <w:rPr>
          <w:rFonts w:asciiTheme="minorHAnsi" w:hAnsiTheme="minorHAnsi" w:cstheme="minorHAnsi"/>
          <w:b/>
          <w:spacing w:val="-4"/>
          <w:sz w:val="22"/>
          <w:szCs w:val="22"/>
        </w:rPr>
        <w:t xml:space="preserve"> </w:t>
      </w:r>
      <w:r w:rsidRPr="002D4398">
        <w:rPr>
          <w:rFonts w:asciiTheme="minorHAnsi" w:hAnsiTheme="minorHAnsi" w:cstheme="minorHAnsi"/>
          <w:b/>
          <w:sz w:val="22"/>
          <w:szCs w:val="22"/>
        </w:rPr>
        <w:t>–</w:t>
      </w:r>
      <w:r w:rsidRPr="002D4398">
        <w:rPr>
          <w:rFonts w:asciiTheme="minorHAnsi" w:hAnsiTheme="minorHAnsi" w:cstheme="minorHAnsi"/>
          <w:b/>
          <w:spacing w:val="-4"/>
          <w:sz w:val="22"/>
          <w:szCs w:val="22"/>
        </w:rPr>
        <w:t xml:space="preserve"> </w:t>
      </w:r>
      <w:r w:rsidRPr="002D4398">
        <w:rPr>
          <w:rFonts w:asciiTheme="minorHAnsi" w:hAnsiTheme="minorHAnsi" w:cstheme="minorHAnsi"/>
          <w:b/>
          <w:sz w:val="22"/>
          <w:szCs w:val="22"/>
        </w:rPr>
        <w:t xml:space="preserve">2021 </w:t>
      </w:r>
      <w:r w:rsidRPr="002D4398">
        <w:rPr>
          <w:rFonts w:cs="Calibri"/>
          <w:b/>
          <w:sz w:val="22"/>
          <w:szCs w:val="22"/>
        </w:rPr>
        <w:t>(</w:t>
      </w:r>
      <w:r w:rsidRPr="002D4398">
        <w:rPr>
          <w:b/>
          <w:w w:val="95"/>
          <w:sz w:val="22"/>
          <w:szCs w:val="22"/>
        </w:rPr>
        <w:t>t</w:t>
      </w:r>
      <w:r w:rsidRPr="002D4398">
        <w:rPr>
          <w:b/>
          <w:sz w:val="22"/>
          <w:szCs w:val="22"/>
        </w:rPr>
        <w:t>-statistics</w:t>
      </w:r>
      <w:r w:rsidRPr="002D4398">
        <w:rPr>
          <w:b/>
          <w:spacing w:val="-4"/>
          <w:sz w:val="22"/>
          <w:szCs w:val="22"/>
        </w:rPr>
        <w:t xml:space="preserve"> </w:t>
      </w:r>
      <w:r w:rsidRPr="002D4398">
        <w:rPr>
          <w:b/>
          <w:sz w:val="22"/>
          <w:szCs w:val="22"/>
        </w:rPr>
        <w:t>are</w:t>
      </w:r>
      <w:r w:rsidRPr="002D4398">
        <w:rPr>
          <w:b/>
          <w:spacing w:val="-4"/>
          <w:sz w:val="22"/>
          <w:szCs w:val="22"/>
        </w:rPr>
        <w:t xml:space="preserve"> </w:t>
      </w:r>
      <w:r w:rsidRPr="002D4398">
        <w:rPr>
          <w:b/>
          <w:sz w:val="22"/>
          <w:szCs w:val="22"/>
        </w:rPr>
        <w:t>in</w:t>
      </w:r>
      <w:r w:rsidRPr="002D4398">
        <w:rPr>
          <w:b/>
          <w:spacing w:val="-4"/>
          <w:sz w:val="22"/>
          <w:szCs w:val="22"/>
        </w:rPr>
        <w:t xml:space="preserve"> </w:t>
      </w:r>
      <w:r w:rsidRPr="002D4398">
        <w:rPr>
          <w:b/>
          <w:sz w:val="22"/>
          <w:szCs w:val="22"/>
        </w:rPr>
        <w:t>brackets)</w:t>
      </w:r>
    </w:p>
    <w:p w14:paraId="4FB92973" w14:textId="77777777" w:rsidR="00C215BC" w:rsidRPr="002D4398" w:rsidRDefault="00C215BC" w:rsidP="00C215BC">
      <w:pPr>
        <w:pStyle w:val="BodyText"/>
        <w:ind w:left="0"/>
        <w:jc w:val="center"/>
        <w:rPr>
          <w:rFonts w:asciiTheme="minorHAnsi" w:hAnsiTheme="minorHAnsi" w:cstheme="minorHAnsi"/>
          <w:b/>
          <w:sz w:val="22"/>
          <w:szCs w:val="22"/>
        </w:rPr>
      </w:pPr>
    </w:p>
    <w:tbl>
      <w:tblPr>
        <w:tblW w:w="12461" w:type="dxa"/>
        <w:tblInd w:w="111" w:type="dxa"/>
        <w:tblBorders>
          <w:top w:val="single" w:sz="4" w:space="0" w:color="BFBFBF"/>
          <w:bottom w:val="single" w:sz="4" w:space="0" w:color="BFBFBF"/>
          <w:insideH w:val="single" w:sz="4" w:space="0" w:color="BFBFBF"/>
        </w:tblBorders>
        <w:tblLayout w:type="fixed"/>
        <w:tblCellMar>
          <w:left w:w="0" w:type="dxa"/>
          <w:right w:w="0" w:type="dxa"/>
        </w:tblCellMar>
        <w:tblLook w:val="01E0" w:firstRow="1" w:lastRow="1" w:firstColumn="1" w:lastColumn="1" w:noHBand="0" w:noVBand="0"/>
      </w:tblPr>
      <w:tblGrid>
        <w:gridCol w:w="1384"/>
        <w:gridCol w:w="1385"/>
        <w:gridCol w:w="1384"/>
        <w:gridCol w:w="1385"/>
        <w:gridCol w:w="1385"/>
        <w:gridCol w:w="1385"/>
        <w:gridCol w:w="1384"/>
        <w:gridCol w:w="1385"/>
        <w:gridCol w:w="1384"/>
      </w:tblGrid>
      <w:tr w:rsidR="0069375C" w:rsidRPr="002D4398" w14:paraId="7E68B07A" w14:textId="77777777" w:rsidTr="0069375C">
        <w:trPr>
          <w:trHeight w:hRule="exact" w:val="327"/>
        </w:trPr>
        <w:tc>
          <w:tcPr>
            <w:tcW w:w="1384" w:type="dxa"/>
          </w:tcPr>
          <w:p w14:paraId="0D78125F" w14:textId="77777777" w:rsidR="0069375C" w:rsidRPr="002D4398" w:rsidRDefault="0069375C" w:rsidP="00887DB7">
            <w:pPr>
              <w:pStyle w:val="TableParagraph"/>
              <w:jc w:val="center"/>
              <w:rPr>
                <w:rFonts w:eastAsia="Calibri" w:cstheme="minorHAnsi"/>
                <w:sz w:val="20"/>
                <w:szCs w:val="20"/>
              </w:rPr>
            </w:pPr>
            <w:r w:rsidRPr="002D4398">
              <w:rPr>
                <w:rFonts w:cstheme="minorHAnsi"/>
                <w:b/>
                <w:sz w:val="20"/>
                <w:szCs w:val="20"/>
              </w:rPr>
              <w:t>Constant</w:t>
            </w:r>
          </w:p>
        </w:tc>
        <w:tc>
          <w:tcPr>
            <w:tcW w:w="1385" w:type="dxa"/>
          </w:tcPr>
          <w:p w14:paraId="52658813" w14:textId="77777777" w:rsidR="0069375C" w:rsidRPr="002D4398" w:rsidRDefault="0069375C" w:rsidP="00887DB7">
            <w:pPr>
              <w:pStyle w:val="TableParagraph"/>
              <w:jc w:val="center"/>
              <w:rPr>
                <w:rFonts w:eastAsia="Calibri" w:cstheme="minorHAnsi"/>
                <w:sz w:val="20"/>
                <w:szCs w:val="20"/>
              </w:rPr>
            </w:pPr>
            <w:r w:rsidRPr="002D4398">
              <w:rPr>
                <w:rFonts w:cstheme="minorHAnsi"/>
                <w:b/>
                <w:sz w:val="20"/>
                <w:szCs w:val="20"/>
              </w:rPr>
              <w:t>COSTIND</w:t>
            </w:r>
          </w:p>
        </w:tc>
        <w:tc>
          <w:tcPr>
            <w:tcW w:w="1384" w:type="dxa"/>
          </w:tcPr>
          <w:p w14:paraId="1C221845" w14:textId="77777777" w:rsidR="0069375C" w:rsidRPr="002D4398" w:rsidRDefault="0069375C" w:rsidP="00887DB7">
            <w:pPr>
              <w:pStyle w:val="TableParagraph"/>
              <w:jc w:val="center"/>
              <w:rPr>
                <w:rFonts w:eastAsia="Calibri" w:cstheme="minorHAnsi"/>
                <w:sz w:val="20"/>
                <w:szCs w:val="20"/>
              </w:rPr>
            </w:pPr>
            <w:r w:rsidRPr="002D4398">
              <w:rPr>
                <w:rFonts w:cstheme="minorHAnsi"/>
                <w:b/>
                <w:sz w:val="20"/>
                <w:szCs w:val="20"/>
              </w:rPr>
              <w:t>DMPK</w:t>
            </w:r>
          </w:p>
        </w:tc>
        <w:tc>
          <w:tcPr>
            <w:tcW w:w="1385" w:type="dxa"/>
          </w:tcPr>
          <w:p w14:paraId="6309E0F6" w14:textId="77777777" w:rsidR="0069375C" w:rsidRPr="002D4398" w:rsidRDefault="0069375C" w:rsidP="00887DB7">
            <w:pPr>
              <w:pStyle w:val="TableParagraph"/>
              <w:jc w:val="center"/>
              <w:rPr>
                <w:rFonts w:eastAsia="Calibri" w:cstheme="minorHAnsi"/>
                <w:sz w:val="20"/>
                <w:szCs w:val="20"/>
              </w:rPr>
            </w:pPr>
            <w:proofErr w:type="spellStart"/>
            <w:r w:rsidRPr="002D4398">
              <w:rPr>
                <w:rFonts w:cstheme="minorHAnsi"/>
                <w:b/>
                <w:sz w:val="20"/>
                <w:szCs w:val="20"/>
              </w:rPr>
              <w:t>DMPKi</w:t>
            </w:r>
            <w:proofErr w:type="spellEnd"/>
          </w:p>
        </w:tc>
        <w:tc>
          <w:tcPr>
            <w:tcW w:w="1385" w:type="dxa"/>
          </w:tcPr>
          <w:p w14:paraId="0D7FDAA0" w14:textId="77777777" w:rsidR="0069375C" w:rsidRPr="002D4398" w:rsidRDefault="0069375C" w:rsidP="00887DB7">
            <w:pPr>
              <w:pStyle w:val="TableParagraph"/>
              <w:jc w:val="center"/>
              <w:rPr>
                <w:rFonts w:cstheme="minorHAnsi"/>
                <w:b/>
                <w:sz w:val="20"/>
                <w:szCs w:val="20"/>
              </w:rPr>
            </w:pPr>
            <w:r w:rsidRPr="002D4398">
              <w:rPr>
                <w:rFonts w:cstheme="minorHAnsi"/>
                <w:b/>
                <w:sz w:val="20"/>
                <w:szCs w:val="20"/>
              </w:rPr>
              <w:t>DUM90</w:t>
            </w:r>
          </w:p>
        </w:tc>
        <w:tc>
          <w:tcPr>
            <w:tcW w:w="1385" w:type="dxa"/>
          </w:tcPr>
          <w:p w14:paraId="7CF2D2A2" w14:textId="77777777" w:rsidR="0069375C" w:rsidRPr="002D4398" w:rsidRDefault="0069375C" w:rsidP="00887DB7">
            <w:pPr>
              <w:pStyle w:val="TableParagraph"/>
              <w:jc w:val="center"/>
              <w:rPr>
                <w:rFonts w:eastAsia="Calibri" w:cstheme="minorHAnsi"/>
                <w:sz w:val="20"/>
                <w:szCs w:val="20"/>
              </w:rPr>
            </w:pPr>
            <w:r w:rsidRPr="002D4398">
              <w:rPr>
                <w:rFonts w:cstheme="minorHAnsi"/>
                <w:b/>
                <w:sz w:val="20"/>
                <w:szCs w:val="20"/>
              </w:rPr>
              <w:t>RHO</w:t>
            </w:r>
          </w:p>
        </w:tc>
        <w:tc>
          <w:tcPr>
            <w:tcW w:w="1384" w:type="dxa"/>
          </w:tcPr>
          <w:p w14:paraId="0A879EFE" w14:textId="77777777" w:rsidR="0069375C" w:rsidRPr="002D4398" w:rsidRDefault="0069375C" w:rsidP="00887DB7">
            <w:pPr>
              <w:pStyle w:val="TableParagraph"/>
              <w:jc w:val="center"/>
              <w:rPr>
                <w:rFonts w:eastAsia="Calibri" w:cstheme="minorHAnsi"/>
                <w:sz w:val="20"/>
                <w:szCs w:val="20"/>
              </w:rPr>
            </w:pPr>
            <w:r w:rsidRPr="002D4398">
              <w:rPr>
                <w:rFonts w:cstheme="minorHAnsi"/>
                <w:b/>
                <w:sz w:val="20"/>
                <w:szCs w:val="20"/>
              </w:rPr>
              <w:t>R</w:t>
            </w:r>
            <w:r w:rsidRPr="002D4398">
              <w:rPr>
                <w:rFonts w:cstheme="minorHAnsi"/>
                <w:b/>
                <w:sz w:val="20"/>
                <w:szCs w:val="20"/>
                <w:vertAlign w:val="superscript"/>
              </w:rPr>
              <w:t>2</w:t>
            </w:r>
          </w:p>
        </w:tc>
        <w:tc>
          <w:tcPr>
            <w:tcW w:w="1385" w:type="dxa"/>
          </w:tcPr>
          <w:p w14:paraId="0FEB3FC8" w14:textId="77777777" w:rsidR="0069375C" w:rsidRPr="002D4398" w:rsidRDefault="0069375C" w:rsidP="00887DB7">
            <w:pPr>
              <w:pStyle w:val="TableParagraph"/>
              <w:jc w:val="center"/>
              <w:rPr>
                <w:rFonts w:eastAsia="Calibri" w:cstheme="minorHAnsi"/>
                <w:sz w:val="20"/>
                <w:szCs w:val="20"/>
              </w:rPr>
            </w:pPr>
            <w:r w:rsidRPr="002D4398">
              <w:rPr>
                <w:rFonts w:cstheme="minorHAnsi"/>
                <w:b/>
                <w:sz w:val="20"/>
                <w:szCs w:val="20"/>
              </w:rPr>
              <w:t>DW</w:t>
            </w:r>
          </w:p>
        </w:tc>
        <w:tc>
          <w:tcPr>
            <w:tcW w:w="1384" w:type="dxa"/>
          </w:tcPr>
          <w:p w14:paraId="4EFA9666" w14:textId="77777777" w:rsidR="0069375C" w:rsidRPr="002D4398" w:rsidRDefault="0069375C" w:rsidP="00887DB7">
            <w:pPr>
              <w:pStyle w:val="TableParagraph"/>
              <w:jc w:val="center"/>
              <w:rPr>
                <w:rFonts w:eastAsia="Calibri" w:cstheme="minorHAnsi"/>
                <w:sz w:val="20"/>
                <w:szCs w:val="20"/>
              </w:rPr>
            </w:pPr>
            <w:r w:rsidRPr="002D4398">
              <w:rPr>
                <w:rFonts w:cstheme="minorHAnsi"/>
                <w:b/>
                <w:sz w:val="20"/>
                <w:szCs w:val="20"/>
              </w:rPr>
              <w:t>Method</w:t>
            </w:r>
          </w:p>
        </w:tc>
      </w:tr>
      <w:tr w:rsidR="0069375C" w:rsidRPr="002D4398" w14:paraId="6D93C83C" w14:textId="77777777" w:rsidTr="0069375C">
        <w:trPr>
          <w:trHeight w:hRule="exact" w:val="300"/>
        </w:trPr>
        <w:tc>
          <w:tcPr>
            <w:tcW w:w="1384" w:type="dxa"/>
            <w:shd w:val="clear" w:color="auto" w:fill="F2F2F2"/>
          </w:tcPr>
          <w:p w14:paraId="114727F7" w14:textId="77777777" w:rsidR="0069375C" w:rsidRPr="002D4398" w:rsidRDefault="0069375C" w:rsidP="00887DB7">
            <w:pPr>
              <w:pStyle w:val="TableParagraph"/>
              <w:jc w:val="center"/>
              <w:rPr>
                <w:rFonts w:eastAsia="Calibri" w:cstheme="minorHAnsi"/>
                <w:sz w:val="20"/>
                <w:szCs w:val="20"/>
              </w:rPr>
            </w:pPr>
            <w:r w:rsidRPr="002D4398">
              <w:rPr>
                <w:rFonts w:cstheme="minorHAnsi"/>
                <w:sz w:val="20"/>
                <w:szCs w:val="20"/>
              </w:rPr>
              <w:t>364.49</w:t>
            </w:r>
          </w:p>
        </w:tc>
        <w:tc>
          <w:tcPr>
            <w:tcW w:w="1385" w:type="dxa"/>
            <w:shd w:val="clear" w:color="auto" w:fill="F2F2F2"/>
          </w:tcPr>
          <w:p w14:paraId="71D4FB14" w14:textId="77777777" w:rsidR="0069375C" w:rsidRPr="002D4398" w:rsidRDefault="0069375C" w:rsidP="00887DB7">
            <w:pPr>
              <w:pStyle w:val="TableParagraph"/>
              <w:jc w:val="center"/>
              <w:rPr>
                <w:rFonts w:eastAsia="Calibri" w:cstheme="minorHAnsi"/>
                <w:sz w:val="20"/>
                <w:szCs w:val="20"/>
              </w:rPr>
            </w:pPr>
            <w:r w:rsidRPr="002D4398">
              <w:rPr>
                <w:rFonts w:cstheme="minorHAnsi"/>
                <w:sz w:val="20"/>
                <w:szCs w:val="20"/>
              </w:rPr>
              <w:t>0.584</w:t>
            </w:r>
          </w:p>
        </w:tc>
        <w:tc>
          <w:tcPr>
            <w:tcW w:w="1384" w:type="dxa"/>
            <w:shd w:val="clear" w:color="auto" w:fill="F2F2F2"/>
          </w:tcPr>
          <w:p w14:paraId="12B131FE" w14:textId="77777777" w:rsidR="0069375C" w:rsidRPr="002D4398" w:rsidRDefault="0069375C" w:rsidP="00887DB7">
            <w:pPr>
              <w:pStyle w:val="TableParagraph"/>
              <w:jc w:val="center"/>
              <w:rPr>
                <w:rFonts w:eastAsia="Calibri" w:cstheme="minorHAnsi"/>
                <w:sz w:val="20"/>
                <w:szCs w:val="20"/>
              </w:rPr>
            </w:pPr>
            <w:r w:rsidRPr="002D4398">
              <w:rPr>
                <w:rFonts w:cstheme="minorHAnsi"/>
                <w:sz w:val="20"/>
                <w:szCs w:val="20"/>
              </w:rPr>
              <w:t>0.000</w:t>
            </w:r>
          </w:p>
        </w:tc>
        <w:tc>
          <w:tcPr>
            <w:tcW w:w="1385" w:type="dxa"/>
            <w:shd w:val="clear" w:color="auto" w:fill="F2F2F2"/>
          </w:tcPr>
          <w:p w14:paraId="32D79D57" w14:textId="77777777" w:rsidR="0069375C" w:rsidRPr="002D4398" w:rsidRDefault="0069375C" w:rsidP="00887DB7">
            <w:pPr>
              <w:pStyle w:val="TableParagraph"/>
              <w:jc w:val="center"/>
              <w:rPr>
                <w:rFonts w:eastAsia="Calibri" w:cstheme="minorHAnsi"/>
                <w:sz w:val="20"/>
                <w:szCs w:val="20"/>
              </w:rPr>
            </w:pPr>
            <w:r w:rsidRPr="002D4398">
              <w:rPr>
                <w:rFonts w:cstheme="minorHAnsi"/>
                <w:sz w:val="20"/>
                <w:szCs w:val="20"/>
              </w:rPr>
              <w:t>0.000</w:t>
            </w:r>
          </w:p>
        </w:tc>
        <w:tc>
          <w:tcPr>
            <w:tcW w:w="1385" w:type="dxa"/>
            <w:shd w:val="clear" w:color="auto" w:fill="F2F2F2"/>
          </w:tcPr>
          <w:p w14:paraId="04687142" w14:textId="77777777" w:rsidR="0069375C" w:rsidRPr="002D4398" w:rsidRDefault="0069375C" w:rsidP="00887DB7">
            <w:pPr>
              <w:pStyle w:val="TableParagraph"/>
              <w:jc w:val="center"/>
              <w:rPr>
                <w:rFonts w:cstheme="minorHAnsi"/>
                <w:sz w:val="20"/>
                <w:szCs w:val="20"/>
              </w:rPr>
            </w:pPr>
            <w:r w:rsidRPr="002D4398">
              <w:rPr>
                <w:rFonts w:cstheme="minorHAnsi"/>
                <w:sz w:val="20"/>
                <w:szCs w:val="20"/>
              </w:rPr>
              <w:t>-19.855</w:t>
            </w:r>
          </w:p>
        </w:tc>
        <w:tc>
          <w:tcPr>
            <w:tcW w:w="1385" w:type="dxa"/>
            <w:shd w:val="clear" w:color="auto" w:fill="F2F2F2"/>
          </w:tcPr>
          <w:p w14:paraId="35CDB16A" w14:textId="77777777" w:rsidR="0069375C" w:rsidRPr="002D4398" w:rsidRDefault="0069375C" w:rsidP="00887DB7">
            <w:pPr>
              <w:pStyle w:val="TableParagraph"/>
              <w:jc w:val="center"/>
              <w:rPr>
                <w:rFonts w:eastAsia="Calibri" w:cstheme="minorHAnsi"/>
                <w:sz w:val="20"/>
                <w:szCs w:val="20"/>
              </w:rPr>
            </w:pPr>
            <w:r w:rsidRPr="002D4398">
              <w:rPr>
                <w:rFonts w:cstheme="minorHAnsi"/>
                <w:sz w:val="20"/>
                <w:szCs w:val="20"/>
              </w:rPr>
              <w:t>-1.009</w:t>
            </w:r>
          </w:p>
        </w:tc>
        <w:tc>
          <w:tcPr>
            <w:tcW w:w="1384" w:type="dxa"/>
            <w:shd w:val="clear" w:color="auto" w:fill="F2F2F2"/>
          </w:tcPr>
          <w:p w14:paraId="2F1C1171" w14:textId="77777777" w:rsidR="0069375C" w:rsidRPr="002D4398" w:rsidRDefault="0069375C" w:rsidP="00887DB7">
            <w:pPr>
              <w:pStyle w:val="TableParagraph"/>
              <w:jc w:val="center"/>
              <w:rPr>
                <w:rFonts w:eastAsia="Calibri" w:cstheme="minorHAnsi"/>
                <w:sz w:val="20"/>
                <w:szCs w:val="20"/>
              </w:rPr>
            </w:pPr>
            <w:r w:rsidRPr="002D4398">
              <w:rPr>
                <w:rFonts w:cstheme="minorHAnsi"/>
                <w:sz w:val="20"/>
                <w:szCs w:val="20"/>
              </w:rPr>
              <w:t>0.99</w:t>
            </w:r>
          </w:p>
        </w:tc>
        <w:tc>
          <w:tcPr>
            <w:tcW w:w="1385" w:type="dxa"/>
            <w:shd w:val="clear" w:color="auto" w:fill="F2F2F2"/>
          </w:tcPr>
          <w:p w14:paraId="62D5DF09" w14:textId="77777777" w:rsidR="0069375C" w:rsidRPr="002D4398" w:rsidRDefault="0069375C" w:rsidP="00887DB7">
            <w:pPr>
              <w:pStyle w:val="TableParagraph"/>
              <w:jc w:val="center"/>
              <w:rPr>
                <w:rFonts w:eastAsia="Calibri" w:cstheme="minorHAnsi"/>
                <w:sz w:val="20"/>
                <w:szCs w:val="20"/>
              </w:rPr>
            </w:pPr>
            <w:r w:rsidRPr="002D4398">
              <w:rPr>
                <w:rFonts w:cstheme="minorHAnsi"/>
                <w:sz w:val="20"/>
                <w:szCs w:val="20"/>
              </w:rPr>
              <w:t>0.83</w:t>
            </w:r>
          </w:p>
        </w:tc>
        <w:tc>
          <w:tcPr>
            <w:tcW w:w="1384" w:type="dxa"/>
            <w:shd w:val="clear" w:color="auto" w:fill="F2F2F2"/>
          </w:tcPr>
          <w:p w14:paraId="41DA44F2" w14:textId="77777777" w:rsidR="0069375C" w:rsidRPr="002D4398" w:rsidRDefault="0069375C" w:rsidP="00887DB7">
            <w:pPr>
              <w:pStyle w:val="TableParagraph"/>
              <w:jc w:val="center"/>
              <w:rPr>
                <w:rFonts w:eastAsia="Calibri" w:cstheme="minorHAnsi"/>
                <w:sz w:val="20"/>
                <w:szCs w:val="20"/>
              </w:rPr>
            </w:pPr>
            <w:r w:rsidRPr="002D4398">
              <w:rPr>
                <w:rFonts w:cstheme="minorHAnsi"/>
                <w:sz w:val="20"/>
                <w:szCs w:val="20"/>
              </w:rPr>
              <w:t>LSQ-AR1</w:t>
            </w:r>
          </w:p>
        </w:tc>
      </w:tr>
      <w:tr w:rsidR="0069375C" w:rsidRPr="002D4398" w14:paraId="61701C6D" w14:textId="77777777" w:rsidTr="0069375C">
        <w:trPr>
          <w:trHeight w:hRule="exact" w:val="297"/>
        </w:trPr>
        <w:tc>
          <w:tcPr>
            <w:tcW w:w="1384" w:type="dxa"/>
          </w:tcPr>
          <w:p w14:paraId="59759B35" w14:textId="77777777" w:rsidR="0069375C" w:rsidRPr="002D4398" w:rsidRDefault="0069375C" w:rsidP="00887DB7">
            <w:pPr>
              <w:pStyle w:val="TableParagraph"/>
              <w:jc w:val="center"/>
              <w:rPr>
                <w:rFonts w:eastAsia="Calibri" w:cstheme="minorHAnsi"/>
                <w:sz w:val="20"/>
                <w:szCs w:val="20"/>
              </w:rPr>
            </w:pPr>
            <w:r w:rsidRPr="002D4398">
              <w:rPr>
                <w:rFonts w:cstheme="minorHAnsi"/>
                <w:sz w:val="20"/>
                <w:szCs w:val="20"/>
              </w:rPr>
              <w:t>(6.44)</w:t>
            </w:r>
          </w:p>
        </w:tc>
        <w:tc>
          <w:tcPr>
            <w:tcW w:w="1385" w:type="dxa"/>
          </w:tcPr>
          <w:p w14:paraId="0FD0325F" w14:textId="77777777" w:rsidR="0069375C" w:rsidRPr="002D4398" w:rsidRDefault="0069375C" w:rsidP="00887DB7">
            <w:pPr>
              <w:pStyle w:val="TableParagraph"/>
              <w:jc w:val="center"/>
              <w:rPr>
                <w:rFonts w:eastAsia="Calibri" w:cstheme="minorHAnsi"/>
                <w:sz w:val="20"/>
                <w:szCs w:val="20"/>
              </w:rPr>
            </w:pPr>
            <w:r w:rsidRPr="002D4398">
              <w:rPr>
                <w:rFonts w:cstheme="minorHAnsi"/>
                <w:sz w:val="20"/>
                <w:szCs w:val="20"/>
              </w:rPr>
              <w:t>(1.07)</w:t>
            </w:r>
          </w:p>
        </w:tc>
        <w:tc>
          <w:tcPr>
            <w:tcW w:w="1384" w:type="dxa"/>
          </w:tcPr>
          <w:p w14:paraId="4129327D" w14:textId="77777777" w:rsidR="0069375C" w:rsidRPr="002D4398" w:rsidRDefault="0069375C" w:rsidP="00887DB7">
            <w:pPr>
              <w:pStyle w:val="TableParagraph"/>
              <w:jc w:val="center"/>
              <w:rPr>
                <w:rFonts w:eastAsia="Calibri" w:cstheme="minorHAnsi"/>
                <w:sz w:val="20"/>
                <w:szCs w:val="20"/>
              </w:rPr>
            </w:pPr>
            <w:r w:rsidRPr="002D4398">
              <w:rPr>
                <w:rFonts w:cstheme="minorHAnsi"/>
                <w:sz w:val="20"/>
                <w:szCs w:val="20"/>
              </w:rPr>
              <w:t>(0.000)</w:t>
            </w:r>
          </w:p>
        </w:tc>
        <w:tc>
          <w:tcPr>
            <w:tcW w:w="1385" w:type="dxa"/>
          </w:tcPr>
          <w:p w14:paraId="6482C64A" w14:textId="77777777" w:rsidR="0069375C" w:rsidRPr="002D4398" w:rsidRDefault="0069375C" w:rsidP="00887DB7">
            <w:pPr>
              <w:pStyle w:val="TableParagraph"/>
              <w:jc w:val="center"/>
              <w:rPr>
                <w:rFonts w:eastAsia="Calibri" w:cstheme="minorHAnsi"/>
                <w:sz w:val="20"/>
                <w:szCs w:val="20"/>
              </w:rPr>
            </w:pPr>
            <w:r w:rsidRPr="002D4398">
              <w:rPr>
                <w:rFonts w:cstheme="minorHAnsi"/>
                <w:sz w:val="20"/>
                <w:szCs w:val="20"/>
              </w:rPr>
              <w:t>(0.000)</w:t>
            </w:r>
          </w:p>
        </w:tc>
        <w:tc>
          <w:tcPr>
            <w:tcW w:w="1385" w:type="dxa"/>
          </w:tcPr>
          <w:p w14:paraId="3649D7D9" w14:textId="77777777" w:rsidR="0069375C" w:rsidRPr="002D4398" w:rsidRDefault="0069375C" w:rsidP="00887DB7">
            <w:pPr>
              <w:pStyle w:val="TableParagraph"/>
              <w:jc w:val="center"/>
              <w:rPr>
                <w:rFonts w:cstheme="minorHAnsi"/>
                <w:sz w:val="20"/>
                <w:szCs w:val="20"/>
              </w:rPr>
            </w:pPr>
            <w:r w:rsidRPr="002D4398">
              <w:rPr>
                <w:rFonts w:cstheme="minorHAnsi"/>
                <w:sz w:val="20"/>
                <w:szCs w:val="20"/>
              </w:rPr>
              <w:t>(-1.01)</w:t>
            </w:r>
          </w:p>
        </w:tc>
        <w:tc>
          <w:tcPr>
            <w:tcW w:w="1385" w:type="dxa"/>
          </w:tcPr>
          <w:p w14:paraId="49EA6AE9" w14:textId="77777777" w:rsidR="0069375C" w:rsidRPr="002D4398" w:rsidRDefault="0069375C" w:rsidP="00887DB7">
            <w:pPr>
              <w:pStyle w:val="TableParagraph"/>
              <w:jc w:val="center"/>
              <w:rPr>
                <w:rFonts w:eastAsia="Calibri" w:cstheme="minorHAnsi"/>
                <w:sz w:val="20"/>
                <w:szCs w:val="20"/>
              </w:rPr>
            </w:pPr>
            <w:r w:rsidRPr="002D4398">
              <w:rPr>
                <w:rFonts w:cstheme="minorHAnsi"/>
                <w:sz w:val="20"/>
                <w:szCs w:val="20"/>
              </w:rPr>
              <w:t>(-62.92)</w:t>
            </w:r>
          </w:p>
        </w:tc>
        <w:tc>
          <w:tcPr>
            <w:tcW w:w="1384" w:type="dxa"/>
          </w:tcPr>
          <w:p w14:paraId="411446A2" w14:textId="77777777" w:rsidR="0069375C" w:rsidRPr="002D4398" w:rsidRDefault="0069375C" w:rsidP="00887DB7">
            <w:pPr>
              <w:jc w:val="center"/>
              <w:rPr>
                <w:rFonts w:cstheme="minorHAnsi"/>
                <w:sz w:val="20"/>
                <w:szCs w:val="20"/>
              </w:rPr>
            </w:pPr>
          </w:p>
        </w:tc>
        <w:tc>
          <w:tcPr>
            <w:tcW w:w="1385" w:type="dxa"/>
          </w:tcPr>
          <w:p w14:paraId="41E69476" w14:textId="77777777" w:rsidR="0069375C" w:rsidRPr="002D4398" w:rsidRDefault="0069375C" w:rsidP="00887DB7">
            <w:pPr>
              <w:jc w:val="center"/>
              <w:rPr>
                <w:rFonts w:cstheme="minorHAnsi"/>
                <w:sz w:val="20"/>
                <w:szCs w:val="20"/>
              </w:rPr>
            </w:pPr>
          </w:p>
        </w:tc>
        <w:tc>
          <w:tcPr>
            <w:tcW w:w="1384" w:type="dxa"/>
          </w:tcPr>
          <w:p w14:paraId="45DA4404" w14:textId="77777777" w:rsidR="0069375C" w:rsidRPr="002D4398" w:rsidRDefault="0069375C" w:rsidP="00887DB7">
            <w:pPr>
              <w:jc w:val="center"/>
              <w:rPr>
                <w:rFonts w:cstheme="minorHAnsi"/>
                <w:sz w:val="20"/>
                <w:szCs w:val="20"/>
              </w:rPr>
            </w:pPr>
            <w:r w:rsidRPr="002D4398">
              <w:rPr>
                <w:rFonts w:cstheme="minorHAnsi"/>
                <w:sz w:val="20"/>
                <w:szCs w:val="20"/>
              </w:rPr>
              <w:t>(a)</w:t>
            </w:r>
          </w:p>
        </w:tc>
      </w:tr>
      <w:tr w:rsidR="0069375C" w:rsidRPr="002D4398" w14:paraId="4ADCC01C" w14:textId="77777777" w:rsidTr="0069375C">
        <w:trPr>
          <w:trHeight w:hRule="exact" w:val="297"/>
        </w:trPr>
        <w:tc>
          <w:tcPr>
            <w:tcW w:w="1384" w:type="dxa"/>
          </w:tcPr>
          <w:p w14:paraId="24FF6CAC" w14:textId="77777777" w:rsidR="0069375C" w:rsidRPr="002D4398" w:rsidRDefault="0069375C" w:rsidP="00887DB7">
            <w:pPr>
              <w:pStyle w:val="TableParagraph"/>
              <w:jc w:val="center"/>
              <w:rPr>
                <w:rFonts w:cstheme="minorHAnsi"/>
                <w:sz w:val="20"/>
                <w:szCs w:val="20"/>
              </w:rPr>
            </w:pPr>
            <w:r w:rsidRPr="002D4398">
              <w:rPr>
                <w:rFonts w:cstheme="minorHAnsi"/>
                <w:sz w:val="20"/>
                <w:szCs w:val="20"/>
              </w:rPr>
              <w:t>393.13</w:t>
            </w:r>
          </w:p>
        </w:tc>
        <w:tc>
          <w:tcPr>
            <w:tcW w:w="1385" w:type="dxa"/>
          </w:tcPr>
          <w:p w14:paraId="75F8CB9D" w14:textId="77777777" w:rsidR="0069375C" w:rsidRPr="002D4398" w:rsidRDefault="0069375C" w:rsidP="00887DB7">
            <w:pPr>
              <w:pStyle w:val="TableParagraph"/>
              <w:jc w:val="center"/>
              <w:rPr>
                <w:rFonts w:cstheme="minorHAnsi"/>
                <w:sz w:val="20"/>
                <w:szCs w:val="20"/>
              </w:rPr>
            </w:pPr>
            <w:r w:rsidRPr="002D4398">
              <w:rPr>
                <w:rFonts w:cstheme="minorHAnsi"/>
                <w:sz w:val="20"/>
                <w:szCs w:val="20"/>
              </w:rPr>
              <w:t>0.202</w:t>
            </w:r>
          </w:p>
        </w:tc>
        <w:tc>
          <w:tcPr>
            <w:tcW w:w="1384" w:type="dxa"/>
          </w:tcPr>
          <w:p w14:paraId="64A82AA9" w14:textId="77777777" w:rsidR="0069375C" w:rsidRPr="002D4398" w:rsidRDefault="0069375C" w:rsidP="00887DB7">
            <w:pPr>
              <w:pStyle w:val="TableParagraph"/>
              <w:jc w:val="center"/>
              <w:rPr>
                <w:rFonts w:cstheme="minorHAnsi"/>
                <w:sz w:val="20"/>
                <w:szCs w:val="20"/>
              </w:rPr>
            </w:pPr>
            <w:r w:rsidRPr="002D4398">
              <w:rPr>
                <w:rFonts w:cstheme="minorHAnsi"/>
                <w:sz w:val="20"/>
                <w:szCs w:val="20"/>
              </w:rPr>
              <w:t>0.000</w:t>
            </w:r>
          </w:p>
        </w:tc>
        <w:tc>
          <w:tcPr>
            <w:tcW w:w="1385" w:type="dxa"/>
          </w:tcPr>
          <w:p w14:paraId="22799380" w14:textId="77777777" w:rsidR="0069375C" w:rsidRPr="002D4398" w:rsidRDefault="0069375C" w:rsidP="00887DB7">
            <w:pPr>
              <w:pStyle w:val="TableParagraph"/>
              <w:jc w:val="center"/>
              <w:rPr>
                <w:rFonts w:cstheme="minorHAnsi"/>
                <w:b/>
                <w:sz w:val="20"/>
                <w:szCs w:val="20"/>
              </w:rPr>
            </w:pPr>
            <w:r w:rsidRPr="002D4398">
              <w:rPr>
                <w:rFonts w:cstheme="minorHAnsi"/>
                <w:b/>
                <w:sz w:val="20"/>
                <w:szCs w:val="20"/>
              </w:rPr>
              <w:t>42.50</w:t>
            </w:r>
          </w:p>
        </w:tc>
        <w:tc>
          <w:tcPr>
            <w:tcW w:w="1385" w:type="dxa"/>
          </w:tcPr>
          <w:p w14:paraId="35306211" w14:textId="77777777" w:rsidR="0069375C" w:rsidRPr="002D4398" w:rsidRDefault="0069375C" w:rsidP="00887DB7">
            <w:pPr>
              <w:pStyle w:val="TableParagraph"/>
              <w:jc w:val="center"/>
              <w:rPr>
                <w:rFonts w:cstheme="minorHAnsi"/>
                <w:sz w:val="20"/>
                <w:szCs w:val="20"/>
              </w:rPr>
            </w:pPr>
            <w:r w:rsidRPr="002D4398">
              <w:rPr>
                <w:rFonts w:cstheme="minorHAnsi"/>
                <w:sz w:val="20"/>
                <w:szCs w:val="20"/>
              </w:rPr>
              <w:t>-57.128</w:t>
            </w:r>
          </w:p>
        </w:tc>
        <w:tc>
          <w:tcPr>
            <w:tcW w:w="1385" w:type="dxa"/>
          </w:tcPr>
          <w:p w14:paraId="1C2EE9EA" w14:textId="77777777" w:rsidR="0069375C" w:rsidRPr="002D4398" w:rsidRDefault="0069375C" w:rsidP="00887DB7">
            <w:pPr>
              <w:pStyle w:val="TableParagraph"/>
              <w:jc w:val="center"/>
              <w:rPr>
                <w:rFonts w:cstheme="minorHAnsi"/>
                <w:sz w:val="20"/>
                <w:szCs w:val="20"/>
              </w:rPr>
            </w:pPr>
            <w:r w:rsidRPr="002D4398">
              <w:rPr>
                <w:rFonts w:cstheme="minorHAnsi"/>
                <w:sz w:val="20"/>
                <w:szCs w:val="20"/>
              </w:rPr>
              <w:t>-1.008</w:t>
            </w:r>
          </w:p>
        </w:tc>
        <w:tc>
          <w:tcPr>
            <w:tcW w:w="1384" w:type="dxa"/>
          </w:tcPr>
          <w:p w14:paraId="4ED07147" w14:textId="77777777" w:rsidR="0069375C" w:rsidRPr="002D4398" w:rsidRDefault="0069375C" w:rsidP="00887DB7">
            <w:pPr>
              <w:jc w:val="center"/>
              <w:rPr>
                <w:rFonts w:cstheme="minorHAnsi"/>
                <w:sz w:val="20"/>
                <w:szCs w:val="20"/>
              </w:rPr>
            </w:pPr>
            <w:r w:rsidRPr="002D4398">
              <w:rPr>
                <w:rFonts w:cstheme="minorHAnsi"/>
                <w:sz w:val="20"/>
                <w:szCs w:val="20"/>
              </w:rPr>
              <w:t>0.99</w:t>
            </w:r>
          </w:p>
        </w:tc>
        <w:tc>
          <w:tcPr>
            <w:tcW w:w="1385" w:type="dxa"/>
          </w:tcPr>
          <w:p w14:paraId="2D967E45" w14:textId="77777777" w:rsidR="0069375C" w:rsidRPr="002D4398" w:rsidRDefault="0069375C" w:rsidP="00887DB7">
            <w:pPr>
              <w:jc w:val="center"/>
              <w:rPr>
                <w:rFonts w:cstheme="minorHAnsi"/>
                <w:sz w:val="20"/>
                <w:szCs w:val="20"/>
              </w:rPr>
            </w:pPr>
            <w:r w:rsidRPr="002D4398">
              <w:rPr>
                <w:rFonts w:cstheme="minorHAnsi"/>
                <w:sz w:val="20"/>
                <w:szCs w:val="20"/>
              </w:rPr>
              <w:t>0.80</w:t>
            </w:r>
          </w:p>
        </w:tc>
        <w:tc>
          <w:tcPr>
            <w:tcW w:w="1384" w:type="dxa"/>
          </w:tcPr>
          <w:p w14:paraId="0176EFDE" w14:textId="77777777" w:rsidR="0069375C" w:rsidRPr="002D4398" w:rsidRDefault="0069375C" w:rsidP="00887DB7">
            <w:pPr>
              <w:jc w:val="center"/>
              <w:rPr>
                <w:rFonts w:cstheme="minorHAnsi"/>
                <w:sz w:val="20"/>
                <w:szCs w:val="20"/>
              </w:rPr>
            </w:pPr>
            <w:r w:rsidRPr="002D4398">
              <w:rPr>
                <w:rFonts w:cstheme="minorHAnsi"/>
                <w:sz w:val="20"/>
                <w:szCs w:val="20"/>
              </w:rPr>
              <w:t>LSQ-AR1</w:t>
            </w:r>
          </w:p>
        </w:tc>
      </w:tr>
      <w:tr w:rsidR="0069375C" w:rsidRPr="002D4398" w14:paraId="18BD0417" w14:textId="77777777" w:rsidTr="0069375C">
        <w:trPr>
          <w:trHeight w:hRule="exact" w:val="297"/>
        </w:trPr>
        <w:tc>
          <w:tcPr>
            <w:tcW w:w="1384" w:type="dxa"/>
          </w:tcPr>
          <w:p w14:paraId="11C2CF50" w14:textId="77777777" w:rsidR="0069375C" w:rsidRPr="002D4398" w:rsidRDefault="0069375C" w:rsidP="00887DB7">
            <w:pPr>
              <w:pStyle w:val="TableParagraph"/>
              <w:jc w:val="center"/>
              <w:rPr>
                <w:rFonts w:cstheme="minorHAnsi"/>
                <w:sz w:val="20"/>
                <w:szCs w:val="20"/>
              </w:rPr>
            </w:pPr>
            <w:r w:rsidRPr="002D4398">
              <w:rPr>
                <w:rFonts w:cstheme="minorHAnsi"/>
                <w:sz w:val="20"/>
                <w:szCs w:val="20"/>
              </w:rPr>
              <w:t>(7.61)</w:t>
            </w:r>
          </w:p>
        </w:tc>
        <w:tc>
          <w:tcPr>
            <w:tcW w:w="1385" w:type="dxa"/>
          </w:tcPr>
          <w:p w14:paraId="7997E688" w14:textId="77777777" w:rsidR="0069375C" w:rsidRPr="002D4398" w:rsidRDefault="0069375C" w:rsidP="00887DB7">
            <w:pPr>
              <w:pStyle w:val="TableParagraph"/>
              <w:jc w:val="center"/>
              <w:rPr>
                <w:rFonts w:cstheme="minorHAnsi"/>
                <w:sz w:val="20"/>
                <w:szCs w:val="20"/>
              </w:rPr>
            </w:pPr>
            <w:r w:rsidRPr="002D4398">
              <w:rPr>
                <w:rFonts w:cstheme="minorHAnsi"/>
                <w:sz w:val="20"/>
                <w:szCs w:val="20"/>
              </w:rPr>
              <w:t>(0.40)</w:t>
            </w:r>
          </w:p>
        </w:tc>
        <w:tc>
          <w:tcPr>
            <w:tcW w:w="1384" w:type="dxa"/>
          </w:tcPr>
          <w:p w14:paraId="5373F1A1" w14:textId="77777777" w:rsidR="0069375C" w:rsidRPr="002D4398" w:rsidRDefault="0069375C" w:rsidP="00887DB7">
            <w:pPr>
              <w:pStyle w:val="TableParagraph"/>
              <w:jc w:val="center"/>
              <w:rPr>
                <w:rFonts w:cstheme="minorHAnsi"/>
                <w:sz w:val="20"/>
                <w:szCs w:val="20"/>
              </w:rPr>
            </w:pPr>
            <w:r w:rsidRPr="002D4398">
              <w:rPr>
                <w:rFonts w:cstheme="minorHAnsi"/>
                <w:sz w:val="20"/>
                <w:szCs w:val="20"/>
              </w:rPr>
              <w:t>(0.00)</w:t>
            </w:r>
          </w:p>
        </w:tc>
        <w:tc>
          <w:tcPr>
            <w:tcW w:w="1385" w:type="dxa"/>
          </w:tcPr>
          <w:p w14:paraId="2209A201" w14:textId="77777777" w:rsidR="0069375C" w:rsidRPr="002D4398" w:rsidRDefault="0069375C" w:rsidP="00887DB7">
            <w:pPr>
              <w:pStyle w:val="TableParagraph"/>
              <w:jc w:val="center"/>
              <w:rPr>
                <w:rFonts w:cstheme="minorHAnsi"/>
                <w:b/>
                <w:sz w:val="20"/>
                <w:szCs w:val="20"/>
              </w:rPr>
            </w:pPr>
            <w:r w:rsidRPr="002D4398">
              <w:rPr>
                <w:rFonts w:cstheme="minorHAnsi"/>
                <w:b/>
                <w:sz w:val="20"/>
                <w:szCs w:val="20"/>
              </w:rPr>
              <w:t>(3.11)</w:t>
            </w:r>
          </w:p>
        </w:tc>
        <w:tc>
          <w:tcPr>
            <w:tcW w:w="1385" w:type="dxa"/>
          </w:tcPr>
          <w:p w14:paraId="0DD012E8" w14:textId="77777777" w:rsidR="0069375C" w:rsidRPr="002D4398" w:rsidRDefault="0069375C" w:rsidP="00887DB7">
            <w:pPr>
              <w:pStyle w:val="TableParagraph"/>
              <w:jc w:val="center"/>
              <w:rPr>
                <w:rFonts w:cstheme="minorHAnsi"/>
                <w:sz w:val="20"/>
                <w:szCs w:val="20"/>
              </w:rPr>
            </w:pPr>
            <w:r w:rsidRPr="002D4398">
              <w:rPr>
                <w:rFonts w:cstheme="minorHAnsi"/>
                <w:sz w:val="20"/>
                <w:szCs w:val="20"/>
              </w:rPr>
              <w:t>(-2.67)</w:t>
            </w:r>
          </w:p>
        </w:tc>
        <w:tc>
          <w:tcPr>
            <w:tcW w:w="1385" w:type="dxa"/>
          </w:tcPr>
          <w:p w14:paraId="0272086E" w14:textId="77777777" w:rsidR="0069375C" w:rsidRPr="002D4398" w:rsidRDefault="0069375C" w:rsidP="00887DB7">
            <w:pPr>
              <w:pStyle w:val="TableParagraph"/>
              <w:jc w:val="center"/>
              <w:rPr>
                <w:rFonts w:cstheme="minorHAnsi"/>
                <w:sz w:val="20"/>
                <w:szCs w:val="20"/>
              </w:rPr>
            </w:pPr>
            <w:r w:rsidRPr="002D4398">
              <w:rPr>
                <w:rFonts w:cstheme="minorHAnsi"/>
                <w:sz w:val="20"/>
                <w:szCs w:val="20"/>
              </w:rPr>
              <w:t>(-77.94)</w:t>
            </w:r>
          </w:p>
        </w:tc>
        <w:tc>
          <w:tcPr>
            <w:tcW w:w="1384" w:type="dxa"/>
          </w:tcPr>
          <w:p w14:paraId="6BBA15A3" w14:textId="77777777" w:rsidR="0069375C" w:rsidRPr="002D4398" w:rsidRDefault="0069375C" w:rsidP="00887DB7">
            <w:pPr>
              <w:jc w:val="center"/>
              <w:rPr>
                <w:rFonts w:cstheme="minorHAnsi"/>
                <w:sz w:val="20"/>
                <w:szCs w:val="20"/>
              </w:rPr>
            </w:pPr>
          </w:p>
        </w:tc>
        <w:tc>
          <w:tcPr>
            <w:tcW w:w="1385" w:type="dxa"/>
          </w:tcPr>
          <w:p w14:paraId="5CDCF877" w14:textId="77777777" w:rsidR="0069375C" w:rsidRPr="002D4398" w:rsidRDefault="0069375C" w:rsidP="00887DB7">
            <w:pPr>
              <w:jc w:val="center"/>
              <w:rPr>
                <w:rFonts w:cstheme="minorHAnsi"/>
                <w:sz w:val="20"/>
                <w:szCs w:val="20"/>
              </w:rPr>
            </w:pPr>
          </w:p>
        </w:tc>
        <w:tc>
          <w:tcPr>
            <w:tcW w:w="1384" w:type="dxa"/>
          </w:tcPr>
          <w:p w14:paraId="2434CD84" w14:textId="77777777" w:rsidR="0069375C" w:rsidRPr="002D4398" w:rsidRDefault="0069375C" w:rsidP="00887DB7">
            <w:pPr>
              <w:jc w:val="center"/>
              <w:rPr>
                <w:rFonts w:cstheme="minorHAnsi"/>
                <w:sz w:val="20"/>
                <w:szCs w:val="20"/>
              </w:rPr>
            </w:pPr>
            <w:r w:rsidRPr="002D4398">
              <w:rPr>
                <w:rFonts w:cstheme="minorHAnsi"/>
                <w:sz w:val="20"/>
                <w:szCs w:val="20"/>
              </w:rPr>
              <w:t>(b)</w:t>
            </w:r>
          </w:p>
        </w:tc>
      </w:tr>
      <w:tr w:rsidR="0069375C" w:rsidRPr="002D4398" w14:paraId="144FFBDF" w14:textId="77777777" w:rsidTr="0069375C">
        <w:trPr>
          <w:trHeight w:hRule="exact" w:val="297"/>
        </w:trPr>
        <w:tc>
          <w:tcPr>
            <w:tcW w:w="1384" w:type="dxa"/>
          </w:tcPr>
          <w:p w14:paraId="13CBA234" w14:textId="3FBB997B" w:rsidR="0069375C" w:rsidRPr="002D4398" w:rsidRDefault="0069375C" w:rsidP="0069375C">
            <w:pPr>
              <w:pStyle w:val="TableParagraph"/>
              <w:jc w:val="center"/>
              <w:rPr>
                <w:rFonts w:cstheme="minorHAnsi"/>
                <w:sz w:val="20"/>
                <w:szCs w:val="20"/>
              </w:rPr>
            </w:pPr>
            <w:r w:rsidRPr="002D4398">
              <w:rPr>
                <w:rFonts w:cstheme="minorHAnsi"/>
                <w:sz w:val="20"/>
                <w:szCs w:val="20"/>
              </w:rPr>
              <w:t>393.13</w:t>
            </w:r>
          </w:p>
        </w:tc>
        <w:tc>
          <w:tcPr>
            <w:tcW w:w="1385" w:type="dxa"/>
          </w:tcPr>
          <w:p w14:paraId="061A52E7" w14:textId="48BF2E43" w:rsidR="0069375C" w:rsidRPr="002D4398" w:rsidRDefault="0069375C" w:rsidP="0069375C">
            <w:pPr>
              <w:pStyle w:val="TableParagraph"/>
              <w:jc w:val="center"/>
              <w:rPr>
                <w:rFonts w:cstheme="minorHAnsi"/>
                <w:sz w:val="20"/>
                <w:szCs w:val="20"/>
              </w:rPr>
            </w:pPr>
            <w:r w:rsidRPr="002D4398">
              <w:rPr>
                <w:rFonts w:cstheme="minorHAnsi"/>
                <w:sz w:val="20"/>
                <w:szCs w:val="20"/>
              </w:rPr>
              <w:t>0.202</w:t>
            </w:r>
          </w:p>
        </w:tc>
        <w:tc>
          <w:tcPr>
            <w:tcW w:w="1384" w:type="dxa"/>
          </w:tcPr>
          <w:p w14:paraId="3AEB0943" w14:textId="6B5C5EC1" w:rsidR="0069375C" w:rsidRPr="002D4398" w:rsidRDefault="0069375C" w:rsidP="0069375C">
            <w:pPr>
              <w:pStyle w:val="TableParagraph"/>
              <w:jc w:val="center"/>
              <w:rPr>
                <w:rFonts w:cstheme="minorHAnsi"/>
                <w:sz w:val="20"/>
                <w:szCs w:val="20"/>
              </w:rPr>
            </w:pPr>
            <w:r w:rsidRPr="002D4398">
              <w:rPr>
                <w:rFonts w:cstheme="minorHAnsi"/>
                <w:sz w:val="20"/>
                <w:szCs w:val="20"/>
              </w:rPr>
              <w:t>0.000</w:t>
            </w:r>
          </w:p>
        </w:tc>
        <w:tc>
          <w:tcPr>
            <w:tcW w:w="1385" w:type="dxa"/>
          </w:tcPr>
          <w:p w14:paraId="65CF22A8" w14:textId="4ED1FB6B" w:rsidR="0069375C" w:rsidRPr="002D4398" w:rsidRDefault="0069375C" w:rsidP="0069375C">
            <w:pPr>
              <w:pStyle w:val="TableParagraph"/>
              <w:jc w:val="center"/>
              <w:rPr>
                <w:rFonts w:cstheme="minorHAnsi"/>
                <w:b/>
                <w:sz w:val="20"/>
                <w:szCs w:val="20"/>
              </w:rPr>
            </w:pPr>
            <w:r w:rsidRPr="002D4398">
              <w:rPr>
                <w:rFonts w:cstheme="minorHAnsi"/>
                <w:b/>
                <w:sz w:val="20"/>
                <w:szCs w:val="20"/>
              </w:rPr>
              <w:t>42.50</w:t>
            </w:r>
          </w:p>
        </w:tc>
        <w:tc>
          <w:tcPr>
            <w:tcW w:w="1385" w:type="dxa"/>
          </w:tcPr>
          <w:p w14:paraId="5C46DB80" w14:textId="6F5342C6" w:rsidR="0069375C" w:rsidRPr="002D4398" w:rsidRDefault="0069375C" w:rsidP="0069375C">
            <w:pPr>
              <w:pStyle w:val="TableParagraph"/>
              <w:jc w:val="center"/>
              <w:rPr>
                <w:rFonts w:cstheme="minorHAnsi"/>
                <w:sz w:val="20"/>
                <w:szCs w:val="20"/>
              </w:rPr>
            </w:pPr>
            <w:r w:rsidRPr="002D4398">
              <w:rPr>
                <w:rFonts w:cstheme="minorHAnsi"/>
                <w:sz w:val="20"/>
                <w:szCs w:val="20"/>
              </w:rPr>
              <w:t>-57.128</w:t>
            </w:r>
          </w:p>
        </w:tc>
        <w:tc>
          <w:tcPr>
            <w:tcW w:w="1385" w:type="dxa"/>
          </w:tcPr>
          <w:p w14:paraId="255FB7DC" w14:textId="6BAF297B" w:rsidR="0069375C" w:rsidRPr="002D4398" w:rsidRDefault="0069375C" w:rsidP="0069375C">
            <w:pPr>
              <w:pStyle w:val="TableParagraph"/>
              <w:jc w:val="center"/>
              <w:rPr>
                <w:rFonts w:cstheme="minorHAnsi"/>
                <w:sz w:val="20"/>
                <w:szCs w:val="20"/>
              </w:rPr>
            </w:pPr>
            <w:r w:rsidRPr="002D4398">
              <w:rPr>
                <w:rFonts w:cstheme="minorHAnsi"/>
                <w:sz w:val="20"/>
                <w:szCs w:val="20"/>
              </w:rPr>
              <w:t>-1.008</w:t>
            </w:r>
          </w:p>
        </w:tc>
        <w:tc>
          <w:tcPr>
            <w:tcW w:w="1384" w:type="dxa"/>
          </w:tcPr>
          <w:p w14:paraId="641D3E26" w14:textId="11CBBF0B" w:rsidR="0069375C" w:rsidRPr="002D4398" w:rsidRDefault="0069375C" w:rsidP="0069375C">
            <w:pPr>
              <w:jc w:val="center"/>
              <w:rPr>
                <w:rFonts w:cstheme="minorHAnsi"/>
                <w:sz w:val="20"/>
                <w:szCs w:val="20"/>
              </w:rPr>
            </w:pPr>
            <w:r w:rsidRPr="002D4398">
              <w:rPr>
                <w:rFonts w:cstheme="minorHAnsi"/>
                <w:sz w:val="20"/>
                <w:szCs w:val="20"/>
              </w:rPr>
              <w:t>0.99</w:t>
            </w:r>
          </w:p>
        </w:tc>
        <w:tc>
          <w:tcPr>
            <w:tcW w:w="1385" w:type="dxa"/>
          </w:tcPr>
          <w:p w14:paraId="50E61FBB" w14:textId="14FD1037" w:rsidR="0069375C" w:rsidRPr="002D4398" w:rsidRDefault="002D51DA" w:rsidP="0069375C">
            <w:pPr>
              <w:jc w:val="center"/>
              <w:rPr>
                <w:rFonts w:cstheme="minorHAnsi"/>
                <w:sz w:val="20"/>
                <w:szCs w:val="20"/>
              </w:rPr>
            </w:pPr>
            <w:r w:rsidRPr="002D4398">
              <w:rPr>
                <w:rFonts w:cstheme="minorHAnsi"/>
                <w:sz w:val="20"/>
                <w:szCs w:val="20"/>
              </w:rPr>
              <w:t>0.92</w:t>
            </w:r>
          </w:p>
        </w:tc>
        <w:tc>
          <w:tcPr>
            <w:tcW w:w="1384" w:type="dxa"/>
          </w:tcPr>
          <w:p w14:paraId="275C204D" w14:textId="77777777" w:rsidR="0069375C" w:rsidRPr="002D4398" w:rsidRDefault="0069375C" w:rsidP="0069375C">
            <w:pPr>
              <w:jc w:val="center"/>
              <w:rPr>
                <w:rFonts w:cstheme="minorHAnsi"/>
                <w:sz w:val="20"/>
                <w:szCs w:val="20"/>
              </w:rPr>
            </w:pPr>
            <w:r w:rsidRPr="002D4398">
              <w:rPr>
                <w:rFonts w:cstheme="minorHAnsi"/>
                <w:sz w:val="20"/>
                <w:szCs w:val="20"/>
              </w:rPr>
              <w:t>SUR-AR1</w:t>
            </w:r>
          </w:p>
        </w:tc>
      </w:tr>
      <w:tr w:rsidR="0069375C" w:rsidRPr="002D4398" w14:paraId="7891452F" w14:textId="77777777" w:rsidTr="0069375C">
        <w:trPr>
          <w:trHeight w:hRule="exact" w:val="297"/>
        </w:trPr>
        <w:tc>
          <w:tcPr>
            <w:tcW w:w="1384" w:type="dxa"/>
          </w:tcPr>
          <w:p w14:paraId="5B7E61F1" w14:textId="71B20576" w:rsidR="0069375C" w:rsidRPr="002D4398" w:rsidRDefault="0069375C" w:rsidP="0069375C">
            <w:pPr>
              <w:pStyle w:val="TableParagraph"/>
              <w:jc w:val="center"/>
              <w:rPr>
                <w:rFonts w:cstheme="minorHAnsi"/>
                <w:sz w:val="20"/>
                <w:szCs w:val="20"/>
              </w:rPr>
            </w:pPr>
            <w:r w:rsidRPr="002D4398">
              <w:rPr>
                <w:rFonts w:cstheme="minorHAnsi"/>
                <w:sz w:val="20"/>
                <w:szCs w:val="20"/>
              </w:rPr>
              <w:t>(</w:t>
            </w:r>
            <w:r w:rsidR="002D51DA" w:rsidRPr="002D4398">
              <w:rPr>
                <w:rFonts w:cstheme="minorHAnsi"/>
                <w:sz w:val="20"/>
                <w:szCs w:val="20"/>
              </w:rPr>
              <w:t>8.48</w:t>
            </w:r>
            <w:r w:rsidRPr="002D4398">
              <w:rPr>
                <w:rFonts w:cstheme="minorHAnsi"/>
                <w:sz w:val="20"/>
                <w:szCs w:val="20"/>
              </w:rPr>
              <w:t>)</w:t>
            </w:r>
          </w:p>
        </w:tc>
        <w:tc>
          <w:tcPr>
            <w:tcW w:w="1385" w:type="dxa"/>
          </w:tcPr>
          <w:p w14:paraId="1A8042C7" w14:textId="2DCCF1B1" w:rsidR="0069375C" w:rsidRPr="002D4398" w:rsidRDefault="0069375C" w:rsidP="0069375C">
            <w:pPr>
              <w:pStyle w:val="TableParagraph"/>
              <w:jc w:val="center"/>
              <w:rPr>
                <w:rFonts w:cstheme="minorHAnsi"/>
                <w:sz w:val="20"/>
                <w:szCs w:val="20"/>
              </w:rPr>
            </w:pPr>
            <w:r w:rsidRPr="002D4398">
              <w:rPr>
                <w:rFonts w:cstheme="minorHAnsi"/>
                <w:sz w:val="20"/>
                <w:szCs w:val="20"/>
              </w:rPr>
              <w:t>(0.</w:t>
            </w:r>
            <w:r w:rsidR="002D51DA" w:rsidRPr="002D4398">
              <w:rPr>
                <w:rFonts w:cstheme="minorHAnsi"/>
                <w:sz w:val="20"/>
                <w:szCs w:val="20"/>
              </w:rPr>
              <w:t>44</w:t>
            </w:r>
            <w:r w:rsidRPr="002D4398">
              <w:rPr>
                <w:rFonts w:cstheme="minorHAnsi"/>
                <w:sz w:val="20"/>
                <w:szCs w:val="20"/>
              </w:rPr>
              <w:t>)</w:t>
            </w:r>
          </w:p>
        </w:tc>
        <w:tc>
          <w:tcPr>
            <w:tcW w:w="1384" w:type="dxa"/>
          </w:tcPr>
          <w:p w14:paraId="458E992B" w14:textId="77777777" w:rsidR="0069375C" w:rsidRPr="002D4398" w:rsidRDefault="0069375C" w:rsidP="0069375C">
            <w:pPr>
              <w:pStyle w:val="TableParagraph"/>
              <w:jc w:val="center"/>
              <w:rPr>
                <w:rFonts w:cstheme="minorHAnsi"/>
                <w:sz w:val="20"/>
                <w:szCs w:val="20"/>
              </w:rPr>
            </w:pPr>
            <w:r w:rsidRPr="002D4398">
              <w:rPr>
                <w:rFonts w:cstheme="minorHAnsi"/>
                <w:sz w:val="20"/>
                <w:szCs w:val="20"/>
              </w:rPr>
              <w:t>(0.00)</w:t>
            </w:r>
          </w:p>
        </w:tc>
        <w:tc>
          <w:tcPr>
            <w:tcW w:w="1385" w:type="dxa"/>
          </w:tcPr>
          <w:p w14:paraId="0A96EE66" w14:textId="4B63E9D6" w:rsidR="0069375C" w:rsidRPr="002D4398" w:rsidRDefault="0069375C" w:rsidP="0069375C">
            <w:pPr>
              <w:pStyle w:val="TableParagraph"/>
              <w:jc w:val="center"/>
              <w:rPr>
                <w:rFonts w:cstheme="minorHAnsi"/>
                <w:b/>
                <w:sz w:val="20"/>
                <w:szCs w:val="20"/>
              </w:rPr>
            </w:pPr>
            <w:r w:rsidRPr="002D4398">
              <w:rPr>
                <w:rFonts w:cstheme="minorHAnsi"/>
                <w:b/>
                <w:sz w:val="20"/>
                <w:szCs w:val="20"/>
              </w:rPr>
              <w:t>(3.</w:t>
            </w:r>
            <w:r w:rsidR="002D51DA" w:rsidRPr="002D4398">
              <w:rPr>
                <w:rFonts w:cstheme="minorHAnsi"/>
                <w:b/>
                <w:sz w:val="20"/>
                <w:szCs w:val="20"/>
              </w:rPr>
              <w:t>53</w:t>
            </w:r>
            <w:r w:rsidRPr="002D4398">
              <w:rPr>
                <w:rFonts w:cstheme="minorHAnsi"/>
                <w:b/>
                <w:sz w:val="20"/>
                <w:szCs w:val="20"/>
              </w:rPr>
              <w:t>)</w:t>
            </w:r>
          </w:p>
        </w:tc>
        <w:tc>
          <w:tcPr>
            <w:tcW w:w="1385" w:type="dxa"/>
          </w:tcPr>
          <w:p w14:paraId="6F34D72F" w14:textId="6D30E4D0" w:rsidR="0069375C" w:rsidRPr="002D4398" w:rsidRDefault="0069375C" w:rsidP="0069375C">
            <w:pPr>
              <w:pStyle w:val="TableParagraph"/>
              <w:jc w:val="center"/>
              <w:rPr>
                <w:rFonts w:cstheme="minorHAnsi"/>
                <w:sz w:val="20"/>
                <w:szCs w:val="20"/>
              </w:rPr>
            </w:pPr>
            <w:r w:rsidRPr="002D4398">
              <w:rPr>
                <w:rFonts w:cstheme="minorHAnsi"/>
                <w:sz w:val="20"/>
                <w:szCs w:val="20"/>
              </w:rPr>
              <w:t>(-3.</w:t>
            </w:r>
            <w:r w:rsidR="002D51DA" w:rsidRPr="002D4398">
              <w:rPr>
                <w:rFonts w:cstheme="minorHAnsi"/>
                <w:sz w:val="20"/>
                <w:szCs w:val="20"/>
              </w:rPr>
              <w:t>05</w:t>
            </w:r>
            <w:r w:rsidRPr="002D4398">
              <w:rPr>
                <w:rFonts w:cstheme="minorHAnsi"/>
                <w:sz w:val="20"/>
                <w:szCs w:val="20"/>
              </w:rPr>
              <w:t>)</w:t>
            </w:r>
          </w:p>
        </w:tc>
        <w:tc>
          <w:tcPr>
            <w:tcW w:w="1385" w:type="dxa"/>
          </w:tcPr>
          <w:p w14:paraId="5930139E" w14:textId="4912F7CA" w:rsidR="0069375C" w:rsidRPr="002D4398" w:rsidRDefault="0069375C" w:rsidP="0069375C">
            <w:pPr>
              <w:pStyle w:val="TableParagraph"/>
              <w:jc w:val="center"/>
              <w:rPr>
                <w:rFonts w:cstheme="minorHAnsi"/>
                <w:sz w:val="20"/>
                <w:szCs w:val="20"/>
              </w:rPr>
            </w:pPr>
            <w:r w:rsidRPr="002D4398">
              <w:rPr>
                <w:rFonts w:cstheme="minorHAnsi"/>
                <w:sz w:val="20"/>
                <w:szCs w:val="20"/>
              </w:rPr>
              <w:t>(</w:t>
            </w:r>
            <w:r w:rsidR="002D51DA" w:rsidRPr="002D4398">
              <w:rPr>
                <w:rFonts w:cstheme="minorHAnsi"/>
                <w:sz w:val="20"/>
                <w:szCs w:val="20"/>
              </w:rPr>
              <w:t>-86.77</w:t>
            </w:r>
            <w:r w:rsidRPr="002D4398">
              <w:rPr>
                <w:rFonts w:cstheme="minorHAnsi"/>
                <w:sz w:val="20"/>
                <w:szCs w:val="20"/>
              </w:rPr>
              <w:t>)</w:t>
            </w:r>
          </w:p>
        </w:tc>
        <w:tc>
          <w:tcPr>
            <w:tcW w:w="1384" w:type="dxa"/>
          </w:tcPr>
          <w:p w14:paraId="246D83D2" w14:textId="77777777" w:rsidR="0069375C" w:rsidRPr="002D4398" w:rsidRDefault="0069375C" w:rsidP="0069375C">
            <w:pPr>
              <w:jc w:val="center"/>
              <w:rPr>
                <w:rFonts w:cstheme="minorHAnsi"/>
                <w:sz w:val="20"/>
                <w:szCs w:val="20"/>
              </w:rPr>
            </w:pPr>
          </w:p>
        </w:tc>
        <w:tc>
          <w:tcPr>
            <w:tcW w:w="1385" w:type="dxa"/>
          </w:tcPr>
          <w:p w14:paraId="1866C697" w14:textId="77777777" w:rsidR="0069375C" w:rsidRPr="002D4398" w:rsidRDefault="0069375C" w:rsidP="0069375C">
            <w:pPr>
              <w:jc w:val="center"/>
              <w:rPr>
                <w:rFonts w:cstheme="minorHAnsi"/>
                <w:sz w:val="20"/>
                <w:szCs w:val="20"/>
              </w:rPr>
            </w:pPr>
          </w:p>
        </w:tc>
        <w:tc>
          <w:tcPr>
            <w:tcW w:w="1384" w:type="dxa"/>
          </w:tcPr>
          <w:p w14:paraId="39DD4448" w14:textId="77777777" w:rsidR="0069375C" w:rsidRPr="002D4398" w:rsidRDefault="0069375C" w:rsidP="0069375C">
            <w:pPr>
              <w:jc w:val="center"/>
              <w:rPr>
                <w:rFonts w:cstheme="minorHAnsi"/>
                <w:sz w:val="20"/>
                <w:szCs w:val="20"/>
              </w:rPr>
            </w:pPr>
            <w:r w:rsidRPr="002D4398">
              <w:rPr>
                <w:rFonts w:cstheme="minorHAnsi"/>
                <w:sz w:val="20"/>
                <w:szCs w:val="20"/>
              </w:rPr>
              <w:t>(b)</w:t>
            </w:r>
          </w:p>
        </w:tc>
      </w:tr>
    </w:tbl>
    <w:p w14:paraId="781823C4" w14:textId="77777777" w:rsidR="00C215BC" w:rsidRPr="002D4398" w:rsidRDefault="00C215BC" w:rsidP="00C215BC">
      <w:pPr>
        <w:tabs>
          <w:tab w:val="left" w:pos="1579"/>
          <w:tab w:val="left" w:pos="3739"/>
          <w:tab w:val="left" w:pos="5899"/>
          <w:tab w:val="left" w:pos="10219"/>
        </w:tabs>
        <w:jc w:val="center"/>
        <w:rPr>
          <w:rFonts w:eastAsia="Calibri" w:cstheme="minorHAnsi"/>
          <w:sz w:val="20"/>
          <w:szCs w:val="20"/>
        </w:rPr>
      </w:pPr>
      <w:r w:rsidRPr="002D4398">
        <w:rPr>
          <w:rFonts w:cstheme="minorHAnsi"/>
          <w:i/>
          <w:w w:val="95"/>
          <w:sz w:val="20"/>
          <w:szCs w:val="20"/>
        </w:rPr>
        <w:t>Notes</w:t>
      </w:r>
      <w:r w:rsidRPr="002D4398">
        <w:rPr>
          <w:rFonts w:cstheme="minorHAnsi"/>
          <w:w w:val="95"/>
          <w:sz w:val="20"/>
          <w:szCs w:val="20"/>
        </w:rPr>
        <w:t xml:space="preserve">: </w:t>
      </w:r>
      <w:r w:rsidRPr="002D4398">
        <w:rPr>
          <w:rFonts w:cstheme="minorHAnsi"/>
          <w:sz w:val="20"/>
          <w:szCs w:val="20"/>
        </w:rPr>
        <w:t>(a) when both coefficients are restricted (b) when only one coefficient is restricted</w:t>
      </w:r>
    </w:p>
    <w:p w14:paraId="5121149B" w14:textId="77777777" w:rsidR="00C215BC" w:rsidRPr="002D4398" w:rsidRDefault="00C215BC" w:rsidP="00C215BC">
      <w:pPr>
        <w:jc w:val="both"/>
        <w:rPr>
          <w:rFonts w:eastAsia="Calibri" w:cs="Calibri"/>
        </w:rPr>
        <w:sectPr w:rsidR="00C215BC" w:rsidRPr="002D4398" w:rsidSect="00D34327">
          <w:headerReference w:type="default" r:id="rId15"/>
          <w:pgSz w:w="16840" w:h="11900" w:orient="landscape" w:code="9"/>
          <w:pgMar w:top="1440" w:right="1440" w:bottom="1440" w:left="1440" w:header="680" w:footer="680" w:gutter="0"/>
          <w:cols w:space="720"/>
          <w:docGrid w:linePitch="299"/>
        </w:sectPr>
      </w:pPr>
    </w:p>
    <w:p w14:paraId="7D2068A1" w14:textId="77777777" w:rsidR="00C215BC" w:rsidRPr="002D4398" w:rsidRDefault="00C215BC" w:rsidP="00C215BC">
      <w:pPr>
        <w:pStyle w:val="BodyText"/>
        <w:ind w:left="0"/>
        <w:jc w:val="both"/>
        <w:rPr>
          <w:rFonts w:asciiTheme="minorHAnsi" w:hAnsiTheme="minorHAnsi"/>
          <w:sz w:val="22"/>
          <w:szCs w:val="22"/>
        </w:rPr>
      </w:pPr>
    </w:p>
    <w:p w14:paraId="7A481A76" w14:textId="77777777" w:rsidR="00BE33C0" w:rsidRPr="002D4398" w:rsidRDefault="00BE33C0" w:rsidP="00661BD2">
      <w:pPr>
        <w:jc w:val="both"/>
        <w:rPr>
          <w:rFonts w:eastAsia="Calibri" w:cs="Calibri"/>
        </w:rPr>
      </w:pPr>
    </w:p>
    <w:p w14:paraId="1EC18BE6" w14:textId="0CAA1E14" w:rsidR="00FF07B1" w:rsidRPr="002D4398" w:rsidRDefault="00FF07B1" w:rsidP="00FF07B1">
      <w:pPr>
        <w:jc w:val="center"/>
        <w:rPr>
          <w:rFonts w:cstheme="minorHAnsi"/>
          <w:b/>
          <w:bCs/>
        </w:rPr>
      </w:pPr>
      <w:r w:rsidRPr="002D4398">
        <w:rPr>
          <w:rFonts w:cstheme="minorHAnsi"/>
          <w:b/>
          <w:bCs/>
        </w:rPr>
        <w:t>Table 12. Restricted regression estimates of real domestic chicken margin equations, 1976-2021</w:t>
      </w:r>
      <w:r w:rsidR="00A94739">
        <w:rPr>
          <w:rFonts w:cstheme="minorHAnsi"/>
          <w:b/>
          <w:bCs/>
        </w:rPr>
        <w:t xml:space="preserve"> </w:t>
      </w:r>
      <w:r w:rsidR="00A94739" w:rsidRPr="009203D1">
        <w:rPr>
          <w:rFonts w:eastAsia="Calibri" w:cs="Calibri"/>
          <w:b/>
        </w:rPr>
        <w:t>(</w:t>
      </w:r>
      <w:r w:rsidR="00A94739" w:rsidRPr="009203D1">
        <w:rPr>
          <w:b/>
          <w:w w:val="95"/>
        </w:rPr>
        <w:t>t</w:t>
      </w:r>
      <w:r w:rsidR="00A94739" w:rsidRPr="009203D1">
        <w:rPr>
          <w:b/>
        </w:rPr>
        <w:t>-statistics</w:t>
      </w:r>
      <w:r w:rsidR="00A94739" w:rsidRPr="009203D1">
        <w:rPr>
          <w:b/>
          <w:spacing w:val="-4"/>
        </w:rPr>
        <w:t xml:space="preserve"> </w:t>
      </w:r>
      <w:r w:rsidR="00A94739" w:rsidRPr="009203D1">
        <w:rPr>
          <w:b/>
        </w:rPr>
        <w:t>are</w:t>
      </w:r>
      <w:r w:rsidR="00A94739" w:rsidRPr="009203D1">
        <w:rPr>
          <w:b/>
          <w:spacing w:val="-4"/>
        </w:rPr>
        <w:t xml:space="preserve"> </w:t>
      </w:r>
      <w:r w:rsidR="00A94739" w:rsidRPr="009203D1">
        <w:rPr>
          <w:b/>
        </w:rPr>
        <w:t>in</w:t>
      </w:r>
      <w:r w:rsidR="00A94739" w:rsidRPr="009203D1">
        <w:rPr>
          <w:b/>
          <w:spacing w:val="-4"/>
        </w:rPr>
        <w:t xml:space="preserve"> </w:t>
      </w:r>
      <w:r w:rsidR="00A94739" w:rsidRPr="009203D1">
        <w:rPr>
          <w:b/>
        </w:rPr>
        <w:t>brackets)</w:t>
      </w:r>
    </w:p>
    <w:p w14:paraId="0220C36F" w14:textId="77777777" w:rsidR="00FF07B1" w:rsidRPr="002D4398" w:rsidRDefault="00FF07B1" w:rsidP="00FF07B1">
      <w:pPr>
        <w:jc w:val="both"/>
        <w:rPr>
          <w:rFonts w:cstheme="minorHAnsi"/>
        </w:rPr>
      </w:pPr>
    </w:p>
    <w:tbl>
      <w:tblPr>
        <w:tblStyle w:val="TableGrid"/>
        <w:tblW w:w="9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1039"/>
        <w:gridCol w:w="868"/>
        <w:gridCol w:w="852"/>
        <w:gridCol w:w="1121"/>
        <w:gridCol w:w="852"/>
        <w:gridCol w:w="719"/>
        <w:gridCol w:w="719"/>
        <w:gridCol w:w="1795"/>
      </w:tblGrid>
      <w:tr w:rsidR="002A1F38" w:rsidRPr="002D4398" w14:paraId="56F9DC97" w14:textId="77777777" w:rsidTr="00887DB7">
        <w:trPr>
          <w:trHeight w:val="312"/>
          <w:jc w:val="center"/>
        </w:trPr>
        <w:tc>
          <w:tcPr>
            <w:tcW w:w="1229" w:type="dxa"/>
            <w:tcBorders>
              <w:top w:val="single" w:sz="4" w:space="0" w:color="auto"/>
              <w:bottom w:val="single" w:sz="4" w:space="0" w:color="auto"/>
            </w:tcBorders>
            <w:shd w:val="clear" w:color="auto" w:fill="FFFFFF" w:themeFill="background1"/>
          </w:tcPr>
          <w:p w14:paraId="3DF63ABD" w14:textId="77777777" w:rsidR="00FF07B1" w:rsidRPr="002D4398" w:rsidRDefault="00FF07B1" w:rsidP="00887DB7">
            <w:pPr>
              <w:jc w:val="both"/>
              <w:rPr>
                <w:rFonts w:cstheme="minorHAnsi"/>
                <w:b/>
                <w:bCs/>
              </w:rPr>
            </w:pPr>
            <w:r w:rsidRPr="002D4398">
              <w:rPr>
                <w:rFonts w:cstheme="minorHAnsi"/>
                <w:b/>
                <w:bCs/>
              </w:rPr>
              <w:t>CONSTANT</w:t>
            </w:r>
          </w:p>
        </w:tc>
        <w:tc>
          <w:tcPr>
            <w:tcW w:w="1039" w:type="dxa"/>
            <w:tcBorders>
              <w:top w:val="single" w:sz="4" w:space="0" w:color="auto"/>
              <w:bottom w:val="single" w:sz="4" w:space="0" w:color="auto"/>
            </w:tcBorders>
            <w:shd w:val="clear" w:color="auto" w:fill="FFFFFF" w:themeFill="background1"/>
          </w:tcPr>
          <w:p w14:paraId="2A382E18" w14:textId="77777777" w:rsidR="00FF07B1" w:rsidRPr="002D4398" w:rsidRDefault="00FF07B1" w:rsidP="00887DB7">
            <w:pPr>
              <w:jc w:val="both"/>
              <w:rPr>
                <w:rFonts w:cstheme="minorHAnsi"/>
                <w:b/>
                <w:bCs/>
              </w:rPr>
            </w:pPr>
            <w:r w:rsidRPr="002D4398">
              <w:rPr>
                <w:rFonts w:cstheme="minorHAnsi"/>
                <w:b/>
                <w:bCs/>
              </w:rPr>
              <w:t>COSTIND</w:t>
            </w:r>
          </w:p>
        </w:tc>
        <w:tc>
          <w:tcPr>
            <w:tcW w:w="868" w:type="dxa"/>
            <w:tcBorders>
              <w:top w:val="single" w:sz="4" w:space="0" w:color="auto"/>
              <w:bottom w:val="single" w:sz="4" w:space="0" w:color="auto"/>
            </w:tcBorders>
            <w:shd w:val="clear" w:color="auto" w:fill="FFFFFF" w:themeFill="background1"/>
          </w:tcPr>
          <w:p w14:paraId="484D197F" w14:textId="77777777" w:rsidR="00FF07B1" w:rsidRPr="002D4398" w:rsidRDefault="00FF07B1" w:rsidP="00887DB7">
            <w:pPr>
              <w:jc w:val="both"/>
              <w:rPr>
                <w:rFonts w:cstheme="minorHAnsi"/>
                <w:b/>
                <w:bCs/>
              </w:rPr>
            </w:pPr>
            <w:r w:rsidRPr="002D4398">
              <w:rPr>
                <w:rFonts w:cstheme="minorHAnsi"/>
                <w:b/>
                <w:bCs/>
              </w:rPr>
              <w:t>DMCK</w:t>
            </w:r>
          </w:p>
        </w:tc>
        <w:tc>
          <w:tcPr>
            <w:tcW w:w="852" w:type="dxa"/>
            <w:tcBorders>
              <w:top w:val="single" w:sz="4" w:space="0" w:color="auto"/>
              <w:bottom w:val="single" w:sz="4" w:space="0" w:color="auto"/>
            </w:tcBorders>
            <w:shd w:val="clear" w:color="auto" w:fill="FFFFFF" w:themeFill="background1"/>
          </w:tcPr>
          <w:p w14:paraId="50D8019D" w14:textId="77777777" w:rsidR="00FF07B1" w:rsidRPr="002D4398" w:rsidRDefault="00FF07B1" w:rsidP="00887DB7">
            <w:pPr>
              <w:jc w:val="both"/>
              <w:rPr>
                <w:rFonts w:cstheme="minorHAnsi"/>
                <w:b/>
                <w:bCs/>
              </w:rPr>
            </w:pPr>
            <w:r w:rsidRPr="002D4398">
              <w:rPr>
                <w:rFonts w:cstheme="minorHAnsi"/>
                <w:b/>
                <w:bCs/>
              </w:rPr>
              <w:t>DMCKI</w:t>
            </w:r>
          </w:p>
        </w:tc>
        <w:tc>
          <w:tcPr>
            <w:tcW w:w="1121" w:type="dxa"/>
            <w:tcBorders>
              <w:top w:val="single" w:sz="4" w:space="0" w:color="auto"/>
              <w:bottom w:val="single" w:sz="4" w:space="0" w:color="auto"/>
            </w:tcBorders>
            <w:shd w:val="clear" w:color="auto" w:fill="FFFFFF" w:themeFill="background1"/>
          </w:tcPr>
          <w:p w14:paraId="09C2D422" w14:textId="77777777" w:rsidR="00FF07B1" w:rsidRPr="002D4398" w:rsidRDefault="00FF07B1" w:rsidP="00887DB7">
            <w:pPr>
              <w:jc w:val="both"/>
              <w:rPr>
                <w:rFonts w:cstheme="minorHAnsi"/>
                <w:b/>
                <w:bCs/>
              </w:rPr>
            </w:pPr>
            <w:r w:rsidRPr="002D4398">
              <w:rPr>
                <w:rFonts w:cstheme="minorHAnsi"/>
                <w:b/>
                <w:bCs/>
              </w:rPr>
              <w:t>TIME</w:t>
            </w:r>
          </w:p>
        </w:tc>
        <w:tc>
          <w:tcPr>
            <w:tcW w:w="852" w:type="dxa"/>
            <w:tcBorders>
              <w:top w:val="single" w:sz="4" w:space="0" w:color="auto"/>
              <w:bottom w:val="single" w:sz="4" w:space="0" w:color="auto"/>
            </w:tcBorders>
            <w:shd w:val="clear" w:color="auto" w:fill="FFFFFF" w:themeFill="background1"/>
          </w:tcPr>
          <w:p w14:paraId="1250C5A4" w14:textId="77777777" w:rsidR="00FF07B1" w:rsidRPr="002D4398" w:rsidRDefault="00FF07B1" w:rsidP="00887DB7">
            <w:pPr>
              <w:jc w:val="both"/>
              <w:rPr>
                <w:rFonts w:cstheme="minorHAnsi"/>
                <w:b/>
                <w:bCs/>
              </w:rPr>
            </w:pPr>
            <w:r w:rsidRPr="002D4398">
              <w:rPr>
                <w:rFonts w:cstheme="minorHAnsi"/>
                <w:b/>
                <w:bCs/>
              </w:rPr>
              <w:t>RHO</w:t>
            </w:r>
          </w:p>
        </w:tc>
        <w:tc>
          <w:tcPr>
            <w:tcW w:w="719" w:type="dxa"/>
            <w:tcBorders>
              <w:top w:val="single" w:sz="4" w:space="0" w:color="auto"/>
              <w:bottom w:val="single" w:sz="4" w:space="0" w:color="auto"/>
            </w:tcBorders>
            <w:shd w:val="clear" w:color="auto" w:fill="FFFFFF" w:themeFill="background1"/>
          </w:tcPr>
          <w:p w14:paraId="3FBADB47" w14:textId="77777777" w:rsidR="00FF07B1" w:rsidRPr="002D4398" w:rsidRDefault="00FF07B1" w:rsidP="00887DB7">
            <w:pPr>
              <w:pStyle w:val="NormalWeb"/>
              <w:spacing w:before="0" w:beforeAutospacing="0" w:after="0" w:afterAutospacing="0"/>
              <w:rPr>
                <w:rFonts w:asciiTheme="minorHAnsi" w:hAnsiTheme="minorHAnsi" w:cstheme="minorHAnsi"/>
                <w:b/>
                <w:bCs/>
                <w:sz w:val="22"/>
                <w:szCs w:val="22"/>
              </w:rPr>
            </w:pPr>
            <w:r w:rsidRPr="002D4398">
              <w:rPr>
                <w:rFonts w:asciiTheme="minorHAnsi" w:hAnsiTheme="minorHAnsi" w:cstheme="minorHAnsi"/>
                <w:b/>
                <w:bCs/>
                <w:position w:val="12"/>
                <w:sz w:val="22"/>
                <w:szCs w:val="22"/>
              </w:rPr>
              <w:t>R</w:t>
            </w:r>
            <w:r w:rsidRPr="002D4398">
              <w:rPr>
                <w:rFonts w:asciiTheme="minorHAnsi" w:hAnsiTheme="minorHAnsi" w:cstheme="minorHAnsi"/>
                <w:b/>
                <w:bCs/>
                <w:position w:val="12"/>
                <w:sz w:val="22"/>
                <w:szCs w:val="22"/>
                <w:vertAlign w:val="superscript"/>
              </w:rPr>
              <w:t>2</w:t>
            </w:r>
          </w:p>
        </w:tc>
        <w:tc>
          <w:tcPr>
            <w:tcW w:w="719" w:type="dxa"/>
            <w:tcBorders>
              <w:top w:val="single" w:sz="4" w:space="0" w:color="auto"/>
              <w:bottom w:val="single" w:sz="4" w:space="0" w:color="auto"/>
            </w:tcBorders>
            <w:shd w:val="clear" w:color="auto" w:fill="FFFFFF" w:themeFill="background1"/>
          </w:tcPr>
          <w:p w14:paraId="7E7AFD31" w14:textId="77777777" w:rsidR="00FF07B1" w:rsidRPr="002D4398" w:rsidRDefault="00FF07B1" w:rsidP="00887DB7">
            <w:pPr>
              <w:jc w:val="both"/>
              <w:rPr>
                <w:rFonts w:cstheme="minorHAnsi"/>
                <w:b/>
                <w:bCs/>
              </w:rPr>
            </w:pPr>
            <w:r w:rsidRPr="002D4398">
              <w:rPr>
                <w:rFonts w:cstheme="minorHAnsi"/>
                <w:b/>
                <w:bCs/>
              </w:rPr>
              <w:t>DW</w:t>
            </w:r>
          </w:p>
        </w:tc>
        <w:tc>
          <w:tcPr>
            <w:tcW w:w="1795" w:type="dxa"/>
            <w:tcBorders>
              <w:top w:val="single" w:sz="4" w:space="0" w:color="auto"/>
              <w:bottom w:val="single" w:sz="4" w:space="0" w:color="auto"/>
            </w:tcBorders>
            <w:shd w:val="clear" w:color="auto" w:fill="FFFFFF" w:themeFill="background1"/>
          </w:tcPr>
          <w:p w14:paraId="4F504F2A" w14:textId="77777777" w:rsidR="00FF07B1" w:rsidRPr="002D4398" w:rsidRDefault="00FF07B1" w:rsidP="00887DB7">
            <w:pPr>
              <w:jc w:val="both"/>
              <w:rPr>
                <w:rFonts w:cstheme="minorHAnsi"/>
                <w:b/>
                <w:bCs/>
              </w:rPr>
            </w:pPr>
            <w:r w:rsidRPr="002D4398">
              <w:rPr>
                <w:rFonts w:cstheme="minorHAnsi"/>
                <w:b/>
                <w:bCs/>
              </w:rPr>
              <w:t>Method</w:t>
            </w:r>
          </w:p>
        </w:tc>
      </w:tr>
      <w:tr w:rsidR="002A1F38" w:rsidRPr="002D4398" w14:paraId="7D227BF8" w14:textId="77777777" w:rsidTr="00FF07B1">
        <w:trPr>
          <w:trHeight w:val="251"/>
          <w:jc w:val="center"/>
        </w:trPr>
        <w:tc>
          <w:tcPr>
            <w:tcW w:w="1229" w:type="dxa"/>
          </w:tcPr>
          <w:p w14:paraId="6DBCFAB0" w14:textId="17269F08" w:rsidR="00FF07B1" w:rsidRPr="002D4398" w:rsidRDefault="002A1F38" w:rsidP="00887DB7">
            <w:pPr>
              <w:jc w:val="both"/>
              <w:rPr>
                <w:rFonts w:cstheme="minorHAnsi"/>
              </w:rPr>
            </w:pPr>
            <w:r w:rsidRPr="002D4398">
              <w:rPr>
                <w:rFonts w:cstheme="minorHAnsi"/>
              </w:rPr>
              <w:t>-9.135</w:t>
            </w:r>
          </w:p>
        </w:tc>
        <w:tc>
          <w:tcPr>
            <w:tcW w:w="1039" w:type="dxa"/>
          </w:tcPr>
          <w:p w14:paraId="05EA13DF" w14:textId="0C6576FB" w:rsidR="00FF07B1" w:rsidRPr="002D4398" w:rsidRDefault="00FF07B1" w:rsidP="00887DB7">
            <w:pPr>
              <w:jc w:val="both"/>
              <w:rPr>
                <w:rFonts w:cstheme="minorHAnsi"/>
              </w:rPr>
            </w:pPr>
            <w:r w:rsidRPr="002D4398">
              <w:rPr>
                <w:rFonts w:cstheme="minorHAnsi"/>
              </w:rPr>
              <w:t>0.</w:t>
            </w:r>
            <w:r w:rsidR="002A1F38" w:rsidRPr="002D4398">
              <w:rPr>
                <w:rFonts w:cstheme="minorHAnsi"/>
              </w:rPr>
              <w:t>855</w:t>
            </w:r>
          </w:p>
        </w:tc>
        <w:tc>
          <w:tcPr>
            <w:tcW w:w="868" w:type="dxa"/>
          </w:tcPr>
          <w:p w14:paraId="00091514" w14:textId="32B81751" w:rsidR="00FF07B1" w:rsidRPr="002D4398" w:rsidRDefault="002A1F38" w:rsidP="00887DB7">
            <w:pPr>
              <w:jc w:val="both"/>
              <w:rPr>
                <w:rFonts w:cstheme="minorHAnsi"/>
              </w:rPr>
            </w:pPr>
            <w:r w:rsidRPr="002D4398">
              <w:rPr>
                <w:rFonts w:cstheme="minorHAnsi"/>
              </w:rPr>
              <w:t>-0.001</w:t>
            </w:r>
          </w:p>
        </w:tc>
        <w:tc>
          <w:tcPr>
            <w:tcW w:w="852" w:type="dxa"/>
          </w:tcPr>
          <w:p w14:paraId="777A432E" w14:textId="65D8521A" w:rsidR="00FF07B1" w:rsidRPr="002D4398" w:rsidRDefault="00FF07B1" w:rsidP="00887DB7">
            <w:pPr>
              <w:jc w:val="both"/>
              <w:rPr>
                <w:rFonts w:cstheme="minorHAnsi"/>
              </w:rPr>
            </w:pPr>
            <w:r w:rsidRPr="002D4398">
              <w:rPr>
                <w:rFonts w:cstheme="minorHAnsi"/>
              </w:rPr>
              <w:t>1</w:t>
            </w:r>
            <w:r w:rsidR="002A1F38" w:rsidRPr="002D4398">
              <w:rPr>
                <w:rFonts w:cstheme="minorHAnsi"/>
              </w:rPr>
              <w:t>.542</w:t>
            </w:r>
          </w:p>
        </w:tc>
        <w:tc>
          <w:tcPr>
            <w:tcW w:w="1121" w:type="dxa"/>
          </w:tcPr>
          <w:p w14:paraId="28702E48" w14:textId="2FC57C98" w:rsidR="00FF07B1" w:rsidRPr="002D4398" w:rsidRDefault="002A1F38" w:rsidP="00887DB7">
            <w:pPr>
              <w:jc w:val="both"/>
              <w:rPr>
                <w:rFonts w:cstheme="minorHAnsi"/>
              </w:rPr>
            </w:pPr>
            <w:r w:rsidRPr="002D4398">
              <w:rPr>
                <w:rFonts w:cstheme="minorHAnsi"/>
              </w:rPr>
              <w:t>1.023</w:t>
            </w:r>
          </w:p>
        </w:tc>
        <w:tc>
          <w:tcPr>
            <w:tcW w:w="852" w:type="dxa"/>
          </w:tcPr>
          <w:p w14:paraId="72AC36ED" w14:textId="5AA6E9B4" w:rsidR="00FF07B1" w:rsidRPr="002D4398" w:rsidRDefault="00FF07B1" w:rsidP="00887DB7">
            <w:pPr>
              <w:jc w:val="both"/>
              <w:rPr>
                <w:rFonts w:cstheme="minorHAnsi"/>
              </w:rPr>
            </w:pPr>
            <w:r w:rsidRPr="002D4398">
              <w:rPr>
                <w:rFonts w:cstheme="minorHAnsi"/>
              </w:rPr>
              <w:t>0.</w:t>
            </w:r>
            <w:r w:rsidR="002A1F38" w:rsidRPr="002D4398">
              <w:rPr>
                <w:rFonts w:cstheme="minorHAnsi"/>
              </w:rPr>
              <w:t>376</w:t>
            </w:r>
          </w:p>
        </w:tc>
        <w:tc>
          <w:tcPr>
            <w:tcW w:w="719" w:type="dxa"/>
          </w:tcPr>
          <w:p w14:paraId="53C419D5" w14:textId="77777777" w:rsidR="00FF07B1" w:rsidRPr="002D4398" w:rsidRDefault="00FF07B1" w:rsidP="00887DB7">
            <w:pPr>
              <w:jc w:val="both"/>
              <w:rPr>
                <w:rFonts w:cstheme="minorHAnsi"/>
                <w:i/>
                <w:iCs/>
              </w:rPr>
            </w:pPr>
            <w:r w:rsidRPr="002D4398">
              <w:rPr>
                <w:rFonts w:cstheme="minorHAnsi"/>
              </w:rPr>
              <w:t>0.97</w:t>
            </w:r>
          </w:p>
        </w:tc>
        <w:tc>
          <w:tcPr>
            <w:tcW w:w="719" w:type="dxa"/>
          </w:tcPr>
          <w:p w14:paraId="251FE469" w14:textId="3611007A" w:rsidR="00FF07B1" w:rsidRPr="002D4398" w:rsidRDefault="002A1F38" w:rsidP="00887DB7">
            <w:pPr>
              <w:jc w:val="both"/>
              <w:rPr>
                <w:rFonts w:cstheme="minorHAnsi"/>
              </w:rPr>
            </w:pPr>
            <w:r w:rsidRPr="002D4398">
              <w:rPr>
                <w:rFonts w:cstheme="minorHAnsi"/>
              </w:rPr>
              <w:t>0.88</w:t>
            </w:r>
          </w:p>
        </w:tc>
        <w:tc>
          <w:tcPr>
            <w:tcW w:w="1795" w:type="dxa"/>
          </w:tcPr>
          <w:p w14:paraId="538A566D" w14:textId="0EE5CF6F" w:rsidR="00FF07B1" w:rsidRPr="002D4398" w:rsidRDefault="00FF07B1" w:rsidP="00887DB7">
            <w:pPr>
              <w:jc w:val="both"/>
              <w:rPr>
                <w:rFonts w:cstheme="minorHAnsi"/>
              </w:rPr>
            </w:pPr>
            <w:r w:rsidRPr="002D4398">
              <w:rPr>
                <w:rFonts w:cstheme="minorHAnsi"/>
              </w:rPr>
              <w:t>LSQ</w:t>
            </w:r>
            <w:r w:rsidR="008A5B65">
              <w:rPr>
                <w:rFonts w:cstheme="minorHAnsi"/>
              </w:rPr>
              <w:t>-AR1</w:t>
            </w:r>
          </w:p>
        </w:tc>
      </w:tr>
      <w:tr w:rsidR="002A1F38" w:rsidRPr="003711B1" w14:paraId="2EA2C66B" w14:textId="77777777" w:rsidTr="00FF07B1">
        <w:trPr>
          <w:trHeight w:val="884"/>
          <w:jc w:val="center"/>
        </w:trPr>
        <w:tc>
          <w:tcPr>
            <w:tcW w:w="1229" w:type="dxa"/>
            <w:tcBorders>
              <w:bottom w:val="single" w:sz="4" w:space="0" w:color="auto"/>
            </w:tcBorders>
          </w:tcPr>
          <w:p w14:paraId="2EFADA46" w14:textId="4C5C6967" w:rsidR="00FF07B1" w:rsidRPr="002D4398" w:rsidRDefault="00FF07B1" w:rsidP="00887DB7">
            <w:pPr>
              <w:jc w:val="both"/>
              <w:rPr>
                <w:rFonts w:cstheme="minorHAnsi"/>
              </w:rPr>
            </w:pPr>
            <w:r w:rsidRPr="002D4398">
              <w:rPr>
                <w:rFonts w:cstheme="minorHAnsi"/>
              </w:rPr>
              <w:t>(</w:t>
            </w:r>
            <w:r w:rsidR="002A1F38" w:rsidRPr="002D4398">
              <w:rPr>
                <w:rFonts w:cstheme="minorHAnsi"/>
              </w:rPr>
              <w:t>-0.31</w:t>
            </w:r>
            <w:r w:rsidRPr="002D4398">
              <w:rPr>
                <w:rFonts w:cstheme="minorHAnsi"/>
              </w:rPr>
              <w:t>)</w:t>
            </w:r>
          </w:p>
          <w:p w14:paraId="68946899" w14:textId="376E183A" w:rsidR="00FF07B1" w:rsidRPr="002D4398" w:rsidRDefault="002A1F38" w:rsidP="00887DB7">
            <w:pPr>
              <w:jc w:val="both"/>
              <w:rPr>
                <w:rFonts w:cstheme="minorHAnsi"/>
              </w:rPr>
            </w:pPr>
            <w:r w:rsidRPr="002D4398">
              <w:rPr>
                <w:rFonts w:cstheme="minorHAnsi"/>
              </w:rPr>
              <w:t>-10.173</w:t>
            </w:r>
          </w:p>
          <w:p w14:paraId="207DA620" w14:textId="05A3E7EA" w:rsidR="00FF07B1" w:rsidRPr="002D4398" w:rsidRDefault="00FF07B1" w:rsidP="00887DB7">
            <w:pPr>
              <w:jc w:val="both"/>
              <w:rPr>
                <w:rFonts w:cstheme="minorHAnsi"/>
              </w:rPr>
            </w:pPr>
            <w:r w:rsidRPr="002D4398">
              <w:rPr>
                <w:rFonts w:cstheme="minorHAnsi"/>
              </w:rPr>
              <w:t>(</w:t>
            </w:r>
            <w:r w:rsidR="002A1F38" w:rsidRPr="002D4398">
              <w:rPr>
                <w:rFonts w:cstheme="minorHAnsi"/>
              </w:rPr>
              <w:t>-0.92</w:t>
            </w:r>
            <w:r w:rsidRPr="002D4398">
              <w:rPr>
                <w:rFonts w:cstheme="minorHAnsi"/>
              </w:rPr>
              <w:t>)</w:t>
            </w:r>
          </w:p>
          <w:p w14:paraId="72A1BFA7" w14:textId="77777777" w:rsidR="00FF07B1" w:rsidRPr="002D4398" w:rsidRDefault="002D51DA" w:rsidP="00887DB7">
            <w:pPr>
              <w:jc w:val="both"/>
              <w:rPr>
                <w:rFonts w:cstheme="minorHAnsi"/>
              </w:rPr>
            </w:pPr>
            <w:r w:rsidRPr="002D4398">
              <w:rPr>
                <w:rFonts w:cstheme="minorHAnsi"/>
              </w:rPr>
              <w:t>-9.135</w:t>
            </w:r>
          </w:p>
          <w:p w14:paraId="0F5AECB9" w14:textId="1C8A16C4" w:rsidR="002D51DA" w:rsidRPr="002D4398" w:rsidRDefault="002D51DA" w:rsidP="00887DB7">
            <w:pPr>
              <w:jc w:val="both"/>
              <w:rPr>
                <w:rFonts w:cstheme="minorHAnsi"/>
              </w:rPr>
            </w:pPr>
            <w:r w:rsidRPr="002D4398">
              <w:rPr>
                <w:rFonts w:cstheme="minorHAnsi"/>
              </w:rPr>
              <w:t>(-0.34)</w:t>
            </w:r>
          </w:p>
        </w:tc>
        <w:tc>
          <w:tcPr>
            <w:tcW w:w="1039" w:type="dxa"/>
            <w:tcBorders>
              <w:bottom w:val="single" w:sz="4" w:space="0" w:color="auto"/>
            </w:tcBorders>
          </w:tcPr>
          <w:p w14:paraId="2E38398B" w14:textId="15D67919" w:rsidR="00FF07B1" w:rsidRPr="002D4398" w:rsidRDefault="00FF07B1" w:rsidP="00887DB7">
            <w:pPr>
              <w:jc w:val="both"/>
              <w:rPr>
                <w:rFonts w:cstheme="minorHAnsi"/>
              </w:rPr>
            </w:pPr>
            <w:r w:rsidRPr="002D4398">
              <w:rPr>
                <w:rFonts w:cstheme="minorHAnsi"/>
              </w:rPr>
              <w:t>(</w:t>
            </w:r>
            <w:r w:rsidR="002A1F38" w:rsidRPr="002D4398">
              <w:rPr>
                <w:rFonts w:cstheme="minorHAnsi"/>
              </w:rPr>
              <w:t>28.95</w:t>
            </w:r>
            <w:r w:rsidRPr="002D4398">
              <w:rPr>
                <w:rFonts w:cstheme="minorHAnsi"/>
              </w:rPr>
              <w:t>)</w:t>
            </w:r>
          </w:p>
          <w:p w14:paraId="3E045626" w14:textId="0D867DD6" w:rsidR="00FF07B1" w:rsidRPr="002D4398" w:rsidRDefault="00FF07B1" w:rsidP="00887DB7">
            <w:pPr>
              <w:jc w:val="both"/>
              <w:rPr>
                <w:rFonts w:cstheme="minorHAnsi"/>
              </w:rPr>
            </w:pPr>
            <w:r w:rsidRPr="002D4398">
              <w:rPr>
                <w:rFonts w:cstheme="minorHAnsi"/>
              </w:rPr>
              <w:t>0.</w:t>
            </w:r>
            <w:r w:rsidR="002A1F38" w:rsidRPr="002D4398">
              <w:rPr>
                <w:rFonts w:cstheme="minorHAnsi"/>
              </w:rPr>
              <w:t>854</w:t>
            </w:r>
          </w:p>
          <w:p w14:paraId="7DC44540" w14:textId="77777777" w:rsidR="00FF07B1" w:rsidRPr="002D4398" w:rsidRDefault="00FF07B1" w:rsidP="00887DB7">
            <w:pPr>
              <w:jc w:val="both"/>
              <w:rPr>
                <w:rFonts w:cstheme="minorHAnsi"/>
              </w:rPr>
            </w:pPr>
            <w:r w:rsidRPr="002D4398">
              <w:rPr>
                <w:rFonts w:cstheme="minorHAnsi"/>
              </w:rPr>
              <w:t>(</w:t>
            </w:r>
            <w:r w:rsidR="002A1F38" w:rsidRPr="002D4398">
              <w:rPr>
                <w:rFonts w:cstheme="minorHAnsi"/>
              </w:rPr>
              <w:t>6</w:t>
            </w:r>
            <w:r w:rsidRPr="002D4398">
              <w:rPr>
                <w:rFonts w:cstheme="minorHAnsi"/>
              </w:rPr>
              <w:t>2.</w:t>
            </w:r>
            <w:r w:rsidR="002A1F38" w:rsidRPr="002D4398">
              <w:rPr>
                <w:rFonts w:cstheme="minorHAnsi"/>
              </w:rPr>
              <w:t>60</w:t>
            </w:r>
            <w:r w:rsidRPr="002D4398">
              <w:rPr>
                <w:rFonts w:cstheme="minorHAnsi"/>
              </w:rPr>
              <w:t>)</w:t>
            </w:r>
          </w:p>
          <w:p w14:paraId="7D574E49" w14:textId="77777777" w:rsidR="002D51DA" w:rsidRPr="002D4398" w:rsidRDefault="002D51DA" w:rsidP="00887DB7">
            <w:pPr>
              <w:jc w:val="both"/>
              <w:rPr>
                <w:rFonts w:cstheme="minorHAnsi"/>
              </w:rPr>
            </w:pPr>
            <w:r w:rsidRPr="002D4398">
              <w:rPr>
                <w:rFonts w:cstheme="minorHAnsi"/>
              </w:rPr>
              <w:t>0.855</w:t>
            </w:r>
          </w:p>
          <w:p w14:paraId="4769C2AD" w14:textId="26CE9A3D" w:rsidR="002D51DA" w:rsidRPr="002D4398" w:rsidRDefault="002D51DA" w:rsidP="00887DB7">
            <w:pPr>
              <w:jc w:val="both"/>
              <w:rPr>
                <w:rFonts w:cstheme="minorHAnsi"/>
              </w:rPr>
            </w:pPr>
            <w:r w:rsidRPr="002D4398">
              <w:rPr>
                <w:rFonts w:cstheme="minorHAnsi"/>
              </w:rPr>
              <w:t>(31.23)</w:t>
            </w:r>
          </w:p>
        </w:tc>
        <w:tc>
          <w:tcPr>
            <w:tcW w:w="868" w:type="dxa"/>
            <w:tcBorders>
              <w:bottom w:val="single" w:sz="4" w:space="0" w:color="auto"/>
            </w:tcBorders>
          </w:tcPr>
          <w:p w14:paraId="3F5E3CA4" w14:textId="5FF0733F" w:rsidR="00FF07B1" w:rsidRPr="002D4398" w:rsidRDefault="00FF07B1" w:rsidP="00887DB7">
            <w:pPr>
              <w:jc w:val="both"/>
              <w:rPr>
                <w:rFonts w:cstheme="minorHAnsi"/>
              </w:rPr>
            </w:pPr>
            <w:r w:rsidRPr="002D4398">
              <w:rPr>
                <w:rFonts w:cstheme="minorHAnsi"/>
              </w:rPr>
              <w:t>(0.0</w:t>
            </w:r>
            <w:r w:rsidR="002A1F38" w:rsidRPr="002D4398">
              <w:rPr>
                <w:rFonts w:cstheme="minorHAnsi"/>
              </w:rPr>
              <w:t>0</w:t>
            </w:r>
            <w:r w:rsidRPr="002D4398">
              <w:rPr>
                <w:rFonts w:cstheme="minorHAnsi"/>
              </w:rPr>
              <w:t>)</w:t>
            </w:r>
          </w:p>
          <w:p w14:paraId="1D493898" w14:textId="20E557E5" w:rsidR="00FF07B1" w:rsidRPr="002D4398" w:rsidRDefault="00FF07B1" w:rsidP="00887DB7">
            <w:pPr>
              <w:jc w:val="both"/>
              <w:rPr>
                <w:rFonts w:cstheme="minorHAnsi"/>
              </w:rPr>
            </w:pPr>
            <w:r w:rsidRPr="002D4398">
              <w:rPr>
                <w:rFonts w:cstheme="minorHAnsi"/>
              </w:rPr>
              <w:t>-0.0</w:t>
            </w:r>
            <w:r w:rsidR="002A1F38" w:rsidRPr="002D4398">
              <w:rPr>
                <w:rFonts w:cstheme="minorHAnsi"/>
              </w:rPr>
              <w:t>96</w:t>
            </w:r>
          </w:p>
          <w:p w14:paraId="57FAC4AE" w14:textId="77777777" w:rsidR="00FF07B1" w:rsidRPr="002D4398" w:rsidRDefault="00FF07B1" w:rsidP="00887DB7">
            <w:pPr>
              <w:jc w:val="both"/>
              <w:rPr>
                <w:rFonts w:cstheme="minorHAnsi"/>
              </w:rPr>
            </w:pPr>
            <w:r w:rsidRPr="002D4398">
              <w:rPr>
                <w:rFonts w:cstheme="minorHAnsi"/>
              </w:rPr>
              <w:t>(-</w:t>
            </w:r>
            <w:r w:rsidR="002A1F38" w:rsidRPr="002D4398">
              <w:rPr>
                <w:rFonts w:cstheme="minorHAnsi"/>
              </w:rPr>
              <w:t>3.92</w:t>
            </w:r>
            <w:r w:rsidRPr="002D4398">
              <w:rPr>
                <w:rFonts w:cstheme="minorHAnsi"/>
              </w:rPr>
              <w:t>)</w:t>
            </w:r>
          </w:p>
          <w:p w14:paraId="1B0BC8A8" w14:textId="77777777" w:rsidR="002D51DA" w:rsidRPr="002D4398" w:rsidRDefault="002D51DA" w:rsidP="00887DB7">
            <w:pPr>
              <w:jc w:val="both"/>
              <w:rPr>
                <w:rFonts w:cstheme="minorHAnsi"/>
              </w:rPr>
            </w:pPr>
            <w:r w:rsidRPr="002D4398">
              <w:rPr>
                <w:rFonts w:cstheme="minorHAnsi"/>
              </w:rPr>
              <w:t>-0.001</w:t>
            </w:r>
          </w:p>
          <w:p w14:paraId="1D0CF0F8" w14:textId="4AB0638F" w:rsidR="002D51DA" w:rsidRPr="002D4398" w:rsidRDefault="002D51DA" w:rsidP="00887DB7">
            <w:pPr>
              <w:jc w:val="both"/>
              <w:rPr>
                <w:rFonts w:cstheme="minorHAnsi"/>
              </w:rPr>
            </w:pPr>
            <w:r w:rsidRPr="002D4398">
              <w:rPr>
                <w:rFonts w:cstheme="minorHAnsi"/>
              </w:rPr>
              <w:t>(0.00)</w:t>
            </w:r>
          </w:p>
        </w:tc>
        <w:tc>
          <w:tcPr>
            <w:tcW w:w="852" w:type="dxa"/>
            <w:tcBorders>
              <w:bottom w:val="single" w:sz="4" w:space="0" w:color="auto"/>
            </w:tcBorders>
          </w:tcPr>
          <w:p w14:paraId="14851417" w14:textId="505FAC73" w:rsidR="00FF07B1" w:rsidRPr="002D4398" w:rsidRDefault="00FF07B1" w:rsidP="00887DB7">
            <w:pPr>
              <w:jc w:val="both"/>
              <w:rPr>
                <w:rFonts w:cstheme="minorHAnsi"/>
              </w:rPr>
            </w:pPr>
            <w:r w:rsidRPr="002D4398">
              <w:rPr>
                <w:rFonts w:cstheme="minorHAnsi"/>
              </w:rPr>
              <w:t>(</w:t>
            </w:r>
            <w:r w:rsidR="002A1F38" w:rsidRPr="002D4398">
              <w:rPr>
                <w:rFonts w:cstheme="minorHAnsi"/>
              </w:rPr>
              <w:t>0.05</w:t>
            </w:r>
            <w:r w:rsidRPr="002D4398">
              <w:rPr>
                <w:rFonts w:cstheme="minorHAnsi"/>
              </w:rPr>
              <w:t>)</w:t>
            </w:r>
          </w:p>
          <w:p w14:paraId="50608075" w14:textId="053EA7DD" w:rsidR="00FF07B1" w:rsidRPr="002D4398" w:rsidRDefault="00FF07B1" w:rsidP="00887DB7">
            <w:pPr>
              <w:jc w:val="both"/>
              <w:rPr>
                <w:rFonts w:cstheme="minorHAnsi"/>
              </w:rPr>
            </w:pPr>
            <w:r w:rsidRPr="002D4398">
              <w:rPr>
                <w:rFonts w:cstheme="minorHAnsi"/>
              </w:rPr>
              <w:t>0.0</w:t>
            </w:r>
            <w:r w:rsidR="002A1F38" w:rsidRPr="002D4398">
              <w:rPr>
                <w:rFonts w:cstheme="minorHAnsi"/>
              </w:rPr>
              <w:t>00</w:t>
            </w:r>
          </w:p>
          <w:p w14:paraId="52F3298E" w14:textId="77777777" w:rsidR="00FF07B1" w:rsidRPr="002D4398" w:rsidRDefault="00FF07B1" w:rsidP="00887DB7">
            <w:pPr>
              <w:jc w:val="both"/>
              <w:rPr>
                <w:rFonts w:cstheme="minorHAnsi"/>
              </w:rPr>
            </w:pPr>
            <w:r w:rsidRPr="002D4398">
              <w:rPr>
                <w:rFonts w:cstheme="minorHAnsi"/>
              </w:rPr>
              <w:t>(0.0</w:t>
            </w:r>
            <w:r w:rsidR="002A1F38" w:rsidRPr="002D4398">
              <w:rPr>
                <w:rFonts w:cstheme="minorHAnsi"/>
              </w:rPr>
              <w:t>0</w:t>
            </w:r>
            <w:r w:rsidRPr="002D4398">
              <w:rPr>
                <w:rFonts w:cstheme="minorHAnsi"/>
              </w:rPr>
              <w:t>)</w:t>
            </w:r>
          </w:p>
          <w:p w14:paraId="47396301" w14:textId="77777777" w:rsidR="002D51DA" w:rsidRPr="002D4398" w:rsidRDefault="002D51DA" w:rsidP="00887DB7">
            <w:pPr>
              <w:jc w:val="both"/>
              <w:rPr>
                <w:rFonts w:cstheme="minorHAnsi"/>
              </w:rPr>
            </w:pPr>
            <w:r w:rsidRPr="002D4398">
              <w:rPr>
                <w:rFonts w:cstheme="minorHAnsi"/>
              </w:rPr>
              <w:t>1.542</w:t>
            </w:r>
          </w:p>
          <w:p w14:paraId="212CFAFF" w14:textId="282537EC" w:rsidR="002D51DA" w:rsidRPr="002D4398" w:rsidRDefault="002D51DA" w:rsidP="00887DB7">
            <w:pPr>
              <w:jc w:val="both"/>
              <w:rPr>
                <w:rFonts w:cstheme="minorHAnsi"/>
              </w:rPr>
            </w:pPr>
            <w:r w:rsidRPr="002D4398">
              <w:rPr>
                <w:rFonts w:cstheme="minorHAnsi"/>
              </w:rPr>
              <w:t>(0.05)</w:t>
            </w:r>
          </w:p>
        </w:tc>
        <w:tc>
          <w:tcPr>
            <w:tcW w:w="1121" w:type="dxa"/>
            <w:tcBorders>
              <w:bottom w:val="single" w:sz="4" w:space="0" w:color="auto"/>
            </w:tcBorders>
          </w:tcPr>
          <w:p w14:paraId="55A5D117" w14:textId="59B6F340" w:rsidR="00FF07B1" w:rsidRPr="002D4398" w:rsidRDefault="00FF07B1" w:rsidP="00887DB7">
            <w:pPr>
              <w:jc w:val="both"/>
              <w:rPr>
                <w:rFonts w:cstheme="minorHAnsi"/>
              </w:rPr>
            </w:pPr>
            <w:r w:rsidRPr="002D4398">
              <w:rPr>
                <w:rFonts w:cstheme="minorHAnsi"/>
              </w:rPr>
              <w:t>(</w:t>
            </w:r>
            <w:r w:rsidR="002A1F38" w:rsidRPr="002D4398">
              <w:rPr>
                <w:rFonts w:cstheme="minorHAnsi"/>
              </w:rPr>
              <w:t>0.77</w:t>
            </w:r>
            <w:r w:rsidRPr="002D4398">
              <w:rPr>
                <w:rFonts w:cstheme="minorHAnsi"/>
              </w:rPr>
              <w:t>)</w:t>
            </w:r>
          </w:p>
          <w:p w14:paraId="555351FF" w14:textId="589E3E76" w:rsidR="00FF07B1" w:rsidRPr="002D4398" w:rsidRDefault="002A1F38" w:rsidP="00887DB7">
            <w:pPr>
              <w:jc w:val="both"/>
              <w:rPr>
                <w:rFonts w:cstheme="minorHAnsi"/>
              </w:rPr>
            </w:pPr>
            <w:r w:rsidRPr="002D4398">
              <w:rPr>
                <w:rFonts w:cstheme="minorHAnsi"/>
              </w:rPr>
              <w:t>1.057</w:t>
            </w:r>
          </w:p>
          <w:p w14:paraId="0584E99A" w14:textId="77777777" w:rsidR="00FF07B1" w:rsidRPr="002D4398" w:rsidRDefault="00FF07B1" w:rsidP="00887DB7">
            <w:pPr>
              <w:jc w:val="both"/>
              <w:rPr>
                <w:rFonts w:cstheme="minorHAnsi"/>
              </w:rPr>
            </w:pPr>
            <w:r w:rsidRPr="002D4398">
              <w:rPr>
                <w:rFonts w:cstheme="minorHAnsi"/>
              </w:rPr>
              <w:t>(</w:t>
            </w:r>
            <w:r w:rsidR="002A1F38" w:rsidRPr="002D4398">
              <w:rPr>
                <w:rFonts w:cstheme="minorHAnsi"/>
              </w:rPr>
              <w:t>2.21</w:t>
            </w:r>
            <w:r w:rsidRPr="002D4398">
              <w:rPr>
                <w:rFonts w:cstheme="minorHAnsi"/>
              </w:rPr>
              <w:t>)</w:t>
            </w:r>
          </w:p>
          <w:p w14:paraId="2748B541" w14:textId="77777777" w:rsidR="002D51DA" w:rsidRPr="002D4398" w:rsidRDefault="002D51DA" w:rsidP="00887DB7">
            <w:pPr>
              <w:jc w:val="both"/>
              <w:rPr>
                <w:rFonts w:cstheme="minorHAnsi"/>
              </w:rPr>
            </w:pPr>
            <w:r w:rsidRPr="002D4398">
              <w:rPr>
                <w:rFonts w:cstheme="minorHAnsi"/>
              </w:rPr>
              <w:t>1.023</w:t>
            </w:r>
          </w:p>
          <w:p w14:paraId="787D7A07" w14:textId="4B989A4D" w:rsidR="002D51DA" w:rsidRPr="002D4398" w:rsidRDefault="002D51DA" w:rsidP="00887DB7">
            <w:pPr>
              <w:jc w:val="both"/>
              <w:rPr>
                <w:rFonts w:cstheme="minorHAnsi"/>
              </w:rPr>
            </w:pPr>
            <w:r w:rsidRPr="002D4398">
              <w:rPr>
                <w:rFonts w:cstheme="minorHAnsi"/>
              </w:rPr>
              <w:t>(0.84)</w:t>
            </w:r>
          </w:p>
        </w:tc>
        <w:tc>
          <w:tcPr>
            <w:tcW w:w="852" w:type="dxa"/>
            <w:tcBorders>
              <w:bottom w:val="single" w:sz="4" w:space="0" w:color="auto"/>
            </w:tcBorders>
          </w:tcPr>
          <w:p w14:paraId="00BF48F2" w14:textId="68DFDAF7" w:rsidR="00FF07B1" w:rsidRPr="002D4398" w:rsidRDefault="00FF07B1" w:rsidP="00887DB7">
            <w:pPr>
              <w:jc w:val="both"/>
              <w:rPr>
                <w:rFonts w:cstheme="minorHAnsi"/>
              </w:rPr>
            </w:pPr>
            <w:r w:rsidRPr="002D4398">
              <w:rPr>
                <w:rFonts w:cstheme="minorHAnsi"/>
              </w:rPr>
              <w:t>(</w:t>
            </w:r>
            <w:r w:rsidR="002A1F38" w:rsidRPr="002D4398">
              <w:rPr>
                <w:rFonts w:cstheme="minorHAnsi"/>
              </w:rPr>
              <w:t>1.50</w:t>
            </w:r>
            <w:r w:rsidRPr="002D4398">
              <w:rPr>
                <w:rFonts w:cstheme="minorHAnsi"/>
              </w:rPr>
              <w:t>)</w:t>
            </w:r>
          </w:p>
          <w:p w14:paraId="455E1CB1" w14:textId="333B5B76" w:rsidR="00FF07B1" w:rsidRPr="002D4398" w:rsidRDefault="00FF07B1" w:rsidP="00887DB7">
            <w:pPr>
              <w:jc w:val="both"/>
              <w:rPr>
                <w:rFonts w:cstheme="minorHAnsi"/>
              </w:rPr>
            </w:pPr>
            <w:r w:rsidRPr="002D4398">
              <w:rPr>
                <w:rFonts w:cstheme="minorHAnsi"/>
              </w:rPr>
              <w:t>0.</w:t>
            </w:r>
            <w:r w:rsidR="002A1F38" w:rsidRPr="002D4398">
              <w:rPr>
                <w:rFonts w:cstheme="minorHAnsi"/>
              </w:rPr>
              <w:t>376</w:t>
            </w:r>
          </w:p>
          <w:p w14:paraId="467F95A8" w14:textId="301D03BB" w:rsidR="00FF07B1" w:rsidRPr="002D4398" w:rsidRDefault="00FF07B1" w:rsidP="00887DB7">
            <w:pPr>
              <w:jc w:val="both"/>
              <w:rPr>
                <w:rFonts w:cstheme="minorHAnsi"/>
              </w:rPr>
            </w:pPr>
            <w:r w:rsidRPr="002D4398">
              <w:rPr>
                <w:rFonts w:cstheme="minorHAnsi"/>
              </w:rPr>
              <w:t>(</w:t>
            </w:r>
            <w:r w:rsidR="002A1F38" w:rsidRPr="002D4398">
              <w:rPr>
                <w:rFonts w:cstheme="minorHAnsi"/>
              </w:rPr>
              <w:t>2.50</w:t>
            </w:r>
            <w:r w:rsidRPr="002D4398">
              <w:rPr>
                <w:rFonts w:cstheme="minorHAnsi"/>
              </w:rPr>
              <w:t>)</w:t>
            </w:r>
          </w:p>
          <w:p w14:paraId="11BEF696" w14:textId="555D7440" w:rsidR="002D51DA" w:rsidRPr="002D4398" w:rsidRDefault="002D51DA" w:rsidP="00887DB7">
            <w:pPr>
              <w:jc w:val="both"/>
              <w:rPr>
                <w:rFonts w:cstheme="minorHAnsi"/>
              </w:rPr>
            </w:pPr>
            <w:r w:rsidRPr="002D4398">
              <w:rPr>
                <w:rFonts w:cstheme="minorHAnsi"/>
              </w:rPr>
              <w:t>0.376</w:t>
            </w:r>
          </w:p>
          <w:p w14:paraId="7B9065FE" w14:textId="1AE707A8" w:rsidR="002D51DA" w:rsidRPr="002D4398" w:rsidRDefault="002D51DA" w:rsidP="00887DB7">
            <w:pPr>
              <w:jc w:val="both"/>
              <w:rPr>
                <w:rFonts w:cstheme="minorHAnsi"/>
              </w:rPr>
            </w:pPr>
            <w:r w:rsidRPr="002D4398">
              <w:rPr>
                <w:rFonts w:cstheme="minorHAnsi"/>
              </w:rPr>
              <w:t>(1.61)</w:t>
            </w:r>
          </w:p>
          <w:p w14:paraId="60EBDCAF" w14:textId="77777777" w:rsidR="002D51DA" w:rsidRPr="002D4398" w:rsidRDefault="002D51DA" w:rsidP="00887DB7">
            <w:pPr>
              <w:jc w:val="both"/>
              <w:rPr>
                <w:rFonts w:cstheme="minorHAnsi"/>
              </w:rPr>
            </w:pPr>
          </w:p>
          <w:p w14:paraId="279D2DCB" w14:textId="77777777" w:rsidR="00FF07B1" w:rsidRPr="002D4398" w:rsidRDefault="00FF07B1" w:rsidP="00887DB7">
            <w:pPr>
              <w:jc w:val="both"/>
              <w:rPr>
                <w:rFonts w:cstheme="minorHAnsi"/>
              </w:rPr>
            </w:pPr>
          </w:p>
        </w:tc>
        <w:tc>
          <w:tcPr>
            <w:tcW w:w="719" w:type="dxa"/>
            <w:tcBorders>
              <w:bottom w:val="single" w:sz="4" w:space="0" w:color="auto"/>
            </w:tcBorders>
          </w:tcPr>
          <w:p w14:paraId="53F27D77" w14:textId="77777777" w:rsidR="00FF07B1" w:rsidRPr="002D4398" w:rsidRDefault="00FF07B1" w:rsidP="00887DB7">
            <w:pPr>
              <w:jc w:val="both"/>
              <w:rPr>
                <w:rFonts w:cstheme="minorHAnsi"/>
              </w:rPr>
            </w:pPr>
          </w:p>
          <w:p w14:paraId="18C42B54" w14:textId="6D9D9368" w:rsidR="00FF07B1" w:rsidRPr="002D4398" w:rsidRDefault="00FF07B1" w:rsidP="00887DB7">
            <w:pPr>
              <w:jc w:val="both"/>
              <w:rPr>
                <w:rFonts w:cstheme="minorHAnsi"/>
              </w:rPr>
            </w:pPr>
            <w:r w:rsidRPr="002D4398">
              <w:rPr>
                <w:rFonts w:cstheme="minorHAnsi"/>
              </w:rPr>
              <w:t>0.9</w:t>
            </w:r>
            <w:r w:rsidR="002A1F38" w:rsidRPr="002D4398">
              <w:rPr>
                <w:rFonts w:cstheme="minorHAnsi"/>
              </w:rPr>
              <w:t>8</w:t>
            </w:r>
          </w:p>
          <w:p w14:paraId="595A5582" w14:textId="77777777" w:rsidR="002D51DA" w:rsidRPr="002D4398" w:rsidRDefault="002D51DA" w:rsidP="00887DB7">
            <w:pPr>
              <w:jc w:val="both"/>
              <w:rPr>
                <w:rFonts w:cstheme="minorHAnsi"/>
              </w:rPr>
            </w:pPr>
          </w:p>
          <w:p w14:paraId="06AF7520" w14:textId="5E91B648" w:rsidR="002D51DA" w:rsidRPr="002D4398" w:rsidRDefault="002D51DA" w:rsidP="00887DB7">
            <w:pPr>
              <w:jc w:val="both"/>
              <w:rPr>
                <w:rFonts w:cstheme="minorHAnsi"/>
              </w:rPr>
            </w:pPr>
            <w:r w:rsidRPr="002D4398">
              <w:rPr>
                <w:rFonts w:cstheme="minorHAnsi"/>
              </w:rPr>
              <w:t>0.97</w:t>
            </w:r>
          </w:p>
          <w:p w14:paraId="38BEFAFA" w14:textId="77777777" w:rsidR="00FF07B1" w:rsidRPr="002D4398" w:rsidRDefault="00FF07B1" w:rsidP="00887DB7">
            <w:pPr>
              <w:jc w:val="both"/>
              <w:rPr>
                <w:rFonts w:cstheme="minorHAnsi"/>
              </w:rPr>
            </w:pPr>
          </w:p>
          <w:p w14:paraId="11AF0AE9" w14:textId="77777777" w:rsidR="00FF07B1" w:rsidRPr="002D4398" w:rsidRDefault="00FF07B1" w:rsidP="00887DB7">
            <w:pPr>
              <w:jc w:val="both"/>
              <w:rPr>
                <w:rFonts w:cstheme="minorHAnsi"/>
              </w:rPr>
            </w:pPr>
          </w:p>
        </w:tc>
        <w:tc>
          <w:tcPr>
            <w:tcW w:w="719" w:type="dxa"/>
            <w:tcBorders>
              <w:bottom w:val="single" w:sz="4" w:space="0" w:color="auto"/>
            </w:tcBorders>
          </w:tcPr>
          <w:p w14:paraId="03424811" w14:textId="77777777" w:rsidR="00FF07B1" w:rsidRPr="002D4398" w:rsidRDefault="00FF07B1" w:rsidP="00887DB7">
            <w:pPr>
              <w:jc w:val="both"/>
              <w:rPr>
                <w:rFonts w:cstheme="minorHAnsi"/>
              </w:rPr>
            </w:pPr>
          </w:p>
          <w:p w14:paraId="15DA819E" w14:textId="77777777" w:rsidR="00FF07B1" w:rsidRPr="002D4398" w:rsidRDefault="00FF07B1" w:rsidP="00887DB7">
            <w:pPr>
              <w:jc w:val="both"/>
              <w:rPr>
                <w:rFonts w:cstheme="minorHAnsi"/>
              </w:rPr>
            </w:pPr>
            <w:r w:rsidRPr="002D4398">
              <w:rPr>
                <w:rFonts w:cstheme="minorHAnsi"/>
              </w:rPr>
              <w:t>1.</w:t>
            </w:r>
            <w:r w:rsidR="002A1F38" w:rsidRPr="002D4398">
              <w:rPr>
                <w:rFonts w:cstheme="minorHAnsi"/>
              </w:rPr>
              <w:t>86</w:t>
            </w:r>
          </w:p>
          <w:p w14:paraId="1865B58C" w14:textId="77777777" w:rsidR="002D51DA" w:rsidRPr="002D4398" w:rsidRDefault="002D51DA" w:rsidP="00887DB7">
            <w:pPr>
              <w:jc w:val="both"/>
              <w:rPr>
                <w:rFonts w:cstheme="minorHAnsi"/>
              </w:rPr>
            </w:pPr>
          </w:p>
          <w:p w14:paraId="20D3693A" w14:textId="53163719" w:rsidR="002D51DA" w:rsidRPr="002D4398" w:rsidRDefault="002D51DA" w:rsidP="00887DB7">
            <w:pPr>
              <w:jc w:val="both"/>
              <w:rPr>
                <w:rFonts w:cstheme="minorHAnsi"/>
              </w:rPr>
            </w:pPr>
            <w:r w:rsidRPr="002D4398">
              <w:rPr>
                <w:rFonts w:cstheme="minorHAnsi"/>
              </w:rPr>
              <w:t>0.89</w:t>
            </w:r>
          </w:p>
        </w:tc>
        <w:tc>
          <w:tcPr>
            <w:tcW w:w="1795" w:type="dxa"/>
            <w:tcBorders>
              <w:bottom w:val="single" w:sz="4" w:space="0" w:color="auto"/>
            </w:tcBorders>
          </w:tcPr>
          <w:p w14:paraId="6978A0A0" w14:textId="77777777" w:rsidR="00FF07B1" w:rsidRPr="002D4398" w:rsidRDefault="00FF07B1" w:rsidP="00887DB7">
            <w:pPr>
              <w:jc w:val="both"/>
              <w:rPr>
                <w:rFonts w:cstheme="minorHAnsi"/>
              </w:rPr>
            </w:pPr>
          </w:p>
          <w:p w14:paraId="16BBE967" w14:textId="0301036E" w:rsidR="00FF07B1" w:rsidRPr="002D4398" w:rsidRDefault="00FF07B1" w:rsidP="00887DB7">
            <w:pPr>
              <w:jc w:val="both"/>
              <w:rPr>
                <w:rFonts w:cstheme="minorHAnsi"/>
              </w:rPr>
            </w:pPr>
            <w:r w:rsidRPr="002D4398">
              <w:rPr>
                <w:rFonts w:cstheme="minorHAnsi"/>
              </w:rPr>
              <w:t>LSQ</w:t>
            </w:r>
            <w:r w:rsidR="008A5B65">
              <w:rPr>
                <w:rFonts w:cstheme="minorHAnsi"/>
              </w:rPr>
              <w:t>-AR1</w:t>
            </w:r>
          </w:p>
          <w:p w14:paraId="107D85C7" w14:textId="77777777" w:rsidR="002D51DA" w:rsidRPr="002D4398" w:rsidRDefault="002D51DA" w:rsidP="00887DB7">
            <w:pPr>
              <w:jc w:val="both"/>
              <w:rPr>
                <w:rFonts w:cstheme="minorHAnsi"/>
              </w:rPr>
            </w:pPr>
          </w:p>
          <w:p w14:paraId="12566EAB" w14:textId="77777777" w:rsidR="002D51DA" w:rsidRDefault="002D51DA" w:rsidP="00887DB7">
            <w:pPr>
              <w:jc w:val="both"/>
              <w:rPr>
                <w:rFonts w:cstheme="minorHAnsi"/>
              </w:rPr>
            </w:pPr>
            <w:r w:rsidRPr="002D4398">
              <w:rPr>
                <w:rFonts w:cstheme="minorHAnsi"/>
              </w:rPr>
              <w:t>SUR-AR1</w:t>
            </w:r>
          </w:p>
          <w:p w14:paraId="53B700B3" w14:textId="0461F8C6" w:rsidR="002D51DA" w:rsidRPr="003711B1" w:rsidRDefault="002D51DA" w:rsidP="00887DB7">
            <w:pPr>
              <w:jc w:val="both"/>
              <w:rPr>
                <w:rFonts w:cstheme="minorHAnsi"/>
              </w:rPr>
            </w:pPr>
          </w:p>
        </w:tc>
      </w:tr>
    </w:tbl>
    <w:p w14:paraId="35A2C639" w14:textId="77777777" w:rsidR="00FF07B1" w:rsidRDefault="00FF07B1" w:rsidP="00FF07B1">
      <w:pPr>
        <w:jc w:val="center"/>
        <w:rPr>
          <w:rFonts w:cstheme="minorHAnsi"/>
          <w:sz w:val="20"/>
          <w:szCs w:val="20"/>
        </w:rPr>
      </w:pPr>
      <w:r w:rsidRPr="003711B1">
        <w:rPr>
          <w:rFonts w:cstheme="minorHAnsi"/>
          <w:i/>
          <w:iCs/>
          <w:sz w:val="20"/>
          <w:szCs w:val="20"/>
        </w:rPr>
        <w:t>Note</w:t>
      </w:r>
      <w:r w:rsidRPr="003711B1">
        <w:rPr>
          <w:rFonts w:cstheme="minorHAnsi"/>
          <w:sz w:val="20"/>
          <w:szCs w:val="20"/>
        </w:rPr>
        <w:t xml:space="preserve">: </w:t>
      </w:r>
      <w:proofErr w:type="gramStart"/>
      <w:r w:rsidRPr="003711B1">
        <w:rPr>
          <w:rFonts w:cstheme="minorHAnsi"/>
          <w:sz w:val="20"/>
          <w:szCs w:val="20"/>
        </w:rPr>
        <w:t>All t</w:t>
      </w:r>
      <w:proofErr w:type="gramEnd"/>
      <w:r w:rsidRPr="003711B1">
        <w:rPr>
          <w:rFonts w:cstheme="minorHAnsi"/>
          <w:sz w:val="20"/>
          <w:szCs w:val="20"/>
        </w:rPr>
        <w:t>-statistics are tested at the 5% level of significance</w:t>
      </w:r>
      <w:r>
        <w:rPr>
          <w:rFonts w:cstheme="minorHAnsi"/>
          <w:sz w:val="20"/>
          <w:szCs w:val="20"/>
        </w:rPr>
        <w:t>.</w:t>
      </w:r>
      <w:r w:rsidRPr="003711B1">
        <w:rPr>
          <w:rFonts w:cstheme="minorHAnsi"/>
          <w:sz w:val="20"/>
          <w:szCs w:val="20"/>
        </w:rPr>
        <w:t xml:space="preserve"> Values in brackets are t-statistics</w:t>
      </w:r>
      <w:r>
        <w:rPr>
          <w:rFonts w:cstheme="minorHAnsi"/>
          <w:sz w:val="20"/>
          <w:szCs w:val="20"/>
        </w:rPr>
        <w:t>.</w:t>
      </w:r>
    </w:p>
    <w:p w14:paraId="409B39E5" w14:textId="77777777" w:rsidR="00FF07B1" w:rsidRDefault="00FF07B1" w:rsidP="00FF07B1">
      <w:pPr>
        <w:jc w:val="both"/>
        <w:rPr>
          <w:rFonts w:cstheme="minorHAnsi"/>
          <w:sz w:val="20"/>
          <w:szCs w:val="20"/>
        </w:rPr>
      </w:pPr>
    </w:p>
    <w:p w14:paraId="17F1D475" w14:textId="4B86DF5E" w:rsidR="00BE33C0" w:rsidRPr="00661BD2" w:rsidRDefault="00BE33C0" w:rsidP="00661BD2">
      <w:pPr>
        <w:jc w:val="both"/>
        <w:rPr>
          <w:rFonts w:eastAsia="Calibri" w:cs="Calibri"/>
        </w:rPr>
        <w:sectPr w:rsidR="00BE33C0" w:rsidRPr="00661BD2" w:rsidSect="00D34327">
          <w:type w:val="continuous"/>
          <w:pgSz w:w="16840" w:h="11900" w:orient="landscape" w:code="9"/>
          <w:pgMar w:top="1440" w:right="1440" w:bottom="1440" w:left="1440" w:header="680" w:footer="680" w:gutter="0"/>
          <w:cols w:space="720"/>
          <w:docGrid w:linePitch="299"/>
        </w:sectPr>
      </w:pPr>
    </w:p>
    <w:p w14:paraId="59F84288" w14:textId="77777777" w:rsidR="00DC0512" w:rsidRPr="00661BD2" w:rsidRDefault="00DC0512" w:rsidP="00DC0512">
      <w:pPr>
        <w:pStyle w:val="BodyText"/>
        <w:ind w:left="0"/>
        <w:jc w:val="both"/>
        <w:rPr>
          <w:rFonts w:asciiTheme="minorHAnsi" w:hAnsiTheme="minorHAnsi" w:cs="Calibri"/>
          <w:sz w:val="22"/>
          <w:szCs w:val="22"/>
        </w:rPr>
      </w:pPr>
      <w:r>
        <w:rPr>
          <w:rFonts w:asciiTheme="minorHAnsi" w:hAnsiTheme="minorHAnsi"/>
          <w:sz w:val="22"/>
          <w:szCs w:val="22"/>
        </w:rPr>
        <w:lastRenderedPageBreak/>
        <w:t xml:space="preserve">9, 10, 11 and 12, where the restriction may be placed on just one coefficient if it is typically negative when unrestricted, or both. </w:t>
      </w:r>
    </w:p>
    <w:p w14:paraId="241D36D2" w14:textId="77777777" w:rsidR="00DC0512" w:rsidRPr="00661BD2" w:rsidRDefault="00DC0512" w:rsidP="00DC0512">
      <w:pPr>
        <w:jc w:val="both"/>
        <w:rPr>
          <w:rFonts w:eastAsia="Calibri" w:cs="Calibri"/>
        </w:rPr>
      </w:pPr>
    </w:p>
    <w:p w14:paraId="134E97BB" w14:textId="5FB6015D" w:rsidR="00B7150E" w:rsidRDefault="00DC0512" w:rsidP="00B7150E">
      <w:pPr>
        <w:pStyle w:val="BodyText"/>
        <w:ind w:left="0"/>
        <w:jc w:val="both"/>
        <w:rPr>
          <w:rFonts w:asciiTheme="minorHAnsi" w:hAnsiTheme="minorHAnsi" w:cs="Calibri"/>
          <w:sz w:val="22"/>
          <w:szCs w:val="22"/>
        </w:rPr>
      </w:pPr>
      <w:r>
        <w:rPr>
          <w:rFonts w:asciiTheme="minorHAnsi" w:hAnsiTheme="minorHAnsi" w:cs="Calibri"/>
          <w:sz w:val="22"/>
          <w:szCs w:val="22"/>
        </w:rPr>
        <w:t>Every beef and lamb restricted</w:t>
      </w:r>
      <w:r w:rsidRPr="00661BD2">
        <w:rPr>
          <w:rFonts w:asciiTheme="minorHAnsi" w:hAnsiTheme="minorHAnsi" w:cs="Calibri"/>
          <w:sz w:val="22"/>
          <w:szCs w:val="22"/>
        </w:rPr>
        <w:t xml:space="preserve"> regression </w:t>
      </w:r>
      <w:r>
        <w:rPr>
          <w:rFonts w:asciiTheme="minorHAnsi" w:hAnsiTheme="minorHAnsi" w:cs="Calibri"/>
          <w:sz w:val="22"/>
          <w:szCs w:val="22"/>
        </w:rPr>
        <w:t xml:space="preserve">equation </w:t>
      </w:r>
      <w:r w:rsidRPr="00661BD2">
        <w:rPr>
          <w:rFonts w:asciiTheme="minorHAnsi" w:hAnsiTheme="minorHAnsi" w:cs="Calibri"/>
          <w:sz w:val="22"/>
          <w:szCs w:val="22"/>
        </w:rPr>
        <w:t xml:space="preserve">with autocorrelation correction and </w:t>
      </w:r>
      <w:r>
        <w:rPr>
          <w:rFonts w:asciiTheme="minorHAnsi" w:hAnsiTheme="minorHAnsi" w:cs="Calibri"/>
          <w:sz w:val="22"/>
          <w:szCs w:val="22"/>
        </w:rPr>
        <w:t xml:space="preserve">imposed </w:t>
      </w:r>
      <w:r w:rsidRPr="00661BD2">
        <w:rPr>
          <w:rFonts w:asciiTheme="minorHAnsi" w:hAnsiTheme="minorHAnsi" w:cs="Calibri"/>
          <w:sz w:val="22"/>
          <w:szCs w:val="22"/>
        </w:rPr>
        <w:t>non-negativ</w:t>
      </w:r>
      <w:r>
        <w:rPr>
          <w:rFonts w:asciiTheme="minorHAnsi" w:hAnsiTheme="minorHAnsi" w:cs="Calibri"/>
          <w:sz w:val="22"/>
          <w:szCs w:val="22"/>
        </w:rPr>
        <w:t>ity</w:t>
      </w:r>
      <w:r w:rsidRPr="00661BD2">
        <w:rPr>
          <w:rFonts w:asciiTheme="minorHAnsi" w:hAnsiTheme="minorHAnsi" w:cs="Calibri"/>
          <w:sz w:val="22"/>
          <w:szCs w:val="22"/>
        </w:rPr>
        <w:t xml:space="preserve"> showed input and out</w:t>
      </w:r>
      <w:r>
        <w:rPr>
          <w:rFonts w:asciiTheme="minorHAnsi" w:hAnsiTheme="minorHAnsi" w:cs="Calibri"/>
          <w:sz w:val="22"/>
          <w:szCs w:val="22"/>
        </w:rPr>
        <w:t>put</w:t>
      </w:r>
      <w:r w:rsidRPr="00661BD2">
        <w:rPr>
          <w:rFonts w:asciiTheme="minorHAnsi" w:hAnsiTheme="minorHAnsi" w:cs="Calibri"/>
          <w:sz w:val="22"/>
          <w:szCs w:val="22"/>
        </w:rPr>
        <w:t xml:space="preserve"> conjectural coefficients of zero. These are corner solutions. </w:t>
      </w:r>
      <w:r>
        <w:rPr>
          <w:rFonts w:asciiTheme="minorHAnsi" w:hAnsiTheme="minorHAnsi" w:cs="Calibri"/>
          <w:sz w:val="22"/>
          <w:szCs w:val="22"/>
        </w:rPr>
        <w:t xml:space="preserve">The unrestricted results indicate that these relationships are negative, so by restricting the coefficients to be non-negative the statistical procedure finds the smallest possible non-negative number, zero. </w:t>
      </w:r>
      <w:r w:rsidR="001055C2">
        <w:rPr>
          <w:rFonts w:asciiTheme="minorHAnsi" w:hAnsiTheme="minorHAnsi" w:cs="Calibri"/>
          <w:sz w:val="22"/>
          <w:szCs w:val="22"/>
        </w:rPr>
        <w:t xml:space="preserve">The </w:t>
      </w:r>
      <w:r w:rsidR="00B7150E">
        <w:rPr>
          <w:rFonts w:asciiTheme="minorHAnsi" w:hAnsiTheme="minorHAnsi" w:cs="Calibri"/>
          <w:sz w:val="22"/>
          <w:szCs w:val="22"/>
        </w:rPr>
        <w:t xml:space="preserve">explanatory power of both equations is little </w:t>
      </w:r>
      <w:proofErr w:type="gramStart"/>
      <w:r w:rsidR="00B7150E">
        <w:rPr>
          <w:rFonts w:asciiTheme="minorHAnsi" w:hAnsiTheme="minorHAnsi" w:cs="Calibri"/>
          <w:sz w:val="22"/>
          <w:szCs w:val="22"/>
        </w:rPr>
        <w:t>effected</w:t>
      </w:r>
      <w:proofErr w:type="gramEnd"/>
      <w:r w:rsidR="00B7150E">
        <w:rPr>
          <w:rFonts w:asciiTheme="minorHAnsi" w:hAnsiTheme="minorHAnsi" w:cs="Calibri"/>
          <w:sz w:val="22"/>
          <w:szCs w:val="22"/>
        </w:rPr>
        <w:t xml:space="preserve"> except that the cost index has become much more significant.</w:t>
      </w:r>
    </w:p>
    <w:p w14:paraId="491F9409" w14:textId="77777777" w:rsidR="00B7150E" w:rsidRDefault="00B7150E" w:rsidP="00B7150E">
      <w:pPr>
        <w:jc w:val="center"/>
        <w:rPr>
          <w:rFonts w:eastAsia="Calibri" w:cs="Calibri"/>
          <w:b/>
        </w:rPr>
      </w:pPr>
    </w:p>
    <w:p w14:paraId="1DCA98A4" w14:textId="77777777" w:rsidR="00B7150E" w:rsidRDefault="00B7150E" w:rsidP="00B7150E">
      <w:pPr>
        <w:pStyle w:val="BodyText"/>
        <w:ind w:left="0"/>
        <w:jc w:val="both"/>
        <w:rPr>
          <w:rFonts w:asciiTheme="minorHAnsi" w:hAnsiTheme="minorHAnsi" w:cs="Calibri"/>
          <w:sz w:val="22"/>
          <w:szCs w:val="22"/>
        </w:rPr>
      </w:pPr>
      <w:r>
        <w:rPr>
          <w:rFonts w:asciiTheme="minorHAnsi" w:hAnsiTheme="minorHAnsi" w:cs="Calibri"/>
          <w:sz w:val="22"/>
          <w:szCs w:val="22"/>
        </w:rPr>
        <w:t xml:space="preserve">For pork, corner solutions are again evident for the coefficients on the DMPK variable, but the unrestricted coefficients on the DMPKI variable remain positive and strongly significant. There is a robust implication of market power in pork industry input purchasing. </w:t>
      </w:r>
    </w:p>
    <w:p w14:paraId="5EF427AE" w14:textId="77777777" w:rsidR="00B7150E" w:rsidRDefault="00B7150E" w:rsidP="00B7150E">
      <w:pPr>
        <w:pStyle w:val="BodyText"/>
        <w:ind w:left="0"/>
        <w:jc w:val="both"/>
        <w:rPr>
          <w:rFonts w:asciiTheme="minorHAnsi" w:hAnsiTheme="minorHAnsi" w:cs="Calibri"/>
          <w:sz w:val="22"/>
          <w:szCs w:val="22"/>
        </w:rPr>
      </w:pPr>
    </w:p>
    <w:p w14:paraId="5B7EF276" w14:textId="5A5DC644" w:rsidR="00B7150E" w:rsidRDefault="00B7150E" w:rsidP="00B7150E">
      <w:pPr>
        <w:pStyle w:val="BodyText"/>
        <w:ind w:left="0"/>
        <w:jc w:val="both"/>
        <w:rPr>
          <w:rFonts w:asciiTheme="minorHAnsi" w:hAnsiTheme="minorHAnsi" w:cs="Calibri"/>
          <w:sz w:val="22"/>
          <w:szCs w:val="22"/>
        </w:rPr>
      </w:pPr>
      <w:r>
        <w:rPr>
          <w:rFonts w:asciiTheme="minorHAnsi" w:hAnsiTheme="minorHAnsi" w:cs="Calibri"/>
          <w:sz w:val="22"/>
          <w:szCs w:val="22"/>
        </w:rPr>
        <w:t xml:space="preserve">Finally, for the </w:t>
      </w:r>
      <w:proofErr w:type="gramStart"/>
      <w:r>
        <w:rPr>
          <w:rFonts w:asciiTheme="minorHAnsi" w:hAnsiTheme="minorHAnsi" w:cs="Calibri"/>
          <w:sz w:val="22"/>
          <w:szCs w:val="22"/>
        </w:rPr>
        <w:t>chicken farm</w:t>
      </w:r>
      <w:proofErr w:type="gramEnd"/>
      <w:r>
        <w:rPr>
          <w:rFonts w:asciiTheme="minorHAnsi" w:hAnsiTheme="minorHAnsi" w:cs="Calibri"/>
          <w:sz w:val="22"/>
          <w:szCs w:val="22"/>
        </w:rPr>
        <w:t>-retail margin shown in Table 12 the non-negative restrictions disrupt the equations quite markedly. Cost remains the primary driver of the margin, but all significance on the conjectural variation variables has disappeared. That is, the weak evidence of market power on the input side of the market, from the unrestricted models, has dissipated.</w:t>
      </w:r>
    </w:p>
    <w:p w14:paraId="5235BEE6" w14:textId="77777777" w:rsidR="00D34327" w:rsidRDefault="00D34327" w:rsidP="00D34327">
      <w:pPr>
        <w:pStyle w:val="BodyText"/>
        <w:ind w:left="0"/>
        <w:jc w:val="both"/>
        <w:rPr>
          <w:rFonts w:asciiTheme="minorHAnsi" w:hAnsiTheme="minorHAnsi" w:cs="Calibri"/>
          <w:sz w:val="22"/>
          <w:szCs w:val="22"/>
        </w:rPr>
      </w:pPr>
    </w:p>
    <w:p w14:paraId="18F85A24" w14:textId="1838D666" w:rsidR="004806F6" w:rsidRPr="00D34E62" w:rsidRDefault="00363ED8" w:rsidP="00C61C20">
      <w:pPr>
        <w:pStyle w:val="Heading1"/>
        <w:tabs>
          <w:tab w:val="left" w:pos="432"/>
        </w:tabs>
        <w:ind w:left="0" w:firstLine="0"/>
        <w:jc w:val="both"/>
        <w:rPr>
          <w:rFonts w:asciiTheme="minorHAnsi" w:hAnsiTheme="minorHAnsi" w:cs="Calibri"/>
          <w:b/>
          <w:sz w:val="24"/>
          <w:szCs w:val="24"/>
        </w:rPr>
      </w:pPr>
      <w:r w:rsidRPr="00D34E62">
        <w:rPr>
          <w:rFonts w:asciiTheme="minorHAnsi" w:hAnsiTheme="minorHAnsi"/>
          <w:b/>
          <w:sz w:val="24"/>
          <w:szCs w:val="24"/>
        </w:rPr>
        <w:t>Discussion</w:t>
      </w:r>
      <w:r w:rsidR="00A6503D">
        <w:rPr>
          <w:rFonts w:asciiTheme="minorHAnsi" w:hAnsiTheme="minorHAnsi"/>
          <w:b/>
          <w:sz w:val="24"/>
          <w:szCs w:val="24"/>
        </w:rPr>
        <w:t xml:space="preserve"> and Conclusions</w:t>
      </w:r>
    </w:p>
    <w:p w14:paraId="3D24847C" w14:textId="77777777" w:rsidR="001D314F" w:rsidRDefault="001D314F" w:rsidP="00661BD2">
      <w:pPr>
        <w:jc w:val="both"/>
        <w:rPr>
          <w:rFonts w:eastAsia="Calibri" w:cs="Calibri"/>
        </w:rPr>
      </w:pPr>
    </w:p>
    <w:p w14:paraId="7C12ADDD" w14:textId="6315E36D" w:rsidR="00CC7D80" w:rsidRDefault="00CC7D80" w:rsidP="00CC7D80">
      <w:pPr>
        <w:pStyle w:val="BodyText"/>
        <w:ind w:left="0"/>
        <w:jc w:val="both"/>
        <w:rPr>
          <w:rFonts w:asciiTheme="minorHAnsi" w:hAnsiTheme="minorHAnsi" w:cs="Calibri"/>
          <w:sz w:val="22"/>
          <w:szCs w:val="22"/>
        </w:rPr>
      </w:pPr>
      <w:r w:rsidRPr="00661C29">
        <w:rPr>
          <w:rFonts w:asciiTheme="minorHAnsi" w:hAnsiTheme="minorHAnsi" w:cs="Calibri"/>
          <w:sz w:val="22"/>
          <w:szCs w:val="22"/>
        </w:rPr>
        <w:t>The</w:t>
      </w:r>
      <w:r>
        <w:rPr>
          <w:rFonts w:asciiTheme="minorHAnsi" w:hAnsiTheme="minorHAnsi" w:cs="Calibri"/>
          <w:sz w:val="22"/>
          <w:szCs w:val="22"/>
        </w:rPr>
        <w:t xml:space="preserve"> key </w:t>
      </w:r>
      <w:r w:rsidRPr="00661C29">
        <w:rPr>
          <w:rFonts w:asciiTheme="minorHAnsi" w:hAnsiTheme="minorHAnsi" w:cs="Calibri"/>
          <w:sz w:val="22"/>
          <w:szCs w:val="22"/>
        </w:rPr>
        <w:t xml:space="preserve">results </w:t>
      </w:r>
      <w:r>
        <w:rPr>
          <w:rFonts w:asciiTheme="minorHAnsi" w:hAnsiTheme="minorHAnsi" w:cs="Calibri"/>
          <w:sz w:val="22"/>
          <w:szCs w:val="22"/>
        </w:rPr>
        <w:t xml:space="preserve">from the domestic market component of the study </w:t>
      </w:r>
      <w:r w:rsidRPr="00661C29">
        <w:rPr>
          <w:rFonts w:asciiTheme="minorHAnsi" w:hAnsiTheme="minorHAnsi" w:cs="Calibri"/>
          <w:sz w:val="22"/>
          <w:szCs w:val="22"/>
        </w:rPr>
        <w:t xml:space="preserve">indicate that the null hypothesis of no market power cannot be rejected in </w:t>
      </w:r>
      <w:r>
        <w:rPr>
          <w:rFonts w:asciiTheme="minorHAnsi" w:hAnsiTheme="minorHAnsi" w:cs="Calibri"/>
          <w:sz w:val="22"/>
          <w:szCs w:val="22"/>
        </w:rPr>
        <w:t>beef or lamb</w:t>
      </w:r>
      <w:r w:rsidRPr="00661C29">
        <w:rPr>
          <w:rFonts w:asciiTheme="minorHAnsi" w:hAnsiTheme="minorHAnsi" w:cs="Calibri"/>
          <w:sz w:val="22"/>
          <w:szCs w:val="22"/>
        </w:rPr>
        <w:t xml:space="preserve"> </w:t>
      </w:r>
      <w:r>
        <w:rPr>
          <w:rFonts w:asciiTheme="minorHAnsi" w:hAnsiTheme="minorHAnsi" w:cs="Calibri"/>
          <w:sz w:val="22"/>
          <w:szCs w:val="22"/>
        </w:rPr>
        <w:t xml:space="preserve">input or </w:t>
      </w:r>
      <w:r w:rsidRPr="00661C29">
        <w:rPr>
          <w:rFonts w:asciiTheme="minorHAnsi" w:hAnsiTheme="minorHAnsi" w:cs="Calibri"/>
          <w:sz w:val="22"/>
          <w:szCs w:val="22"/>
        </w:rPr>
        <w:t>output markets</w:t>
      </w:r>
      <w:r>
        <w:rPr>
          <w:rFonts w:asciiTheme="minorHAnsi" w:hAnsiTheme="minorHAnsi" w:cs="Calibri"/>
          <w:sz w:val="22"/>
          <w:szCs w:val="22"/>
        </w:rPr>
        <w:t>. These findings confirm earlier results</w:t>
      </w:r>
      <w:r w:rsidR="004F1B2C">
        <w:rPr>
          <w:rFonts w:asciiTheme="minorHAnsi" w:hAnsiTheme="minorHAnsi" w:cs="Calibri"/>
          <w:sz w:val="22"/>
          <w:szCs w:val="22"/>
        </w:rPr>
        <w:t xml:space="preserve"> of Hyde and Perloff (1996), </w:t>
      </w:r>
      <w:r w:rsidR="004F1B2C" w:rsidRPr="00661C29">
        <w:rPr>
          <w:rFonts w:asciiTheme="minorHAnsi" w:hAnsiTheme="minorHAnsi" w:cs="Calibri"/>
          <w:sz w:val="22"/>
          <w:szCs w:val="22"/>
        </w:rPr>
        <w:t>Griffith (2000)</w:t>
      </w:r>
      <w:r w:rsidR="004F1B2C">
        <w:rPr>
          <w:rFonts w:asciiTheme="minorHAnsi" w:hAnsiTheme="minorHAnsi" w:cs="Calibri"/>
          <w:sz w:val="22"/>
          <w:szCs w:val="22"/>
        </w:rPr>
        <w:t>,</w:t>
      </w:r>
      <w:r w:rsidR="004F1B2C" w:rsidRPr="00661BD2">
        <w:rPr>
          <w:rFonts w:asciiTheme="minorHAnsi" w:hAnsiTheme="minorHAnsi" w:cs="Calibri"/>
          <w:sz w:val="22"/>
          <w:szCs w:val="22"/>
        </w:rPr>
        <w:t xml:space="preserve"> </w:t>
      </w:r>
      <w:r w:rsidR="004F1B2C" w:rsidRPr="00661C29">
        <w:rPr>
          <w:rFonts w:asciiTheme="minorHAnsi" w:hAnsiTheme="minorHAnsi" w:cs="Calibri"/>
          <w:sz w:val="22"/>
          <w:szCs w:val="22"/>
        </w:rPr>
        <w:t>Chung and Griffith (2009) and</w:t>
      </w:r>
      <w:r w:rsidR="004F1B2C">
        <w:rPr>
          <w:rFonts w:asciiTheme="minorHAnsi" w:hAnsiTheme="minorHAnsi" w:cs="Calibri"/>
          <w:sz w:val="22"/>
          <w:szCs w:val="22"/>
        </w:rPr>
        <w:t xml:space="preserve"> Hilli and Griffith (2022).</w:t>
      </w:r>
      <w:r>
        <w:rPr>
          <w:rFonts w:asciiTheme="minorHAnsi" w:hAnsiTheme="minorHAnsi" w:cs="Calibri"/>
          <w:sz w:val="22"/>
          <w:szCs w:val="22"/>
        </w:rPr>
        <w:t xml:space="preserve"> Similarly, these results </w:t>
      </w:r>
      <w:r w:rsidRPr="00661C29">
        <w:rPr>
          <w:rFonts w:asciiTheme="minorHAnsi" w:hAnsiTheme="minorHAnsi" w:cs="Calibri"/>
          <w:sz w:val="22"/>
          <w:szCs w:val="22"/>
        </w:rPr>
        <w:t xml:space="preserve">indicate that the null hypothesis of no market power cannot be rejected in </w:t>
      </w:r>
      <w:r>
        <w:rPr>
          <w:rFonts w:asciiTheme="minorHAnsi" w:hAnsiTheme="minorHAnsi" w:cs="Calibri"/>
          <w:sz w:val="22"/>
          <w:szCs w:val="22"/>
        </w:rPr>
        <w:t xml:space="preserve">pork or chicken </w:t>
      </w:r>
      <w:r w:rsidRPr="00661C29">
        <w:rPr>
          <w:rFonts w:asciiTheme="minorHAnsi" w:hAnsiTheme="minorHAnsi" w:cs="Calibri"/>
          <w:sz w:val="22"/>
          <w:szCs w:val="22"/>
        </w:rPr>
        <w:t>output markets</w:t>
      </w:r>
      <w:r w:rsidR="000C6F18">
        <w:rPr>
          <w:rFonts w:asciiTheme="minorHAnsi" w:hAnsiTheme="minorHAnsi" w:cs="Calibri"/>
          <w:sz w:val="22"/>
          <w:szCs w:val="22"/>
        </w:rPr>
        <w:t>, also consistent with the earlier results</w:t>
      </w:r>
      <w:r>
        <w:rPr>
          <w:rFonts w:asciiTheme="minorHAnsi" w:hAnsiTheme="minorHAnsi" w:cs="Calibri"/>
          <w:sz w:val="22"/>
          <w:szCs w:val="22"/>
        </w:rPr>
        <w:t xml:space="preserve">. </w:t>
      </w:r>
    </w:p>
    <w:p w14:paraId="73A4EB1F" w14:textId="77777777" w:rsidR="00CC7D80" w:rsidRDefault="00CC7D80" w:rsidP="00CC7D80">
      <w:pPr>
        <w:pStyle w:val="BodyText"/>
        <w:ind w:left="0"/>
        <w:jc w:val="both"/>
        <w:rPr>
          <w:rFonts w:asciiTheme="minorHAnsi" w:hAnsiTheme="minorHAnsi" w:cs="Calibri"/>
          <w:sz w:val="22"/>
          <w:szCs w:val="22"/>
        </w:rPr>
      </w:pPr>
    </w:p>
    <w:p w14:paraId="18DCFD93" w14:textId="4F8C7EAF" w:rsidR="00CC7D80" w:rsidRDefault="00CC7D80" w:rsidP="00CC7D80">
      <w:pPr>
        <w:pStyle w:val="BodyText"/>
        <w:ind w:left="0"/>
        <w:jc w:val="both"/>
        <w:rPr>
          <w:rFonts w:asciiTheme="minorHAnsi" w:hAnsiTheme="minorHAnsi" w:cs="Calibri"/>
          <w:sz w:val="22"/>
          <w:szCs w:val="22"/>
        </w:rPr>
      </w:pPr>
      <w:r>
        <w:rPr>
          <w:rFonts w:asciiTheme="minorHAnsi" w:hAnsiTheme="minorHAnsi" w:cs="Calibri"/>
          <w:sz w:val="22"/>
          <w:szCs w:val="22"/>
        </w:rPr>
        <w:t>H</w:t>
      </w:r>
      <w:r w:rsidRPr="00B964FF">
        <w:rPr>
          <w:rFonts w:asciiTheme="minorHAnsi" w:hAnsiTheme="minorHAnsi" w:cs="Calibri"/>
          <w:sz w:val="22"/>
          <w:szCs w:val="22"/>
        </w:rPr>
        <w:t>owever</w:t>
      </w:r>
      <w:r>
        <w:rPr>
          <w:rFonts w:asciiTheme="minorHAnsi" w:hAnsiTheme="minorHAnsi" w:cs="Calibri"/>
          <w:sz w:val="22"/>
          <w:szCs w:val="22"/>
        </w:rPr>
        <w:t>,</w:t>
      </w:r>
      <w:r w:rsidRPr="00B964FF">
        <w:rPr>
          <w:rFonts w:asciiTheme="minorHAnsi" w:hAnsiTheme="minorHAnsi" w:cs="Calibri"/>
          <w:sz w:val="22"/>
          <w:szCs w:val="22"/>
        </w:rPr>
        <w:t xml:space="preserve"> there is </w:t>
      </w:r>
      <w:r w:rsidR="000C6F18">
        <w:rPr>
          <w:rFonts w:asciiTheme="minorHAnsi" w:hAnsiTheme="minorHAnsi" w:cs="Calibri"/>
          <w:sz w:val="22"/>
          <w:szCs w:val="22"/>
        </w:rPr>
        <w:t>a</w:t>
      </w:r>
      <w:r w:rsidRPr="00B964FF">
        <w:rPr>
          <w:rFonts w:asciiTheme="minorHAnsi" w:hAnsiTheme="minorHAnsi" w:cs="Calibri"/>
          <w:sz w:val="22"/>
          <w:szCs w:val="22"/>
        </w:rPr>
        <w:t xml:space="preserve"> strong indication of market power in the fresh pork input market</w:t>
      </w:r>
      <w:r>
        <w:rPr>
          <w:rFonts w:asciiTheme="minorHAnsi" w:hAnsiTheme="minorHAnsi" w:cs="Calibri"/>
          <w:sz w:val="22"/>
          <w:szCs w:val="22"/>
        </w:rPr>
        <w:t xml:space="preserve">, which is consistent with the recent findings of Hilli and Griffith (2022), and weak evidence </w:t>
      </w:r>
      <w:r w:rsidRPr="00B964FF">
        <w:rPr>
          <w:rFonts w:asciiTheme="minorHAnsi" w:hAnsiTheme="minorHAnsi" w:cs="Calibri"/>
          <w:sz w:val="22"/>
          <w:szCs w:val="22"/>
        </w:rPr>
        <w:t xml:space="preserve">of market power in the </w:t>
      </w:r>
      <w:r>
        <w:rPr>
          <w:rFonts w:asciiTheme="minorHAnsi" w:hAnsiTheme="minorHAnsi" w:cs="Calibri"/>
          <w:sz w:val="22"/>
          <w:szCs w:val="22"/>
        </w:rPr>
        <w:t>chicken</w:t>
      </w:r>
      <w:r w:rsidRPr="00B964FF">
        <w:rPr>
          <w:rFonts w:asciiTheme="minorHAnsi" w:hAnsiTheme="minorHAnsi" w:cs="Calibri"/>
          <w:sz w:val="22"/>
          <w:szCs w:val="22"/>
        </w:rPr>
        <w:t xml:space="preserve"> input market</w:t>
      </w:r>
      <w:r>
        <w:rPr>
          <w:rFonts w:asciiTheme="minorHAnsi" w:hAnsiTheme="minorHAnsi" w:cs="Calibri"/>
          <w:sz w:val="22"/>
          <w:szCs w:val="22"/>
        </w:rPr>
        <w:t xml:space="preserve">, which is consistent with the recent findings of Dhakal and Griffith (2024). </w:t>
      </w:r>
      <w:r w:rsidRPr="00661C29">
        <w:rPr>
          <w:rFonts w:asciiTheme="minorHAnsi" w:hAnsiTheme="minorHAnsi" w:cs="Calibri"/>
          <w:sz w:val="22"/>
          <w:szCs w:val="22"/>
        </w:rPr>
        <w:t>Th</w:t>
      </w:r>
      <w:r>
        <w:rPr>
          <w:rFonts w:asciiTheme="minorHAnsi" w:hAnsiTheme="minorHAnsi" w:cs="Calibri"/>
          <w:sz w:val="22"/>
          <w:szCs w:val="22"/>
        </w:rPr>
        <w:t>ese</w:t>
      </w:r>
      <w:r w:rsidRPr="00661C29">
        <w:rPr>
          <w:rFonts w:asciiTheme="minorHAnsi" w:hAnsiTheme="minorHAnsi" w:cs="Calibri"/>
          <w:sz w:val="22"/>
          <w:szCs w:val="22"/>
        </w:rPr>
        <w:t xml:space="preserve"> finding</w:t>
      </w:r>
      <w:r>
        <w:rPr>
          <w:rFonts w:asciiTheme="minorHAnsi" w:hAnsiTheme="minorHAnsi" w:cs="Calibri"/>
          <w:sz w:val="22"/>
          <w:szCs w:val="22"/>
        </w:rPr>
        <w:t>s</w:t>
      </w:r>
      <w:r w:rsidRPr="00661C29">
        <w:rPr>
          <w:rFonts w:asciiTheme="minorHAnsi" w:hAnsiTheme="minorHAnsi" w:cs="Calibri"/>
          <w:sz w:val="22"/>
          <w:szCs w:val="22"/>
        </w:rPr>
        <w:t xml:space="preserve"> </w:t>
      </w:r>
      <w:r>
        <w:rPr>
          <w:rFonts w:asciiTheme="minorHAnsi" w:hAnsiTheme="minorHAnsi" w:cs="Calibri"/>
          <w:sz w:val="22"/>
          <w:szCs w:val="22"/>
        </w:rPr>
        <w:t>are</w:t>
      </w:r>
      <w:r w:rsidRPr="00B964FF">
        <w:rPr>
          <w:rFonts w:asciiTheme="minorHAnsi" w:hAnsiTheme="minorHAnsi" w:cs="Calibri"/>
          <w:sz w:val="22"/>
          <w:szCs w:val="22"/>
        </w:rPr>
        <w:t xml:space="preserve"> </w:t>
      </w:r>
      <w:r>
        <w:rPr>
          <w:rFonts w:asciiTheme="minorHAnsi" w:hAnsiTheme="minorHAnsi" w:cs="Calibri"/>
          <w:sz w:val="22"/>
          <w:szCs w:val="22"/>
        </w:rPr>
        <w:t>quite different from th</w:t>
      </w:r>
      <w:r w:rsidR="004F1B2C">
        <w:rPr>
          <w:rFonts w:asciiTheme="minorHAnsi" w:hAnsiTheme="minorHAnsi" w:cs="Calibri"/>
          <w:sz w:val="22"/>
          <w:szCs w:val="22"/>
        </w:rPr>
        <w:t>ose</w:t>
      </w:r>
      <w:r>
        <w:rPr>
          <w:rFonts w:asciiTheme="minorHAnsi" w:hAnsiTheme="minorHAnsi" w:cs="Calibri"/>
          <w:sz w:val="22"/>
          <w:szCs w:val="22"/>
        </w:rPr>
        <w:t xml:space="preserve"> of the earlier set of studies and </w:t>
      </w:r>
      <w:proofErr w:type="gramStart"/>
      <w:r>
        <w:rPr>
          <w:rFonts w:asciiTheme="minorHAnsi" w:hAnsiTheme="minorHAnsi" w:cs="Calibri"/>
          <w:sz w:val="22"/>
          <w:szCs w:val="22"/>
        </w:rPr>
        <w:t>reflect no doubt</w:t>
      </w:r>
      <w:proofErr w:type="gramEnd"/>
      <w:r>
        <w:rPr>
          <w:rFonts w:asciiTheme="minorHAnsi" w:hAnsiTheme="minorHAnsi" w:cs="Calibri"/>
          <w:sz w:val="22"/>
          <w:szCs w:val="22"/>
        </w:rPr>
        <w:t xml:space="preserve"> the increasing use of vertical integration arrangements in these two industries.</w:t>
      </w:r>
      <w:r w:rsidRPr="00661BD2">
        <w:rPr>
          <w:rFonts w:asciiTheme="minorHAnsi" w:hAnsiTheme="minorHAnsi" w:cs="Calibri"/>
          <w:sz w:val="22"/>
          <w:szCs w:val="22"/>
        </w:rPr>
        <w:t xml:space="preserve"> </w:t>
      </w:r>
    </w:p>
    <w:p w14:paraId="2829812C" w14:textId="77777777" w:rsidR="00CC7D80" w:rsidRDefault="00CC7D80" w:rsidP="00CC7D80">
      <w:pPr>
        <w:pStyle w:val="BodyText"/>
        <w:ind w:left="0"/>
        <w:jc w:val="both"/>
        <w:rPr>
          <w:rFonts w:asciiTheme="minorHAnsi" w:hAnsiTheme="minorHAnsi" w:cs="Calibri"/>
          <w:sz w:val="22"/>
          <w:szCs w:val="22"/>
        </w:rPr>
      </w:pPr>
    </w:p>
    <w:p w14:paraId="4003C441" w14:textId="127898FD" w:rsidR="00CC7D80" w:rsidRPr="00661BD2" w:rsidRDefault="00CC7D80" w:rsidP="00CC7D80">
      <w:pPr>
        <w:pStyle w:val="BodyText"/>
        <w:ind w:left="0"/>
        <w:jc w:val="both"/>
        <w:rPr>
          <w:rFonts w:asciiTheme="minorHAnsi" w:hAnsiTheme="minorHAnsi" w:cs="Calibri"/>
          <w:sz w:val="22"/>
          <w:szCs w:val="22"/>
        </w:rPr>
      </w:pPr>
      <w:r>
        <w:rPr>
          <w:rFonts w:asciiTheme="minorHAnsi" w:hAnsiTheme="minorHAnsi" w:cs="Calibri"/>
          <w:sz w:val="22"/>
          <w:szCs w:val="22"/>
        </w:rPr>
        <w:t xml:space="preserve">The costs of providing marketing services are strongly significant </w:t>
      </w:r>
      <w:r w:rsidR="008F257E">
        <w:rPr>
          <w:rFonts w:asciiTheme="minorHAnsi" w:hAnsiTheme="minorHAnsi" w:cs="Calibri"/>
          <w:sz w:val="22"/>
          <w:szCs w:val="22"/>
        </w:rPr>
        <w:t xml:space="preserve">positive </w:t>
      </w:r>
      <w:r>
        <w:rPr>
          <w:rFonts w:asciiTheme="minorHAnsi" w:hAnsiTheme="minorHAnsi" w:cs="Calibri"/>
          <w:sz w:val="22"/>
          <w:szCs w:val="22"/>
        </w:rPr>
        <w:t>influences o</w:t>
      </w:r>
      <w:r w:rsidR="008F257E">
        <w:rPr>
          <w:rFonts w:asciiTheme="minorHAnsi" w:hAnsiTheme="minorHAnsi" w:cs="Calibri"/>
          <w:sz w:val="22"/>
          <w:szCs w:val="22"/>
        </w:rPr>
        <w:t>n</w:t>
      </w:r>
      <w:r>
        <w:rPr>
          <w:rFonts w:asciiTheme="minorHAnsi" w:hAnsiTheme="minorHAnsi" w:cs="Calibri"/>
          <w:sz w:val="22"/>
          <w:szCs w:val="22"/>
        </w:rPr>
        <w:t xml:space="preserve"> the domestic margins for beef, lamb and chicken</w:t>
      </w:r>
      <w:r w:rsidR="008F257E">
        <w:rPr>
          <w:rFonts w:asciiTheme="minorHAnsi" w:hAnsiTheme="minorHAnsi" w:cs="Calibri"/>
          <w:sz w:val="22"/>
          <w:szCs w:val="22"/>
        </w:rPr>
        <w:t xml:space="preserve"> (</w:t>
      </w:r>
      <w:r w:rsidR="000C6F18">
        <w:rPr>
          <w:rFonts w:asciiTheme="minorHAnsi" w:hAnsiTheme="minorHAnsi" w:cs="Calibri"/>
          <w:sz w:val="22"/>
          <w:szCs w:val="22"/>
        </w:rPr>
        <w:t xml:space="preserve">but </w:t>
      </w:r>
      <w:r w:rsidR="008F257E">
        <w:rPr>
          <w:rFonts w:asciiTheme="minorHAnsi" w:hAnsiTheme="minorHAnsi" w:cs="Calibri"/>
          <w:sz w:val="22"/>
          <w:szCs w:val="22"/>
        </w:rPr>
        <w:t>less so for pork), and there are significant measurable effects in the various margin equations from past policy or industry decisions – the 1975-78 curtailment of Australi</w:t>
      </w:r>
      <w:r w:rsidR="001978CC">
        <w:rPr>
          <w:rFonts w:asciiTheme="minorHAnsi" w:hAnsiTheme="minorHAnsi" w:cs="Calibri"/>
          <w:sz w:val="22"/>
          <w:szCs w:val="22"/>
        </w:rPr>
        <w:t>a</w:t>
      </w:r>
      <w:r w:rsidR="008F257E">
        <w:rPr>
          <w:rFonts w:asciiTheme="minorHAnsi" w:hAnsiTheme="minorHAnsi" w:cs="Calibri"/>
          <w:sz w:val="22"/>
          <w:szCs w:val="22"/>
        </w:rPr>
        <w:t xml:space="preserve">n beef imports by Japan; the 1990 decision to allow pigmeat imports into Australia for further processing; and the negative effect on margins due to the consolidation of industry processing capacity in the red meat industries around 2011. </w:t>
      </w:r>
    </w:p>
    <w:p w14:paraId="4E7EFFBE" w14:textId="77777777" w:rsidR="00CC7D80" w:rsidRDefault="00CC7D80" w:rsidP="008376C0">
      <w:pPr>
        <w:jc w:val="both"/>
        <w:rPr>
          <w:rFonts w:eastAsia="Calibri" w:cs="Calibri"/>
        </w:rPr>
      </w:pPr>
    </w:p>
    <w:p w14:paraId="7DA7E08D" w14:textId="0546F45A" w:rsidR="000F11A0" w:rsidRPr="007B5655" w:rsidRDefault="00E47B92" w:rsidP="00CB5CA4">
      <w:pPr>
        <w:jc w:val="both"/>
        <w:rPr>
          <w:rFonts w:eastAsia="Calibri" w:cs="Calibri"/>
          <w:iCs/>
        </w:rPr>
      </w:pPr>
      <w:r>
        <w:rPr>
          <w:rFonts w:eastAsia="Calibri" w:cs="Calibri"/>
        </w:rPr>
        <w:t>I</w:t>
      </w:r>
      <w:r w:rsidR="004449C0">
        <w:rPr>
          <w:rFonts w:eastAsia="Calibri" w:cs="Calibri"/>
        </w:rPr>
        <w:t xml:space="preserve">n </w:t>
      </w:r>
      <w:r>
        <w:rPr>
          <w:rFonts w:eastAsia="Calibri" w:cs="Calibri"/>
        </w:rPr>
        <w:t xml:space="preserve">the </w:t>
      </w:r>
      <w:r w:rsidR="009C3A49">
        <w:rPr>
          <w:rFonts w:eastAsia="Calibri" w:cs="Calibri"/>
        </w:rPr>
        <w:t xml:space="preserve">domestic </w:t>
      </w:r>
      <w:r w:rsidR="009826A6">
        <w:rPr>
          <w:rFonts w:eastAsia="Calibri" w:cs="Calibri"/>
        </w:rPr>
        <w:t xml:space="preserve">fresh </w:t>
      </w:r>
      <w:r w:rsidR="004449C0">
        <w:rPr>
          <w:rFonts w:eastAsia="Calibri" w:cs="Calibri"/>
        </w:rPr>
        <w:t xml:space="preserve">pork </w:t>
      </w:r>
      <w:proofErr w:type="gramStart"/>
      <w:r w:rsidR="004449C0">
        <w:rPr>
          <w:rFonts w:eastAsia="Calibri" w:cs="Calibri"/>
        </w:rPr>
        <w:t>market</w:t>
      </w:r>
      <w:proofErr w:type="gramEnd"/>
      <w:r>
        <w:rPr>
          <w:rFonts w:eastAsia="Calibri" w:cs="Calibri"/>
        </w:rPr>
        <w:t xml:space="preserve"> there is a significant effect of </w:t>
      </w:r>
      <w:r w:rsidR="009826A6">
        <w:rPr>
          <w:rFonts w:eastAsia="Calibri" w:cs="Calibri"/>
        </w:rPr>
        <w:t xml:space="preserve">the Dum90 variable </w:t>
      </w:r>
      <w:r>
        <w:rPr>
          <w:rFonts w:eastAsia="Calibri" w:cs="Calibri"/>
        </w:rPr>
        <w:t xml:space="preserve">which </w:t>
      </w:r>
      <w:r w:rsidR="009826A6">
        <w:rPr>
          <w:rFonts w:eastAsia="Calibri" w:cs="Calibri"/>
        </w:rPr>
        <w:t>is included to account for the change of government regulation allowing processed pork inputs in 1990.</w:t>
      </w:r>
      <w:r w:rsidR="008376C0">
        <w:rPr>
          <w:rFonts w:eastAsia="Calibri" w:cs="Calibri"/>
        </w:rPr>
        <w:t xml:space="preserve"> Australian pork producers have been assertive in their claims that pork imports are a significant competitive challenge for the domestic industry. Whilst biosecurity concerns prevent fresh pork imports, the influence of processed pork imports on the Australian fresh market </w:t>
      </w:r>
      <w:r w:rsidR="005E0745">
        <w:rPr>
          <w:rFonts w:eastAsia="Calibri" w:cs="Calibri"/>
        </w:rPr>
        <w:t>occurs t</w:t>
      </w:r>
      <w:r w:rsidR="008376C0">
        <w:rPr>
          <w:rFonts w:eastAsia="Calibri" w:cs="Calibri"/>
        </w:rPr>
        <w:t>hrough the influence of substitution</w:t>
      </w:r>
      <w:r w:rsidR="003D1471">
        <w:rPr>
          <w:rFonts w:eastAsia="Calibri" w:cs="Calibri"/>
        </w:rPr>
        <w:t xml:space="preserve"> effects</w:t>
      </w:r>
      <w:r w:rsidR="008376C0">
        <w:rPr>
          <w:rFonts w:eastAsia="Calibri" w:cs="Calibri"/>
        </w:rPr>
        <w:t xml:space="preserve">. </w:t>
      </w:r>
      <w:r w:rsidR="009C3A49">
        <w:rPr>
          <w:iCs/>
        </w:rPr>
        <w:t>Further detailed investigation</w:t>
      </w:r>
      <w:r>
        <w:rPr>
          <w:iCs/>
        </w:rPr>
        <w:t>s</w:t>
      </w:r>
      <w:r w:rsidR="009C3A49">
        <w:rPr>
          <w:iCs/>
        </w:rPr>
        <w:t xml:space="preserve"> </w:t>
      </w:r>
      <w:proofErr w:type="gramStart"/>
      <w:r w:rsidR="009C3A49">
        <w:rPr>
          <w:iCs/>
        </w:rPr>
        <w:t>of</w:t>
      </w:r>
      <w:proofErr w:type="gramEnd"/>
      <w:r w:rsidR="009C3A49">
        <w:rPr>
          <w:iCs/>
        </w:rPr>
        <w:t xml:space="preserve"> the role of this and the other dummy variables could be undertaken.</w:t>
      </w:r>
    </w:p>
    <w:p w14:paraId="7EB3C142" w14:textId="77777777" w:rsidR="00C21D8E" w:rsidRPr="00661BD2" w:rsidRDefault="00C21D8E" w:rsidP="00661BD2">
      <w:pPr>
        <w:jc w:val="both"/>
        <w:rPr>
          <w:rFonts w:eastAsia="Calibri" w:cs="Calibri"/>
        </w:rPr>
      </w:pPr>
    </w:p>
    <w:p w14:paraId="3FA90A05" w14:textId="7BA46583" w:rsidR="001901D0" w:rsidRDefault="00363ED8" w:rsidP="009C3A49">
      <w:pPr>
        <w:pStyle w:val="BodyText"/>
        <w:ind w:left="0"/>
        <w:jc w:val="both"/>
        <w:rPr>
          <w:rFonts w:asciiTheme="minorHAnsi" w:hAnsiTheme="minorHAnsi" w:cs="Calibri"/>
          <w:sz w:val="22"/>
          <w:szCs w:val="22"/>
        </w:rPr>
      </w:pPr>
      <w:r w:rsidRPr="00661BD2">
        <w:rPr>
          <w:rFonts w:asciiTheme="minorHAnsi" w:hAnsiTheme="minorHAnsi" w:cs="Calibri"/>
          <w:sz w:val="22"/>
          <w:szCs w:val="22"/>
        </w:rPr>
        <w:t>The inability to reject the null hypothesis</w:t>
      </w:r>
      <w:r w:rsidR="007D42A9">
        <w:rPr>
          <w:rFonts w:asciiTheme="minorHAnsi" w:hAnsiTheme="minorHAnsi" w:cs="Calibri"/>
          <w:sz w:val="22"/>
          <w:szCs w:val="22"/>
        </w:rPr>
        <w:t xml:space="preserve"> for beef and lamb</w:t>
      </w:r>
      <w:r w:rsidRPr="00661BD2">
        <w:rPr>
          <w:rFonts w:asciiTheme="minorHAnsi" w:hAnsiTheme="minorHAnsi" w:cs="Calibri"/>
          <w:sz w:val="22"/>
          <w:szCs w:val="22"/>
        </w:rPr>
        <w:t xml:space="preserve"> could have occurred for a variety of reasons. </w:t>
      </w:r>
      <w:r w:rsidR="00CB594F">
        <w:rPr>
          <w:rFonts w:asciiTheme="minorHAnsi" w:hAnsiTheme="minorHAnsi" w:cs="Calibri"/>
          <w:sz w:val="22"/>
          <w:szCs w:val="22"/>
        </w:rPr>
        <w:t>H</w:t>
      </w:r>
      <w:r w:rsidRPr="00661BD2">
        <w:rPr>
          <w:rFonts w:asciiTheme="minorHAnsi" w:hAnsiTheme="minorHAnsi" w:cs="Calibri"/>
          <w:sz w:val="22"/>
          <w:szCs w:val="22"/>
        </w:rPr>
        <w:t>owever, the</w:t>
      </w:r>
      <w:r w:rsidRPr="00661BD2">
        <w:rPr>
          <w:rFonts w:asciiTheme="minorHAnsi" w:hAnsiTheme="minorHAnsi" w:cs="Calibri"/>
          <w:w w:val="99"/>
          <w:sz w:val="22"/>
          <w:szCs w:val="22"/>
        </w:rPr>
        <w:t xml:space="preserve"> </w:t>
      </w:r>
      <w:r w:rsidRPr="00661BD2">
        <w:rPr>
          <w:rFonts w:asciiTheme="minorHAnsi" w:hAnsiTheme="minorHAnsi" w:cs="Calibri"/>
          <w:sz w:val="22"/>
          <w:szCs w:val="22"/>
        </w:rPr>
        <w:t xml:space="preserve">general </w:t>
      </w:r>
      <w:r w:rsidR="00CB594F">
        <w:rPr>
          <w:rFonts w:asciiTheme="minorHAnsi" w:hAnsiTheme="minorHAnsi" w:cs="Calibri"/>
          <w:sz w:val="22"/>
          <w:szCs w:val="22"/>
        </w:rPr>
        <w:t xml:space="preserve">picture </w:t>
      </w:r>
      <w:r w:rsidRPr="00661BD2">
        <w:rPr>
          <w:rFonts w:asciiTheme="minorHAnsi" w:hAnsiTheme="minorHAnsi" w:cs="Calibri"/>
          <w:sz w:val="22"/>
          <w:szCs w:val="22"/>
        </w:rPr>
        <w:t xml:space="preserve">of real marketing margins </w:t>
      </w:r>
      <w:r w:rsidR="00CB594F">
        <w:rPr>
          <w:rFonts w:asciiTheme="minorHAnsi" w:hAnsiTheme="minorHAnsi" w:cs="Calibri"/>
          <w:sz w:val="22"/>
          <w:szCs w:val="22"/>
        </w:rPr>
        <w:t xml:space="preserve">for beef and lamb </w:t>
      </w:r>
      <w:r w:rsidRPr="00661BD2">
        <w:rPr>
          <w:rFonts w:asciiTheme="minorHAnsi" w:hAnsiTheme="minorHAnsi" w:cs="Calibri"/>
          <w:sz w:val="22"/>
          <w:szCs w:val="22"/>
        </w:rPr>
        <w:t xml:space="preserve">shown in Figures 1 </w:t>
      </w:r>
      <w:r w:rsidR="00CB594F">
        <w:rPr>
          <w:rFonts w:asciiTheme="minorHAnsi" w:hAnsiTheme="minorHAnsi" w:cs="Calibri"/>
          <w:sz w:val="22"/>
          <w:szCs w:val="22"/>
        </w:rPr>
        <w:t>and</w:t>
      </w:r>
      <w:r w:rsidRPr="00661BD2">
        <w:rPr>
          <w:rFonts w:asciiTheme="minorHAnsi" w:hAnsiTheme="minorHAnsi" w:cs="Calibri"/>
          <w:sz w:val="22"/>
          <w:szCs w:val="22"/>
        </w:rPr>
        <w:t xml:space="preserve"> </w:t>
      </w:r>
      <w:r w:rsidR="00A26E8F">
        <w:rPr>
          <w:rFonts w:asciiTheme="minorHAnsi" w:hAnsiTheme="minorHAnsi" w:cs="Calibri"/>
          <w:sz w:val="22"/>
          <w:szCs w:val="22"/>
        </w:rPr>
        <w:t>2</w:t>
      </w:r>
      <w:r w:rsidR="00CB594F">
        <w:rPr>
          <w:rFonts w:asciiTheme="minorHAnsi" w:hAnsiTheme="minorHAnsi" w:cs="Calibri"/>
          <w:sz w:val="22"/>
          <w:szCs w:val="22"/>
        </w:rPr>
        <w:t xml:space="preserve"> </w:t>
      </w:r>
      <w:proofErr w:type="gramStart"/>
      <w:r w:rsidR="00892CD9">
        <w:rPr>
          <w:rFonts w:asciiTheme="minorHAnsi" w:hAnsiTheme="minorHAnsi" w:cs="Calibri"/>
          <w:sz w:val="22"/>
          <w:szCs w:val="22"/>
        </w:rPr>
        <w:t>indicate</w:t>
      </w:r>
      <w:proofErr w:type="gramEnd"/>
      <w:r w:rsidR="00CB594F">
        <w:rPr>
          <w:rFonts w:asciiTheme="minorHAnsi" w:hAnsiTheme="minorHAnsi" w:cs="Calibri"/>
          <w:sz w:val="22"/>
          <w:szCs w:val="22"/>
        </w:rPr>
        <w:t xml:space="preserve"> </w:t>
      </w:r>
      <w:r w:rsidRPr="00661BD2">
        <w:rPr>
          <w:rFonts w:asciiTheme="minorHAnsi" w:hAnsiTheme="minorHAnsi" w:cs="Calibri"/>
          <w:sz w:val="22"/>
          <w:szCs w:val="22"/>
        </w:rPr>
        <w:t xml:space="preserve">a </w:t>
      </w:r>
      <w:r w:rsidR="001901D0">
        <w:rPr>
          <w:rFonts w:asciiTheme="minorHAnsi" w:hAnsiTheme="minorHAnsi" w:cs="Calibri"/>
          <w:sz w:val="22"/>
          <w:szCs w:val="22"/>
        </w:rPr>
        <w:t xml:space="preserve">reasonably </w:t>
      </w:r>
      <w:r w:rsidRPr="00661BD2">
        <w:rPr>
          <w:rFonts w:asciiTheme="minorHAnsi" w:hAnsiTheme="minorHAnsi" w:cs="Calibri"/>
          <w:sz w:val="22"/>
          <w:szCs w:val="22"/>
        </w:rPr>
        <w:t xml:space="preserve">flat and consistent trend </w:t>
      </w:r>
      <w:r w:rsidRPr="00661BD2">
        <w:rPr>
          <w:rFonts w:asciiTheme="minorHAnsi" w:hAnsiTheme="minorHAnsi"/>
          <w:sz w:val="22"/>
          <w:szCs w:val="22"/>
        </w:rPr>
        <w:t>for each meat</w:t>
      </w:r>
      <w:r w:rsidR="00CB594F">
        <w:rPr>
          <w:rFonts w:asciiTheme="minorHAnsi" w:hAnsiTheme="minorHAnsi"/>
          <w:sz w:val="22"/>
          <w:szCs w:val="22"/>
        </w:rPr>
        <w:t>, and i</w:t>
      </w:r>
      <w:r w:rsidRPr="00661BD2">
        <w:rPr>
          <w:rFonts w:asciiTheme="minorHAnsi" w:hAnsiTheme="minorHAnsi"/>
          <w:sz w:val="22"/>
          <w:szCs w:val="22"/>
        </w:rPr>
        <w:t xml:space="preserve">n some cases, </w:t>
      </w:r>
      <w:r w:rsidR="001901D0">
        <w:rPr>
          <w:rFonts w:asciiTheme="minorHAnsi" w:hAnsiTheme="minorHAnsi"/>
          <w:sz w:val="22"/>
          <w:szCs w:val="22"/>
        </w:rPr>
        <w:t xml:space="preserve">the </w:t>
      </w:r>
      <w:r w:rsidRPr="00661BD2">
        <w:rPr>
          <w:rFonts w:asciiTheme="minorHAnsi" w:hAnsiTheme="minorHAnsi"/>
          <w:sz w:val="22"/>
          <w:szCs w:val="22"/>
        </w:rPr>
        <w:t xml:space="preserve">real </w:t>
      </w:r>
      <w:r w:rsidRPr="00661BD2">
        <w:rPr>
          <w:rFonts w:asciiTheme="minorHAnsi" w:hAnsiTheme="minorHAnsi"/>
          <w:sz w:val="22"/>
          <w:szCs w:val="22"/>
        </w:rPr>
        <w:lastRenderedPageBreak/>
        <w:t>marketing margins</w:t>
      </w:r>
      <w:r w:rsidRPr="00661BD2">
        <w:rPr>
          <w:rFonts w:asciiTheme="minorHAnsi" w:hAnsiTheme="minorHAnsi"/>
          <w:spacing w:val="-1"/>
          <w:sz w:val="22"/>
          <w:szCs w:val="22"/>
        </w:rPr>
        <w:t xml:space="preserve"> </w:t>
      </w:r>
      <w:r w:rsidRPr="00661BD2">
        <w:rPr>
          <w:rFonts w:asciiTheme="minorHAnsi" w:hAnsiTheme="minorHAnsi"/>
          <w:sz w:val="22"/>
          <w:szCs w:val="22"/>
        </w:rPr>
        <w:t xml:space="preserve">had declined. </w:t>
      </w:r>
      <w:r w:rsidR="005E0745">
        <w:rPr>
          <w:rFonts w:asciiTheme="minorHAnsi" w:hAnsiTheme="minorHAnsi"/>
          <w:sz w:val="22"/>
          <w:szCs w:val="22"/>
        </w:rPr>
        <w:t>T</w:t>
      </w:r>
      <w:r w:rsidRPr="00661BD2">
        <w:rPr>
          <w:rFonts w:asciiTheme="minorHAnsi" w:hAnsiTheme="minorHAnsi"/>
          <w:sz w:val="22"/>
          <w:szCs w:val="22"/>
        </w:rPr>
        <w:t>he consistency of real marketing margins over time, despite the significant structural changes to these</w:t>
      </w:r>
      <w:r w:rsidRPr="00661BD2">
        <w:rPr>
          <w:rFonts w:asciiTheme="minorHAnsi" w:hAnsiTheme="minorHAnsi"/>
          <w:w w:val="99"/>
          <w:sz w:val="22"/>
          <w:szCs w:val="22"/>
        </w:rPr>
        <w:t xml:space="preserve"> </w:t>
      </w:r>
      <w:r w:rsidRPr="00661BD2">
        <w:rPr>
          <w:rFonts w:asciiTheme="minorHAnsi" w:hAnsiTheme="minorHAnsi"/>
          <w:sz w:val="22"/>
          <w:szCs w:val="22"/>
        </w:rPr>
        <w:t xml:space="preserve">industries, </w:t>
      </w:r>
      <w:r w:rsidR="00CB594F">
        <w:rPr>
          <w:rFonts w:asciiTheme="minorHAnsi" w:hAnsiTheme="minorHAnsi"/>
          <w:sz w:val="22"/>
          <w:szCs w:val="22"/>
        </w:rPr>
        <w:t xml:space="preserve">suggests an </w:t>
      </w:r>
      <w:r w:rsidRPr="00661BD2">
        <w:rPr>
          <w:rFonts w:asciiTheme="minorHAnsi" w:hAnsiTheme="minorHAnsi"/>
          <w:sz w:val="22"/>
          <w:szCs w:val="22"/>
        </w:rPr>
        <w:t xml:space="preserve">absence of market power. </w:t>
      </w:r>
    </w:p>
    <w:p w14:paraId="76123B75" w14:textId="77777777" w:rsidR="001901D0" w:rsidRDefault="001901D0" w:rsidP="00661BD2">
      <w:pPr>
        <w:pStyle w:val="BodyText"/>
        <w:ind w:left="0"/>
        <w:jc w:val="both"/>
        <w:rPr>
          <w:rFonts w:asciiTheme="minorHAnsi" w:hAnsiTheme="minorHAnsi" w:cs="Calibri"/>
          <w:sz w:val="22"/>
          <w:szCs w:val="22"/>
        </w:rPr>
      </w:pPr>
    </w:p>
    <w:p w14:paraId="3819635E" w14:textId="6A4E9E1B" w:rsidR="004806F6" w:rsidRPr="00661BD2" w:rsidRDefault="00E47B92" w:rsidP="00E47B92">
      <w:pPr>
        <w:jc w:val="both"/>
        <w:rPr>
          <w:rFonts w:cs="Calibri"/>
        </w:rPr>
      </w:pPr>
      <w:r>
        <w:rPr>
          <w:rFonts w:eastAsia="Calibri" w:cs="Calibri"/>
        </w:rPr>
        <w:t xml:space="preserve">One limitation noted earlier is that </w:t>
      </w:r>
      <w:r w:rsidR="00F625E4">
        <w:t>i</w:t>
      </w:r>
      <w:r w:rsidR="00363ED8" w:rsidRPr="00661BD2">
        <w:t xml:space="preserve">nformation required to assess market power at the individual business level is unavailable. The ACCC (2017) and </w:t>
      </w:r>
      <w:r w:rsidR="00F91169">
        <w:t>t</w:t>
      </w:r>
      <w:r w:rsidR="00363ED8" w:rsidRPr="00661BD2">
        <w:t xml:space="preserve">he Senate (2017) noted </w:t>
      </w:r>
      <w:r w:rsidR="001901D0">
        <w:t xml:space="preserve">that </w:t>
      </w:r>
      <w:r w:rsidR="00363ED8" w:rsidRPr="00661BD2">
        <w:t>the absence of industry margins and operating costs of key industry participants, including fresh meat retailing, made it</w:t>
      </w:r>
      <w:r w:rsidR="00363ED8" w:rsidRPr="00661BD2">
        <w:rPr>
          <w:spacing w:val="-2"/>
        </w:rPr>
        <w:t xml:space="preserve"> </w:t>
      </w:r>
      <w:r w:rsidR="00363ED8" w:rsidRPr="00661BD2">
        <w:t>difficult</w:t>
      </w:r>
      <w:r w:rsidR="00363ED8" w:rsidRPr="00661BD2">
        <w:rPr>
          <w:w w:val="99"/>
        </w:rPr>
        <w:t xml:space="preserve"> </w:t>
      </w:r>
      <w:r w:rsidR="00363ED8" w:rsidRPr="00661BD2">
        <w:t>to conduct a true market power assessment.</w:t>
      </w:r>
      <w:r w:rsidR="00363ED8" w:rsidRPr="00661BD2">
        <w:rPr>
          <w:spacing w:val="-2"/>
        </w:rPr>
        <w:t xml:space="preserve"> </w:t>
      </w:r>
      <w:r w:rsidR="00363ED8" w:rsidRPr="00661BD2">
        <w:t>The</w:t>
      </w:r>
      <w:r w:rsidR="00C61C20">
        <w:rPr>
          <w:rFonts w:cs="Calibri"/>
        </w:rPr>
        <w:t xml:space="preserve"> </w:t>
      </w:r>
      <w:r w:rsidR="00363ED8" w:rsidRPr="00661BD2">
        <w:rPr>
          <w:rFonts w:cs="Calibri"/>
        </w:rPr>
        <w:t xml:space="preserve">absence of detailed information also </w:t>
      </w:r>
      <w:proofErr w:type="gramStart"/>
      <w:r w:rsidR="00363ED8" w:rsidRPr="00661BD2">
        <w:rPr>
          <w:rFonts w:cs="Calibri"/>
        </w:rPr>
        <w:t>impacts</w:t>
      </w:r>
      <w:proofErr w:type="gramEnd"/>
      <w:r w:rsidR="00363ED8" w:rsidRPr="00661BD2">
        <w:rPr>
          <w:rFonts w:cs="Calibri"/>
        </w:rPr>
        <w:t xml:space="preserve"> the present study’s assessment of</w:t>
      </w:r>
      <w:r w:rsidR="00363ED8" w:rsidRPr="00661BD2">
        <w:rPr>
          <w:rFonts w:cs="Calibri"/>
          <w:spacing w:val="-2"/>
        </w:rPr>
        <w:t xml:space="preserve"> </w:t>
      </w:r>
      <w:r w:rsidR="00363ED8" w:rsidRPr="00661BD2">
        <w:rPr>
          <w:rFonts w:cs="Calibri"/>
        </w:rPr>
        <w:t>market</w:t>
      </w:r>
      <w:r w:rsidR="00363ED8" w:rsidRPr="00661BD2">
        <w:rPr>
          <w:rFonts w:cs="Calibri"/>
          <w:w w:val="99"/>
        </w:rPr>
        <w:t xml:space="preserve"> </w:t>
      </w:r>
      <w:r w:rsidR="00363ED8" w:rsidRPr="00661BD2">
        <w:rPr>
          <w:rFonts w:cs="Calibri"/>
        </w:rPr>
        <w:t xml:space="preserve">power. </w:t>
      </w:r>
      <w:r w:rsidR="00892CD9">
        <w:rPr>
          <w:rFonts w:cs="Calibri"/>
        </w:rPr>
        <w:t>T</w:t>
      </w:r>
      <w:r w:rsidR="00363ED8" w:rsidRPr="00661BD2">
        <w:rPr>
          <w:rFonts w:cs="Calibri"/>
        </w:rPr>
        <w:t xml:space="preserve">he data </w:t>
      </w:r>
      <w:proofErr w:type="spellStart"/>
      <w:r w:rsidR="00363ED8" w:rsidRPr="00661BD2">
        <w:rPr>
          <w:rFonts w:cs="Calibri"/>
        </w:rPr>
        <w:t>utilised</w:t>
      </w:r>
      <w:proofErr w:type="spellEnd"/>
      <w:r w:rsidR="00363ED8" w:rsidRPr="00661BD2">
        <w:rPr>
          <w:rFonts w:cs="Calibri"/>
        </w:rPr>
        <w:t xml:space="preserve"> in this model is</w:t>
      </w:r>
      <w:r w:rsidR="00363ED8" w:rsidRPr="00661BD2">
        <w:rPr>
          <w:rFonts w:cs="Calibri"/>
          <w:spacing w:val="-1"/>
        </w:rPr>
        <w:t xml:space="preserve"> </w:t>
      </w:r>
      <w:r w:rsidR="00363ED8" w:rsidRPr="00661BD2">
        <w:rPr>
          <w:rFonts w:cs="Calibri"/>
        </w:rPr>
        <w:t>relatively</w:t>
      </w:r>
      <w:r w:rsidR="00363ED8" w:rsidRPr="00661BD2">
        <w:rPr>
          <w:rFonts w:cs="Calibri"/>
          <w:w w:val="99"/>
        </w:rPr>
        <w:t xml:space="preserve"> </w:t>
      </w:r>
      <w:r w:rsidR="00363ED8" w:rsidRPr="00661BD2">
        <w:rPr>
          <w:rFonts w:cs="Calibri"/>
        </w:rPr>
        <w:t xml:space="preserve">high-level. That is, relying on </w:t>
      </w:r>
      <w:proofErr w:type="gramStart"/>
      <w:r w:rsidR="00363ED8" w:rsidRPr="00661BD2">
        <w:rPr>
          <w:rFonts w:cs="Calibri"/>
        </w:rPr>
        <w:t>overall</w:t>
      </w:r>
      <w:proofErr w:type="gramEnd"/>
      <w:r w:rsidR="00363ED8" w:rsidRPr="00661BD2">
        <w:rPr>
          <w:rFonts w:cs="Calibri"/>
        </w:rPr>
        <w:t xml:space="preserve"> </w:t>
      </w:r>
      <w:r w:rsidR="00892CD9">
        <w:rPr>
          <w:rFonts w:cs="Calibri"/>
        </w:rPr>
        <w:t xml:space="preserve">average </w:t>
      </w:r>
      <w:r w:rsidR="00363ED8" w:rsidRPr="00661BD2">
        <w:rPr>
          <w:rFonts w:cs="Calibri"/>
        </w:rPr>
        <w:t xml:space="preserve">retail prices of end products and the </w:t>
      </w:r>
      <w:r w:rsidR="00892CD9">
        <w:rPr>
          <w:rFonts w:cs="Calibri"/>
        </w:rPr>
        <w:t xml:space="preserve">average </w:t>
      </w:r>
      <w:r w:rsidR="00363ED8" w:rsidRPr="00661BD2">
        <w:rPr>
          <w:rFonts w:cs="Calibri"/>
        </w:rPr>
        <w:t>farmgate</w:t>
      </w:r>
      <w:r w:rsidR="00363ED8" w:rsidRPr="00661BD2">
        <w:rPr>
          <w:rFonts w:cs="Calibri"/>
          <w:spacing w:val="-1"/>
        </w:rPr>
        <w:t xml:space="preserve"> </w:t>
      </w:r>
      <w:r w:rsidR="00363ED8" w:rsidRPr="00661BD2">
        <w:rPr>
          <w:rFonts w:cs="Calibri"/>
        </w:rPr>
        <w:t>price</w:t>
      </w:r>
      <w:r w:rsidR="004F1B2C">
        <w:rPr>
          <w:rFonts w:cs="Calibri"/>
        </w:rPr>
        <w:t>s across regions and time</w:t>
      </w:r>
      <w:r w:rsidR="00363ED8" w:rsidRPr="00661BD2">
        <w:rPr>
          <w:rFonts w:cs="Calibri"/>
          <w:w w:val="99"/>
        </w:rPr>
        <w:t xml:space="preserve"> </w:t>
      </w:r>
      <w:r w:rsidR="00363ED8" w:rsidRPr="00661BD2">
        <w:rPr>
          <w:rFonts w:cs="Calibri"/>
        </w:rPr>
        <w:t xml:space="preserve">(Table 1). Whilst the marketing services cost </w:t>
      </w:r>
      <w:proofErr w:type="spellStart"/>
      <w:r w:rsidR="00363ED8" w:rsidRPr="00661BD2">
        <w:rPr>
          <w:rFonts w:cs="Calibri"/>
        </w:rPr>
        <w:t>recognises</w:t>
      </w:r>
      <w:proofErr w:type="spellEnd"/>
      <w:r w:rsidR="00363ED8" w:rsidRPr="00661BD2">
        <w:rPr>
          <w:rFonts w:cs="Calibri"/>
        </w:rPr>
        <w:t xml:space="preserve"> the cost of transforming the raw</w:t>
      </w:r>
      <w:r w:rsidR="00363ED8" w:rsidRPr="00661BD2">
        <w:rPr>
          <w:rFonts w:cs="Calibri"/>
          <w:w w:val="99"/>
        </w:rPr>
        <w:t xml:space="preserve"> </w:t>
      </w:r>
      <w:r w:rsidR="00363ED8" w:rsidRPr="00661BD2">
        <w:rPr>
          <w:rFonts w:cs="Calibri"/>
        </w:rPr>
        <w:t>commodity into the retail product, specific margins throughout the value chain are</w:t>
      </w:r>
      <w:r w:rsidR="00363ED8" w:rsidRPr="00661BD2">
        <w:rPr>
          <w:rFonts w:cs="Calibri"/>
          <w:w w:val="99"/>
        </w:rPr>
        <w:t xml:space="preserve"> </w:t>
      </w:r>
      <w:r w:rsidR="00363ED8" w:rsidRPr="00661BD2">
        <w:rPr>
          <w:rFonts w:cs="Calibri"/>
        </w:rPr>
        <w:t xml:space="preserve">unknown. </w:t>
      </w:r>
    </w:p>
    <w:p w14:paraId="4105EB69" w14:textId="77777777" w:rsidR="004806F6" w:rsidRPr="00661BD2" w:rsidRDefault="004806F6" w:rsidP="00661BD2">
      <w:pPr>
        <w:jc w:val="both"/>
        <w:rPr>
          <w:rFonts w:eastAsia="Calibri" w:cs="Calibri"/>
        </w:rPr>
      </w:pPr>
    </w:p>
    <w:p w14:paraId="614B98F9" w14:textId="6F5CBE7C" w:rsidR="00C64B23" w:rsidRDefault="00A6503D" w:rsidP="00C64B23">
      <w:pPr>
        <w:pStyle w:val="BodyText"/>
        <w:ind w:left="0"/>
        <w:jc w:val="both"/>
        <w:rPr>
          <w:rFonts w:asciiTheme="minorHAnsi" w:hAnsiTheme="minorHAnsi"/>
          <w:sz w:val="22"/>
          <w:szCs w:val="22"/>
        </w:rPr>
      </w:pPr>
      <w:r w:rsidRPr="00B73A45">
        <w:rPr>
          <w:rFonts w:asciiTheme="minorHAnsi" w:hAnsiTheme="minorHAnsi"/>
          <w:sz w:val="22"/>
          <w:szCs w:val="22"/>
        </w:rPr>
        <w:t>F</w:t>
      </w:r>
      <w:r w:rsidR="00DE0807" w:rsidRPr="00B73A45">
        <w:rPr>
          <w:rFonts w:asciiTheme="minorHAnsi" w:hAnsiTheme="minorHAnsi"/>
          <w:sz w:val="22"/>
          <w:szCs w:val="22"/>
        </w:rPr>
        <w:t>urther</w:t>
      </w:r>
      <w:r w:rsidRPr="00B73A45">
        <w:rPr>
          <w:rFonts w:asciiTheme="minorHAnsi" w:hAnsiTheme="minorHAnsi"/>
          <w:sz w:val="22"/>
          <w:szCs w:val="22"/>
        </w:rPr>
        <w:t xml:space="preserve">, </w:t>
      </w:r>
      <w:r w:rsidR="00363ED8" w:rsidRPr="00B73A45">
        <w:rPr>
          <w:rFonts w:asciiTheme="minorHAnsi" w:hAnsiTheme="minorHAnsi"/>
          <w:sz w:val="22"/>
          <w:szCs w:val="22"/>
        </w:rPr>
        <w:t xml:space="preserve">Australia operates in a trade focused environment. </w:t>
      </w:r>
      <w:r w:rsidR="001978CC">
        <w:rPr>
          <w:rFonts w:asciiTheme="minorHAnsi" w:hAnsiTheme="minorHAnsi"/>
          <w:sz w:val="22"/>
          <w:szCs w:val="22"/>
        </w:rPr>
        <w:t>N</w:t>
      </w:r>
      <w:r w:rsidR="00E47B92">
        <w:rPr>
          <w:rFonts w:asciiTheme="minorHAnsi" w:hAnsiTheme="minorHAnsi"/>
          <w:sz w:val="22"/>
          <w:szCs w:val="22"/>
        </w:rPr>
        <w:t xml:space="preserve">o attempt has yet been made to tie </w:t>
      </w:r>
      <w:r w:rsidR="001978CC">
        <w:rPr>
          <w:rFonts w:asciiTheme="minorHAnsi" w:hAnsiTheme="minorHAnsi"/>
          <w:sz w:val="22"/>
          <w:szCs w:val="22"/>
        </w:rPr>
        <w:t xml:space="preserve">together </w:t>
      </w:r>
      <w:r w:rsidR="00E47B92">
        <w:rPr>
          <w:rFonts w:asciiTheme="minorHAnsi" w:hAnsiTheme="minorHAnsi"/>
          <w:sz w:val="22"/>
          <w:szCs w:val="22"/>
        </w:rPr>
        <w:t>the</w:t>
      </w:r>
      <w:r w:rsidR="001978CC">
        <w:rPr>
          <w:rFonts w:asciiTheme="minorHAnsi" w:hAnsiTheme="minorHAnsi"/>
          <w:sz w:val="22"/>
          <w:szCs w:val="22"/>
        </w:rPr>
        <w:t xml:space="preserve"> domestic and export</w:t>
      </w:r>
      <w:r w:rsidR="00E47B92">
        <w:rPr>
          <w:rFonts w:asciiTheme="minorHAnsi" w:hAnsiTheme="minorHAnsi"/>
          <w:sz w:val="22"/>
          <w:szCs w:val="22"/>
        </w:rPr>
        <w:t xml:space="preserve"> markets </w:t>
      </w:r>
      <w:r w:rsidR="001978CC">
        <w:rPr>
          <w:rFonts w:asciiTheme="minorHAnsi" w:hAnsiTheme="minorHAnsi"/>
          <w:sz w:val="22"/>
          <w:szCs w:val="22"/>
        </w:rPr>
        <w:t>within this NEIO framework</w:t>
      </w:r>
      <w:r w:rsidR="00E47B92">
        <w:rPr>
          <w:rFonts w:asciiTheme="minorHAnsi" w:hAnsiTheme="minorHAnsi"/>
          <w:sz w:val="22"/>
          <w:szCs w:val="22"/>
        </w:rPr>
        <w:t xml:space="preserve">. </w:t>
      </w:r>
      <w:r w:rsidR="00363ED8" w:rsidRPr="00B73A45">
        <w:rPr>
          <w:rFonts w:asciiTheme="minorHAnsi" w:hAnsiTheme="minorHAnsi"/>
          <w:sz w:val="22"/>
          <w:szCs w:val="22"/>
        </w:rPr>
        <w:t xml:space="preserve">The significance of </w:t>
      </w:r>
      <w:r w:rsidR="00E47B92">
        <w:rPr>
          <w:rFonts w:asciiTheme="minorHAnsi" w:hAnsiTheme="minorHAnsi"/>
          <w:sz w:val="22"/>
          <w:szCs w:val="22"/>
        </w:rPr>
        <w:t xml:space="preserve">Australia’s </w:t>
      </w:r>
      <w:r w:rsidR="00363ED8" w:rsidRPr="00B73A45">
        <w:rPr>
          <w:rFonts w:asciiTheme="minorHAnsi" w:hAnsiTheme="minorHAnsi"/>
          <w:sz w:val="22"/>
          <w:szCs w:val="22"/>
        </w:rPr>
        <w:t>export</w:t>
      </w:r>
      <w:r w:rsidR="00363ED8" w:rsidRPr="00B73A45">
        <w:rPr>
          <w:rFonts w:asciiTheme="minorHAnsi" w:hAnsiTheme="minorHAnsi"/>
          <w:w w:val="99"/>
          <w:sz w:val="22"/>
          <w:szCs w:val="22"/>
        </w:rPr>
        <w:t xml:space="preserve"> </w:t>
      </w:r>
      <w:r w:rsidR="00363ED8" w:rsidRPr="00B73A45">
        <w:rPr>
          <w:rFonts w:asciiTheme="minorHAnsi" w:hAnsiTheme="minorHAnsi"/>
          <w:sz w:val="22"/>
          <w:szCs w:val="22"/>
        </w:rPr>
        <w:t xml:space="preserve">orientation </w:t>
      </w:r>
      <w:r w:rsidR="00E47B92">
        <w:rPr>
          <w:rFonts w:asciiTheme="minorHAnsi" w:hAnsiTheme="minorHAnsi"/>
          <w:sz w:val="22"/>
          <w:szCs w:val="22"/>
        </w:rPr>
        <w:t xml:space="preserve">for beef, lamb and mutton </w:t>
      </w:r>
      <w:r w:rsidR="00363ED8" w:rsidRPr="00B73A45">
        <w:rPr>
          <w:rFonts w:asciiTheme="minorHAnsi" w:hAnsiTheme="minorHAnsi"/>
          <w:sz w:val="22"/>
          <w:szCs w:val="22"/>
        </w:rPr>
        <w:t>has potential implications for domestic price and the corresponding</w:t>
      </w:r>
      <w:r w:rsidR="00363ED8" w:rsidRPr="00B73A45">
        <w:rPr>
          <w:rFonts w:asciiTheme="minorHAnsi" w:hAnsiTheme="minorHAnsi"/>
          <w:w w:val="99"/>
          <w:sz w:val="22"/>
          <w:szCs w:val="22"/>
        </w:rPr>
        <w:t xml:space="preserve"> </w:t>
      </w:r>
      <w:r w:rsidR="00363ED8" w:rsidRPr="00B73A45">
        <w:rPr>
          <w:rFonts w:asciiTheme="minorHAnsi" w:hAnsiTheme="minorHAnsi"/>
          <w:sz w:val="22"/>
          <w:szCs w:val="22"/>
        </w:rPr>
        <w:t xml:space="preserve">competitive environment (Ahn </w:t>
      </w:r>
      <w:r w:rsidR="002B453B" w:rsidRPr="00B73A45">
        <w:rPr>
          <w:rFonts w:asciiTheme="minorHAnsi" w:hAnsiTheme="minorHAnsi"/>
          <w:sz w:val="22"/>
          <w:szCs w:val="22"/>
        </w:rPr>
        <w:t>and</w:t>
      </w:r>
      <w:r w:rsidR="00363ED8" w:rsidRPr="00B73A45">
        <w:rPr>
          <w:rFonts w:asciiTheme="minorHAnsi" w:hAnsiTheme="minorHAnsi"/>
          <w:sz w:val="22"/>
          <w:szCs w:val="22"/>
        </w:rPr>
        <w:t xml:space="preserve"> </w:t>
      </w:r>
      <w:proofErr w:type="spellStart"/>
      <w:r w:rsidR="00363ED8" w:rsidRPr="00B73A45">
        <w:rPr>
          <w:rFonts w:asciiTheme="minorHAnsi" w:hAnsiTheme="minorHAnsi"/>
          <w:sz w:val="22"/>
          <w:szCs w:val="22"/>
        </w:rPr>
        <w:t>Nayga</w:t>
      </w:r>
      <w:proofErr w:type="spellEnd"/>
      <w:r w:rsidR="00363ED8" w:rsidRPr="00B73A45">
        <w:rPr>
          <w:rFonts w:asciiTheme="minorHAnsi" w:hAnsiTheme="minorHAnsi"/>
          <w:sz w:val="22"/>
          <w:szCs w:val="22"/>
        </w:rPr>
        <w:t>, 2016). The biosecurity driven import restrictions</w:t>
      </w:r>
      <w:r w:rsidR="00363ED8" w:rsidRPr="00B73A45">
        <w:rPr>
          <w:rFonts w:asciiTheme="minorHAnsi" w:hAnsiTheme="minorHAnsi"/>
          <w:spacing w:val="-1"/>
          <w:sz w:val="22"/>
          <w:szCs w:val="22"/>
        </w:rPr>
        <w:t xml:space="preserve"> </w:t>
      </w:r>
      <w:r w:rsidR="00363ED8" w:rsidRPr="00B73A45">
        <w:rPr>
          <w:rFonts w:asciiTheme="minorHAnsi" w:hAnsiTheme="minorHAnsi"/>
          <w:sz w:val="22"/>
          <w:szCs w:val="22"/>
        </w:rPr>
        <w:t xml:space="preserve">on fresh beef, lamb and pork helps shelter domestic </w:t>
      </w:r>
      <w:proofErr w:type="gramStart"/>
      <w:r w:rsidR="00363ED8" w:rsidRPr="00B73A45">
        <w:rPr>
          <w:rFonts w:asciiTheme="minorHAnsi" w:hAnsiTheme="minorHAnsi"/>
          <w:sz w:val="22"/>
          <w:szCs w:val="22"/>
        </w:rPr>
        <w:t>price</w:t>
      </w:r>
      <w:proofErr w:type="gramEnd"/>
      <w:r w:rsidR="00363ED8" w:rsidRPr="00B73A45">
        <w:rPr>
          <w:rFonts w:asciiTheme="minorHAnsi" w:hAnsiTheme="minorHAnsi"/>
          <w:sz w:val="22"/>
          <w:szCs w:val="22"/>
        </w:rPr>
        <w:t xml:space="preserve"> from imports. </w:t>
      </w:r>
      <w:r w:rsidR="00E47B92">
        <w:rPr>
          <w:rFonts w:asciiTheme="minorHAnsi" w:hAnsiTheme="minorHAnsi"/>
          <w:sz w:val="22"/>
          <w:szCs w:val="22"/>
        </w:rPr>
        <w:t>But f</w:t>
      </w:r>
      <w:r w:rsidR="00F57E06" w:rsidRPr="00B73A45">
        <w:rPr>
          <w:rFonts w:asciiTheme="minorHAnsi" w:hAnsiTheme="minorHAnsi"/>
          <w:sz w:val="22"/>
          <w:szCs w:val="22"/>
        </w:rPr>
        <w:t>urther work is required to investigate the extent to which export market specifications differ from</w:t>
      </w:r>
      <w:r w:rsidR="00F57E06" w:rsidRPr="00B73A45">
        <w:rPr>
          <w:rFonts w:asciiTheme="minorHAnsi" w:hAnsiTheme="minorHAnsi"/>
          <w:w w:val="99"/>
          <w:sz w:val="22"/>
          <w:szCs w:val="22"/>
        </w:rPr>
        <w:t xml:space="preserve"> </w:t>
      </w:r>
      <w:r w:rsidR="00F57E06" w:rsidRPr="00B73A45">
        <w:rPr>
          <w:rFonts w:asciiTheme="minorHAnsi" w:hAnsiTheme="minorHAnsi"/>
          <w:sz w:val="22"/>
          <w:szCs w:val="22"/>
        </w:rPr>
        <w:t>domestic market specifications (</w:t>
      </w:r>
      <w:r w:rsidR="00E47B92">
        <w:rPr>
          <w:rFonts w:asciiTheme="minorHAnsi" w:hAnsiTheme="minorHAnsi"/>
          <w:sz w:val="22"/>
          <w:szCs w:val="22"/>
        </w:rPr>
        <w:t xml:space="preserve">not only </w:t>
      </w:r>
      <w:r w:rsidR="00F57E06" w:rsidRPr="00B73A45">
        <w:rPr>
          <w:rFonts w:asciiTheme="minorHAnsi" w:hAnsiTheme="minorHAnsi"/>
          <w:sz w:val="22"/>
          <w:szCs w:val="22"/>
        </w:rPr>
        <w:t>breed</w:t>
      </w:r>
      <w:r w:rsidR="00E47B92">
        <w:rPr>
          <w:rFonts w:asciiTheme="minorHAnsi" w:hAnsiTheme="minorHAnsi"/>
          <w:sz w:val="22"/>
          <w:szCs w:val="22"/>
        </w:rPr>
        <w:t>, weight and sex</w:t>
      </w:r>
      <w:r w:rsidR="00F57E06" w:rsidRPr="00B73A45">
        <w:rPr>
          <w:rFonts w:asciiTheme="minorHAnsi" w:hAnsiTheme="minorHAnsi"/>
          <w:sz w:val="22"/>
          <w:szCs w:val="22"/>
        </w:rPr>
        <w:t xml:space="preserve"> differences, </w:t>
      </w:r>
      <w:r w:rsidR="00E47B92">
        <w:rPr>
          <w:rFonts w:asciiTheme="minorHAnsi" w:hAnsiTheme="minorHAnsi"/>
          <w:sz w:val="22"/>
          <w:szCs w:val="22"/>
        </w:rPr>
        <w:t xml:space="preserve">but also </w:t>
      </w:r>
      <w:r w:rsidR="00F57E06" w:rsidRPr="00B73A45">
        <w:rPr>
          <w:rFonts w:asciiTheme="minorHAnsi" w:hAnsiTheme="minorHAnsi"/>
          <w:sz w:val="22"/>
          <w:szCs w:val="22"/>
        </w:rPr>
        <w:t>the nature of quality assurance schemes such as MSA)</w:t>
      </w:r>
      <w:r w:rsidR="00C64B23" w:rsidRPr="00B73A45">
        <w:rPr>
          <w:rFonts w:asciiTheme="minorHAnsi" w:hAnsiTheme="minorHAnsi"/>
          <w:sz w:val="22"/>
          <w:szCs w:val="22"/>
        </w:rPr>
        <w:t>, and the implications for price transmission processes and the ability to separate market outlets. The exploratory study by Zhao et al. (1998) in a beef context may be worth revisiting.</w:t>
      </w:r>
    </w:p>
    <w:p w14:paraId="328D2BF6" w14:textId="77777777" w:rsidR="00DC0512" w:rsidRDefault="00DC0512" w:rsidP="00C64B23">
      <w:pPr>
        <w:pStyle w:val="BodyText"/>
        <w:ind w:left="0"/>
        <w:jc w:val="both"/>
        <w:rPr>
          <w:rFonts w:asciiTheme="minorHAnsi" w:hAnsiTheme="minorHAnsi"/>
          <w:sz w:val="22"/>
          <w:szCs w:val="22"/>
        </w:rPr>
      </w:pPr>
    </w:p>
    <w:p w14:paraId="58FB826C" w14:textId="0EE1AF51" w:rsidR="00DC0512" w:rsidRPr="00DC0512" w:rsidRDefault="00DC0512" w:rsidP="00C64B23">
      <w:pPr>
        <w:pStyle w:val="BodyText"/>
        <w:ind w:left="0"/>
        <w:jc w:val="both"/>
        <w:rPr>
          <w:rFonts w:asciiTheme="minorHAnsi" w:hAnsiTheme="minorHAnsi"/>
          <w:b/>
          <w:bCs/>
        </w:rPr>
      </w:pPr>
      <w:r w:rsidRPr="00DC0512">
        <w:rPr>
          <w:rFonts w:asciiTheme="minorHAnsi" w:hAnsiTheme="minorHAnsi"/>
          <w:b/>
          <w:bCs/>
        </w:rPr>
        <w:t>References</w:t>
      </w:r>
    </w:p>
    <w:p w14:paraId="03303FA5" w14:textId="77777777" w:rsidR="00DC0512" w:rsidRPr="00661C29" w:rsidRDefault="00DC0512" w:rsidP="00C64B23">
      <w:pPr>
        <w:pStyle w:val="BodyText"/>
        <w:ind w:left="0"/>
        <w:jc w:val="both"/>
        <w:rPr>
          <w:rFonts w:asciiTheme="minorHAnsi" w:hAnsiTheme="minorHAnsi" w:cs="Calibri"/>
          <w:sz w:val="22"/>
          <w:szCs w:val="22"/>
          <w:u w:val="single"/>
        </w:rPr>
      </w:pPr>
    </w:p>
    <w:p w14:paraId="69BBB928" w14:textId="77777777" w:rsidR="007E2B8C" w:rsidRPr="00DC0512" w:rsidRDefault="007E2B8C" w:rsidP="00DC0512">
      <w:pPr>
        <w:pStyle w:val="BodyText"/>
        <w:ind w:left="0"/>
        <w:jc w:val="both"/>
        <w:rPr>
          <w:rFonts w:asciiTheme="minorHAnsi" w:hAnsiTheme="minorHAnsi" w:cstheme="minorHAnsi"/>
          <w:sz w:val="22"/>
          <w:szCs w:val="22"/>
        </w:rPr>
      </w:pPr>
      <w:r w:rsidRPr="00DC0512">
        <w:rPr>
          <w:rFonts w:asciiTheme="minorHAnsi" w:hAnsiTheme="minorHAnsi" w:cstheme="minorHAnsi"/>
          <w:sz w:val="22"/>
          <w:szCs w:val="22"/>
        </w:rPr>
        <w:t xml:space="preserve">Ahn, B.-I. and </w:t>
      </w:r>
      <w:proofErr w:type="spellStart"/>
      <w:r w:rsidRPr="00DC0512">
        <w:rPr>
          <w:rFonts w:asciiTheme="minorHAnsi" w:hAnsiTheme="minorHAnsi" w:cstheme="minorHAnsi"/>
          <w:sz w:val="22"/>
          <w:szCs w:val="22"/>
        </w:rPr>
        <w:t>Nayga</w:t>
      </w:r>
      <w:proofErr w:type="spellEnd"/>
      <w:r w:rsidRPr="00DC0512">
        <w:rPr>
          <w:rFonts w:asciiTheme="minorHAnsi" w:hAnsiTheme="minorHAnsi" w:cstheme="minorHAnsi"/>
          <w:sz w:val="22"/>
          <w:szCs w:val="22"/>
        </w:rPr>
        <w:t>, R.M. (2016), ‘Market power of domestic marketers and its influence on</w:t>
      </w:r>
      <w:r w:rsidRPr="00DC0512">
        <w:rPr>
          <w:rFonts w:asciiTheme="minorHAnsi" w:hAnsiTheme="minorHAnsi" w:cstheme="minorHAnsi"/>
          <w:spacing w:val="-3"/>
          <w:sz w:val="22"/>
          <w:szCs w:val="22"/>
        </w:rPr>
        <w:t xml:space="preserve"> </w:t>
      </w:r>
      <w:r w:rsidRPr="00DC0512">
        <w:rPr>
          <w:rFonts w:asciiTheme="minorHAnsi" w:hAnsiTheme="minorHAnsi" w:cstheme="minorHAnsi"/>
          <w:sz w:val="22"/>
          <w:szCs w:val="22"/>
        </w:rPr>
        <w:t>the</w:t>
      </w:r>
      <w:r w:rsidRPr="00DC0512">
        <w:rPr>
          <w:rFonts w:asciiTheme="minorHAnsi" w:hAnsiTheme="minorHAnsi" w:cstheme="minorHAnsi"/>
          <w:w w:val="99"/>
          <w:sz w:val="22"/>
          <w:szCs w:val="22"/>
        </w:rPr>
        <w:t xml:space="preserve"> c</w:t>
      </w:r>
      <w:r w:rsidRPr="00DC0512">
        <w:rPr>
          <w:rFonts w:asciiTheme="minorHAnsi" w:hAnsiTheme="minorHAnsi" w:cstheme="minorHAnsi"/>
          <w:sz w:val="22"/>
          <w:szCs w:val="22"/>
        </w:rPr>
        <w:t>onsequences of the Korea–US and Korea–Australia FTAs on the beef market’.</w:t>
      </w:r>
      <w:r w:rsidRPr="00DC0512">
        <w:rPr>
          <w:rFonts w:asciiTheme="minorHAnsi" w:hAnsiTheme="minorHAnsi" w:cstheme="minorHAnsi"/>
          <w:spacing w:val="-5"/>
          <w:sz w:val="22"/>
          <w:szCs w:val="22"/>
        </w:rPr>
        <w:t xml:space="preserve"> </w:t>
      </w:r>
      <w:r w:rsidRPr="00DC0512">
        <w:rPr>
          <w:rFonts w:asciiTheme="minorHAnsi" w:hAnsiTheme="minorHAnsi" w:cstheme="minorHAnsi"/>
          <w:i/>
          <w:sz w:val="22"/>
          <w:szCs w:val="22"/>
        </w:rPr>
        <w:t>Global</w:t>
      </w:r>
      <w:r w:rsidRPr="00DC0512">
        <w:rPr>
          <w:rFonts w:asciiTheme="minorHAnsi" w:hAnsiTheme="minorHAnsi" w:cstheme="minorHAnsi"/>
          <w:i/>
          <w:spacing w:val="-1"/>
          <w:sz w:val="22"/>
          <w:szCs w:val="22"/>
        </w:rPr>
        <w:t xml:space="preserve"> </w:t>
      </w:r>
      <w:r w:rsidRPr="00DC0512">
        <w:rPr>
          <w:rFonts w:asciiTheme="minorHAnsi" w:hAnsiTheme="minorHAnsi" w:cstheme="minorHAnsi"/>
          <w:i/>
          <w:sz w:val="22"/>
          <w:szCs w:val="22"/>
        </w:rPr>
        <w:t>Economic Review, 45</w:t>
      </w:r>
      <w:r w:rsidRPr="00DC0512">
        <w:rPr>
          <w:rFonts w:asciiTheme="minorHAnsi" w:hAnsiTheme="minorHAnsi" w:cstheme="minorHAnsi"/>
          <w:sz w:val="22"/>
          <w:szCs w:val="22"/>
        </w:rPr>
        <w:t>(2), 170-188.</w:t>
      </w:r>
      <w:r w:rsidRPr="00DC0512">
        <w:rPr>
          <w:rFonts w:asciiTheme="minorHAnsi" w:hAnsiTheme="minorHAnsi" w:cstheme="minorHAnsi"/>
          <w:spacing w:val="-2"/>
          <w:sz w:val="22"/>
          <w:szCs w:val="22"/>
        </w:rPr>
        <w:t xml:space="preserve"> </w:t>
      </w:r>
      <w:r w:rsidRPr="00DC0512">
        <w:rPr>
          <w:rFonts w:asciiTheme="minorHAnsi" w:hAnsiTheme="minorHAnsi" w:cstheme="minorHAnsi"/>
          <w:sz w:val="22"/>
          <w:szCs w:val="22"/>
        </w:rPr>
        <w:t>doi:10.1080/1226508X.2016.1152561</w:t>
      </w:r>
    </w:p>
    <w:p w14:paraId="61BB239F" w14:textId="77777777" w:rsidR="007E2B8C" w:rsidRPr="00DC0512" w:rsidRDefault="007E2B8C" w:rsidP="00DC0512">
      <w:pPr>
        <w:contextualSpacing/>
        <w:jc w:val="both"/>
        <w:rPr>
          <w:rFonts w:cstheme="minorHAnsi"/>
        </w:rPr>
      </w:pPr>
    </w:p>
    <w:p w14:paraId="2E1CC2AE" w14:textId="77777777" w:rsidR="007E2B8C" w:rsidRPr="00DC0512" w:rsidRDefault="007E2B8C" w:rsidP="00DC0512">
      <w:pPr>
        <w:contextualSpacing/>
        <w:jc w:val="both"/>
        <w:rPr>
          <w:rFonts w:eastAsia="Calibri" w:cstheme="minorHAnsi"/>
          <w:iCs/>
        </w:rPr>
      </w:pPr>
      <w:r w:rsidRPr="00DC0512">
        <w:rPr>
          <w:rFonts w:cstheme="minorHAnsi"/>
        </w:rPr>
        <w:t xml:space="preserve">Australian Bureau of Agricultural and Resource Economics (1988), </w:t>
      </w:r>
      <w:r w:rsidRPr="00DC0512">
        <w:rPr>
          <w:rFonts w:cstheme="minorHAnsi"/>
          <w:i/>
        </w:rPr>
        <w:t>Japanese Agricultural</w:t>
      </w:r>
      <w:r w:rsidRPr="00DC0512">
        <w:rPr>
          <w:rFonts w:cstheme="minorHAnsi"/>
          <w:i/>
          <w:spacing w:val="1"/>
        </w:rPr>
        <w:t xml:space="preserve"> Policies: a time of Change. </w:t>
      </w:r>
      <w:r w:rsidRPr="00DC0512">
        <w:rPr>
          <w:rFonts w:cstheme="minorHAnsi"/>
          <w:iCs/>
          <w:spacing w:val="1"/>
        </w:rPr>
        <w:t>ABARE Policy Monograph No. 3, ABARE, Canberra, October.</w:t>
      </w:r>
    </w:p>
    <w:p w14:paraId="244DF9F8" w14:textId="77777777" w:rsidR="00DC0512" w:rsidRDefault="00DC0512" w:rsidP="00DC0512">
      <w:pPr>
        <w:pStyle w:val="BodyText"/>
        <w:spacing w:line="280" w:lineRule="atLeast"/>
        <w:ind w:left="0"/>
        <w:contextualSpacing/>
        <w:jc w:val="both"/>
        <w:rPr>
          <w:rFonts w:asciiTheme="minorHAnsi" w:hAnsiTheme="minorHAnsi" w:cstheme="minorHAnsi"/>
          <w:sz w:val="22"/>
          <w:szCs w:val="22"/>
        </w:rPr>
      </w:pPr>
    </w:p>
    <w:p w14:paraId="20654EED" w14:textId="74CAD4AD" w:rsidR="007E2B8C" w:rsidRPr="00DC0512" w:rsidRDefault="007E2B8C" w:rsidP="00DC0512">
      <w:pPr>
        <w:pStyle w:val="BodyText"/>
        <w:spacing w:line="280" w:lineRule="atLeast"/>
        <w:ind w:left="0"/>
        <w:contextualSpacing/>
        <w:jc w:val="both"/>
        <w:rPr>
          <w:rFonts w:asciiTheme="minorHAnsi" w:hAnsiTheme="minorHAnsi" w:cstheme="minorHAnsi"/>
          <w:color w:val="0563C1"/>
          <w:sz w:val="22"/>
          <w:szCs w:val="22"/>
          <w:u w:val="single" w:color="0563C1"/>
        </w:rPr>
      </w:pPr>
      <w:r w:rsidRPr="00DC0512">
        <w:rPr>
          <w:rFonts w:asciiTheme="minorHAnsi" w:hAnsiTheme="minorHAnsi" w:cstheme="minorHAnsi"/>
          <w:sz w:val="22"/>
          <w:szCs w:val="22"/>
        </w:rPr>
        <w:t xml:space="preserve">Australian Bureau of Agricultural and Resource Economics (2022), </w:t>
      </w:r>
      <w:r w:rsidRPr="00DC0512">
        <w:rPr>
          <w:rFonts w:asciiTheme="minorHAnsi" w:hAnsiTheme="minorHAnsi" w:cstheme="minorHAnsi"/>
          <w:i/>
          <w:sz w:val="22"/>
          <w:szCs w:val="22"/>
        </w:rPr>
        <w:t>Agricultural</w:t>
      </w:r>
      <w:r w:rsidRPr="00DC0512">
        <w:rPr>
          <w:rFonts w:asciiTheme="minorHAnsi" w:hAnsiTheme="minorHAnsi" w:cstheme="minorHAnsi"/>
          <w:i/>
          <w:spacing w:val="1"/>
          <w:sz w:val="22"/>
          <w:szCs w:val="22"/>
        </w:rPr>
        <w:t xml:space="preserve"> </w:t>
      </w:r>
      <w:r w:rsidRPr="00DC0512">
        <w:rPr>
          <w:rFonts w:asciiTheme="minorHAnsi" w:hAnsiTheme="minorHAnsi" w:cstheme="minorHAnsi"/>
          <w:i/>
          <w:sz w:val="22"/>
          <w:szCs w:val="22"/>
        </w:rPr>
        <w:t>Commodity Statistics</w:t>
      </w:r>
      <w:r w:rsidRPr="00DC0512">
        <w:rPr>
          <w:rFonts w:asciiTheme="minorHAnsi" w:hAnsiTheme="minorHAnsi" w:cstheme="minorHAnsi"/>
          <w:sz w:val="22"/>
          <w:szCs w:val="22"/>
        </w:rPr>
        <w:t>. Retrieved from</w:t>
      </w:r>
      <w:r w:rsidRPr="00DC0512">
        <w:rPr>
          <w:rFonts w:asciiTheme="minorHAnsi" w:hAnsiTheme="minorHAnsi" w:cstheme="minorHAnsi"/>
          <w:spacing w:val="-2"/>
          <w:sz w:val="22"/>
          <w:szCs w:val="22"/>
        </w:rPr>
        <w:t xml:space="preserve"> </w:t>
      </w:r>
      <w:hyperlink r:id="rId16">
        <w:r w:rsidRPr="00DC0512">
          <w:rPr>
            <w:rFonts w:asciiTheme="minorHAnsi" w:hAnsiTheme="minorHAnsi" w:cstheme="minorHAnsi"/>
            <w:color w:val="0563C1"/>
            <w:sz w:val="22"/>
            <w:szCs w:val="22"/>
            <w:u w:val="single" w:color="0563C1"/>
          </w:rPr>
          <w:t>http://www.agriculture.gov.au/abares/research-</w:t>
        </w:r>
      </w:hyperlink>
      <w:r w:rsidRPr="00DC0512">
        <w:rPr>
          <w:rFonts w:asciiTheme="minorHAnsi" w:hAnsiTheme="minorHAnsi" w:cstheme="minorHAnsi"/>
          <w:color w:val="0563C1"/>
          <w:sz w:val="22"/>
          <w:szCs w:val="22"/>
        </w:rPr>
        <w:t xml:space="preserve"> </w:t>
      </w:r>
      <w:r w:rsidRPr="00DC0512">
        <w:rPr>
          <w:rFonts w:asciiTheme="minorHAnsi" w:hAnsiTheme="minorHAnsi" w:cstheme="minorHAnsi"/>
          <w:color w:val="0563C1"/>
          <w:sz w:val="22"/>
          <w:szCs w:val="22"/>
          <w:u w:val="single" w:color="0563C1"/>
        </w:rPr>
        <w:t>topics/agricultural-</w:t>
      </w:r>
    </w:p>
    <w:p w14:paraId="69919909" w14:textId="77777777" w:rsidR="007E2B8C" w:rsidRPr="00DC0512" w:rsidRDefault="007E2B8C" w:rsidP="00DC0512">
      <w:pPr>
        <w:pStyle w:val="BodyText"/>
        <w:spacing w:line="280" w:lineRule="atLeast"/>
        <w:ind w:left="0"/>
        <w:contextualSpacing/>
        <w:jc w:val="both"/>
        <w:rPr>
          <w:rFonts w:asciiTheme="minorHAnsi" w:hAnsiTheme="minorHAnsi" w:cstheme="minorHAnsi"/>
          <w:sz w:val="22"/>
          <w:szCs w:val="22"/>
        </w:rPr>
      </w:pPr>
      <w:r w:rsidRPr="00DC0512">
        <w:rPr>
          <w:rFonts w:asciiTheme="minorHAnsi" w:hAnsiTheme="minorHAnsi" w:cstheme="minorHAnsi"/>
          <w:color w:val="0563C1"/>
          <w:sz w:val="22"/>
          <w:szCs w:val="22"/>
          <w:u w:val="single" w:color="0563C1"/>
        </w:rPr>
        <w:t>commodities/agricultural-commodities-trade-data#2022</w:t>
      </w:r>
    </w:p>
    <w:p w14:paraId="11A8DE4A" w14:textId="77777777" w:rsidR="007E2B8C" w:rsidRPr="00DC0512" w:rsidRDefault="007E2B8C" w:rsidP="00DC0512">
      <w:pPr>
        <w:contextualSpacing/>
        <w:jc w:val="both"/>
        <w:rPr>
          <w:rFonts w:eastAsia="Calibri" w:cstheme="minorHAnsi"/>
        </w:rPr>
      </w:pPr>
    </w:p>
    <w:p w14:paraId="16648591" w14:textId="77777777" w:rsidR="007E2B8C" w:rsidRPr="00DC0512" w:rsidRDefault="007E2B8C" w:rsidP="00DC0512">
      <w:pPr>
        <w:contextualSpacing/>
        <w:jc w:val="both"/>
        <w:rPr>
          <w:rFonts w:cstheme="minorHAnsi"/>
          <w:w w:val="99"/>
        </w:rPr>
      </w:pPr>
      <w:r w:rsidRPr="00DC0512">
        <w:rPr>
          <w:rFonts w:cstheme="minorHAnsi"/>
        </w:rPr>
        <w:t xml:space="preserve">Australian Bureau of Statistics (2024a), </w:t>
      </w:r>
      <w:r w:rsidRPr="00DC0512">
        <w:rPr>
          <w:rFonts w:cstheme="minorHAnsi"/>
          <w:i/>
        </w:rPr>
        <w:t xml:space="preserve">Australian Consumer Price Index, Food and Non-Alcoholic Beverages - Australia. </w:t>
      </w:r>
      <w:r w:rsidRPr="00DC0512">
        <w:rPr>
          <w:rFonts w:cstheme="minorHAnsi"/>
        </w:rPr>
        <w:t>Retrieved</w:t>
      </w:r>
      <w:r w:rsidRPr="00DC0512">
        <w:rPr>
          <w:rFonts w:cstheme="minorHAnsi"/>
          <w:spacing w:val="-1"/>
        </w:rPr>
        <w:t xml:space="preserve"> </w:t>
      </w:r>
      <w:r w:rsidRPr="00DC0512">
        <w:rPr>
          <w:rFonts w:cstheme="minorHAnsi"/>
        </w:rPr>
        <w:t>from</w:t>
      </w:r>
      <w:r w:rsidRPr="00DC0512">
        <w:rPr>
          <w:rFonts w:cstheme="minorHAnsi"/>
          <w:w w:val="99"/>
        </w:rPr>
        <w:t xml:space="preserve"> </w:t>
      </w:r>
    </w:p>
    <w:p w14:paraId="2964C67F" w14:textId="77777777" w:rsidR="007E2B8C" w:rsidRPr="00DC0512" w:rsidRDefault="007E2B8C" w:rsidP="00DC0512">
      <w:pPr>
        <w:contextualSpacing/>
        <w:jc w:val="both"/>
        <w:rPr>
          <w:rFonts w:eastAsia="Calibri" w:cstheme="minorHAnsi"/>
        </w:rPr>
      </w:pPr>
      <w:hyperlink r:id="rId17" w:history="1">
        <w:r w:rsidRPr="00DC0512">
          <w:rPr>
            <w:rStyle w:val="Hyperlink"/>
            <w:rFonts w:cstheme="minorHAnsi"/>
          </w:rPr>
          <w:t>https://www.abs.gov.au/AUSSTATS/abs@.nsf/DetailsPage/6401.0Junper cent202019?OpenDoc</w:t>
        </w:r>
      </w:hyperlink>
      <w:r w:rsidRPr="00DC0512">
        <w:rPr>
          <w:rFonts w:cstheme="minorHAnsi"/>
          <w:color w:val="0563C1"/>
          <w:w w:val="99"/>
        </w:rPr>
        <w:t xml:space="preserve"> </w:t>
      </w:r>
      <w:proofErr w:type="spellStart"/>
      <w:r w:rsidRPr="00DC0512">
        <w:rPr>
          <w:rFonts w:cstheme="minorHAnsi"/>
          <w:color w:val="0563C1"/>
          <w:u w:val="single" w:color="0563C1"/>
        </w:rPr>
        <w:t>ument</w:t>
      </w:r>
      <w:proofErr w:type="spellEnd"/>
    </w:p>
    <w:p w14:paraId="3E7161D0" w14:textId="77777777" w:rsidR="00DC0512" w:rsidRDefault="00DC0512" w:rsidP="00DC0512">
      <w:pPr>
        <w:pStyle w:val="BodyText"/>
        <w:spacing w:line="280" w:lineRule="atLeast"/>
        <w:ind w:left="0"/>
        <w:contextualSpacing/>
        <w:jc w:val="both"/>
        <w:rPr>
          <w:rFonts w:asciiTheme="minorHAnsi" w:hAnsiTheme="minorHAnsi" w:cstheme="minorHAnsi"/>
          <w:sz w:val="22"/>
          <w:szCs w:val="22"/>
        </w:rPr>
      </w:pPr>
    </w:p>
    <w:p w14:paraId="1A1FC02B" w14:textId="5E7B6227" w:rsidR="007E2B8C" w:rsidRPr="00DC0512" w:rsidRDefault="007E2B8C" w:rsidP="00DC0512">
      <w:pPr>
        <w:pStyle w:val="BodyText"/>
        <w:spacing w:line="280" w:lineRule="atLeast"/>
        <w:ind w:left="0"/>
        <w:contextualSpacing/>
        <w:jc w:val="both"/>
        <w:rPr>
          <w:rFonts w:asciiTheme="minorHAnsi" w:hAnsiTheme="minorHAnsi" w:cstheme="minorHAnsi"/>
          <w:sz w:val="22"/>
          <w:szCs w:val="22"/>
        </w:rPr>
      </w:pPr>
      <w:r w:rsidRPr="00DC0512">
        <w:rPr>
          <w:rFonts w:asciiTheme="minorHAnsi" w:hAnsiTheme="minorHAnsi" w:cstheme="minorHAnsi"/>
          <w:sz w:val="22"/>
          <w:szCs w:val="22"/>
        </w:rPr>
        <w:t xml:space="preserve">Australian Bureau of Statistics (2024b), </w:t>
      </w:r>
      <w:r w:rsidRPr="00DC0512">
        <w:rPr>
          <w:rFonts w:asciiTheme="minorHAnsi" w:hAnsiTheme="minorHAnsi" w:cstheme="minorHAnsi"/>
          <w:i/>
          <w:sz w:val="22"/>
          <w:szCs w:val="22"/>
        </w:rPr>
        <w:t xml:space="preserve">6345.0 - Wage Price Index. </w:t>
      </w:r>
      <w:r w:rsidRPr="00DC0512">
        <w:rPr>
          <w:rFonts w:asciiTheme="minorHAnsi" w:hAnsiTheme="minorHAnsi" w:cstheme="minorHAnsi"/>
          <w:sz w:val="22"/>
          <w:szCs w:val="22"/>
        </w:rPr>
        <w:t>Retrieved</w:t>
      </w:r>
      <w:r w:rsidRPr="00DC0512">
        <w:rPr>
          <w:rFonts w:asciiTheme="minorHAnsi" w:hAnsiTheme="minorHAnsi" w:cstheme="minorHAnsi"/>
          <w:spacing w:val="-1"/>
          <w:sz w:val="22"/>
          <w:szCs w:val="22"/>
        </w:rPr>
        <w:t xml:space="preserve"> </w:t>
      </w:r>
      <w:r w:rsidRPr="00DC0512">
        <w:rPr>
          <w:rFonts w:asciiTheme="minorHAnsi" w:hAnsiTheme="minorHAnsi" w:cstheme="minorHAnsi"/>
          <w:sz w:val="22"/>
          <w:szCs w:val="22"/>
        </w:rPr>
        <w:t>from</w:t>
      </w:r>
      <w:r w:rsidRPr="00DC0512">
        <w:rPr>
          <w:rFonts w:asciiTheme="minorHAnsi" w:hAnsiTheme="minorHAnsi" w:cstheme="minorHAnsi"/>
          <w:w w:val="99"/>
          <w:sz w:val="22"/>
          <w:szCs w:val="22"/>
        </w:rPr>
        <w:t xml:space="preserve"> </w:t>
      </w:r>
      <w:hyperlink r:id="rId18">
        <w:r w:rsidRPr="00DC0512">
          <w:rPr>
            <w:rFonts w:asciiTheme="minorHAnsi" w:hAnsiTheme="minorHAnsi" w:cstheme="minorHAnsi"/>
            <w:color w:val="0563C1"/>
            <w:sz w:val="22"/>
            <w:szCs w:val="22"/>
            <w:u w:val="single" w:color="0563C1"/>
          </w:rPr>
          <w:t>https://www.abs.gov.au/AUSSTATS/abs@.nsf/DetailsPage/6345.0Junper cent202019?OpenDocument</w:t>
        </w:r>
      </w:hyperlink>
    </w:p>
    <w:p w14:paraId="4F1BF6C8" w14:textId="77777777" w:rsidR="007E2B8C" w:rsidRPr="00DC0512" w:rsidRDefault="007E2B8C" w:rsidP="00DC0512">
      <w:pPr>
        <w:contextualSpacing/>
        <w:jc w:val="both"/>
        <w:rPr>
          <w:rFonts w:eastAsia="Calibri" w:cstheme="minorHAnsi"/>
        </w:rPr>
      </w:pPr>
    </w:p>
    <w:p w14:paraId="36A92D04" w14:textId="77777777" w:rsidR="007E2B8C" w:rsidRPr="00DC0512" w:rsidRDefault="007E2B8C" w:rsidP="00DC0512">
      <w:pPr>
        <w:jc w:val="both"/>
        <w:rPr>
          <w:rFonts w:eastAsia="Calibri" w:cstheme="minorHAnsi"/>
        </w:rPr>
      </w:pPr>
      <w:r w:rsidRPr="00DC0512">
        <w:rPr>
          <w:rFonts w:cstheme="minorHAnsi"/>
        </w:rPr>
        <w:t xml:space="preserve">Australian Competition and Consumer Commission (2002), </w:t>
      </w:r>
      <w:r w:rsidRPr="00DC0512">
        <w:rPr>
          <w:rFonts w:cstheme="minorHAnsi"/>
          <w:i/>
        </w:rPr>
        <w:t>Report to the Senate by the ACCC</w:t>
      </w:r>
      <w:r w:rsidRPr="00DC0512">
        <w:rPr>
          <w:rFonts w:cstheme="minorHAnsi"/>
          <w:i/>
          <w:spacing w:val="1"/>
        </w:rPr>
        <w:t xml:space="preserve"> </w:t>
      </w:r>
      <w:r w:rsidRPr="00DC0512">
        <w:rPr>
          <w:rFonts w:cstheme="minorHAnsi"/>
          <w:i/>
        </w:rPr>
        <w:t>on Prices Paid to Suppliers by Retailers in the Australian Grocery Industry</w:t>
      </w:r>
      <w:r w:rsidRPr="00DC0512">
        <w:rPr>
          <w:rFonts w:cstheme="minorHAnsi"/>
        </w:rPr>
        <w:t>. Retrieved</w:t>
      </w:r>
      <w:r w:rsidRPr="00DC0512">
        <w:rPr>
          <w:rFonts w:cstheme="minorHAnsi"/>
          <w:spacing w:val="-1"/>
        </w:rPr>
        <w:t xml:space="preserve"> </w:t>
      </w:r>
      <w:r w:rsidRPr="00DC0512">
        <w:rPr>
          <w:rFonts w:cstheme="minorHAnsi"/>
        </w:rPr>
        <w:t>from</w:t>
      </w:r>
      <w:r w:rsidRPr="00DC0512">
        <w:rPr>
          <w:rFonts w:cstheme="minorHAnsi"/>
          <w:w w:val="99"/>
        </w:rPr>
        <w:t xml:space="preserve"> </w:t>
      </w:r>
      <w:r w:rsidRPr="00DC0512">
        <w:rPr>
          <w:rFonts w:cstheme="minorHAnsi"/>
          <w:color w:val="0563C1"/>
          <w:spacing w:val="-1"/>
          <w:u w:val="single" w:color="0563C1"/>
        </w:rPr>
        <w:t>https://</w:t>
      </w:r>
      <w:hyperlink r:id="rId19">
        <w:r w:rsidRPr="00DC0512">
          <w:rPr>
            <w:rFonts w:cstheme="minorHAnsi"/>
            <w:color w:val="0563C1"/>
            <w:spacing w:val="-1"/>
            <w:u w:val="single" w:color="0563C1"/>
          </w:rPr>
          <w:t>www.accc.gov.au/publications/report-on-prices-paid-to-suppliers-by-retailers-in-</w:t>
        </w:r>
      </w:hyperlink>
      <w:r w:rsidRPr="00DC0512">
        <w:rPr>
          <w:rFonts w:cstheme="minorHAnsi"/>
          <w:color w:val="0563C1"/>
        </w:rPr>
        <w:t xml:space="preserve"> </w:t>
      </w:r>
      <w:r w:rsidRPr="00DC0512">
        <w:rPr>
          <w:rFonts w:cstheme="minorHAnsi"/>
          <w:color w:val="0563C1"/>
          <w:u w:val="single" w:color="0563C1"/>
        </w:rPr>
        <w:t>the-</w:t>
      </w:r>
      <w:proofErr w:type="spellStart"/>
      <w:r w:rsidRPr="00DC0512">
        <w:rPr>
          <w:rFonts w:cstheme="minorHAnsi"/>
          <w:color w:val="0563C1"/>
          <w:u w:val="single" w:color="0563C1"/>
        </w:rPr>
        <w:t>australian</w:t>
      </w:r>
      <w:proofErr w:type="spellEnd"/>
      <w:r w:rsidRPr="00DC0512">
        <w:rPr>
          <w:rFonts w:cstheme="minorHAnsi"/>
          <w:color w:val="0563C1"/>
          <w:u w:val="single" w:color="0563C1"/>
        </w:rPr>
        <w:t>-grocery-industry</w:t>
      </w:r>
    </w:p>
    <w:p w14:paraId="1330D211" w14:textId="77777777" w:rsidR="007E2B8C" w:rsidRPr="00DC0512" w:rsidRDefault="007E2B8C" w:rsidP="00DC0512">
      <w:pPr>
        <w:jc w:val="both"/>
        <w:rPr>
          <w:rFonts w:eastAsia="Calibri" w:cstheme="minorHAnsi"/>
        </w:rPr>
      </w:pPr>
    </w:p>
    <w:p w14:paraId="52F780F6" w14:textId="77777777" w:rsidR="007E2B8C" w:rsidRPr="00DC0512" w:rsidRDefault="007E2B8C" w:rsidP="00DC0512">
      <w:pPr>
        <w:jc w:val="both"/>
        <w:rPr>
          <w:rFonts w:eastAsia="Calibri" w:cstheme="minorHAnsi"/>
        </w:rPr>
      </w:pPr>
      <w:r w:rsidRPr="00DC0512">
        <w:rPr>
          <w:rFonts w:cstheme="minorHAnsi"/>
        </w:rPr>
        <w:lastRenderedPageBreak/>
        <w:t>Australian Competition and Consumer Commission (2007),</w:t>
      </w:r>
      <w:r w:rsidRPr="00DC0512">
        <w:rPr>
          <w:rFonts w:cstheme="minorHAnsi"/>
          <w:i/>
        </w:rPr>
        <w:t xml:space="preserve"> Examination of the Prices Paid</w:t>
      </w:r>
      <w:r w:rsidRPr="00DC0512">
        <w:rPr>
          <w:rFonts w:cstheme="minorHAnsi"/>
          <w:i/>
          <w:spacing w:val="2"/>
        </w:rPr>
        <w:t xml:space="preserve"> </w:t>
      </w:r>
      <w:r w:rsidRPr="00DC0512">
        <w:rPr>
          <w:rFonts w:cstheme="minorHAnsi"/>
          <w:i/>
        </w:rPr>
        <w:t>to Farmers for Livestock and the Prices Paid by Australian Consumers for Red Meat.</w:t>
      </w:r>
    </w:p>
    <w:p w14:paraId="7C1B2C57" w14:textId="77777777" w:rsidR="007E2B8C" w:rsidRPr="00DC0512" w:rsidRDefault="007E2B8C" w:rsidP="00DC0512">
      <w:pPr>
        <w:pStyle w:val="BodyText"/>
        <w:ind w:left="0"/>
        <w:jc w:val="both"/>
        <w:rPr>
          <w:rFonts w:asciiTheme="minorHAnsi" w:hAnsiTheme="minorHAnsi" w:cstheme="minorHAnsi"/>
          <w:sz w:val="22"/>
          <w:szCs w:val="22"/>
        </w:rPr>
      </w:pPr>
      <w:r w:rsidRPr="00DC0512">
        <w:rPr>
          <w:rFonts w:asciiTheme="minorHAnsi" w:hAnsiTheme="minorHAnsi" w:cstheme="minorHAnsi"/>
          <w:sz w:val="22"/>
          <w:szCs w:val="22"/>
        </w:rPr>
        <w:t>Retrieved from</w:t>
      </w:r>
      <w:r w:rsidRPr="00DC0512">
        <w:rPr>
          <w:rFonts w:asciiTheme="minorHAnsi" w:hAnsiTheme="minorHAnsi" w:cstheme="minorHAnsi"/>
          <w:spacing w:val="-3"/>
          <w:sz w:val="22"/>
          <w:szCs w:val="22"/>
        </w:rPr>
        <w:t xml:space="preserve"> </w:t>
      </w:r>
      <w:r w:rsidRPr="00DC0512">
        <w:rPr>
          <w:rFonts w:asciiTheme="minorHAnsi" w:hAnsiTheme="minorHAnsi" w:cstheme="minorHAnsi"/>
          <w:color w:val="0563C1"/>
          <w:sz w:val="22"/>
          <w:szCs w:val="22"/>
          <w:u w:val="single" w:color="0563C1"/>
        </w:rPr>
        <w:t>https://</w:t>
      </w:r>
      <w:hyperlink r:id="rId20">
        <w:r w:rsidRPr="00DC0512">
          <w:rPr>
            <w:rFonts w:asciiTheme="minorHAnsi" w:hAnsiTheme="minorHAnsi" w:cstheme="minorHAnsi"/>
            <w:color w:val="0563C1"/>
            <w:sz w:val="22"/>
            <w:szCs w:val="22"/>
            <w:u w:val="single" w:color="0563C1"/>
          </w:rPr>
          <w:t>www.accc.gov.au/publications/examination-of-the-prices-paid-</w:t>
        </w:r>
      </w:hyperlink>
      <w:r w:rsidRPr="00DC0512">
        <w:rPr>
          <w:rFonts w:asciiTheme="minorHAnsi" w:hAnsiTheme="minorHAnsi" w:cstheme="minorHAnsi"/>
          <w:color w:val="0563C1"/>
          <w:sz w:val="22"/>
          <w:szCs w:val="22"/>
        </w:rPr>
        <w:t xml:space="preserve"> </w:t>
      </w:r>
      <w:r w:rsidRPr="00DC0512">
        <w:rPr>
          <w:rFonts w:asciiTheme="minorHAnsi" w:hAnsiTheme="minorHAnsi" w:cstheme="minorHAnsi"/>
          <w:color w:val="0563C1"/>
          <w:sz w:val="22"/>
          <w:szCs w:val="22"/>
          <w:u w:val="single" w:color="0563C1"/>
        </w:rPr>
        <w:t>to-farmers-for-livestock-and-the-prices-paid-by-australian-consumers-for-red-meat</w:t>
      </w:r>
    </w:p>
    <w:p w14:paraId="3980F0AE" w14:textId="77777777" w:rsidR="007E2B8C" w:rsidRPr="00DC0512" w:rsidRDefault="007E2B8C" w:rsidP="00DC0512">
      <w:pPr>
        <w:contextualSpacing/>
        <w:jc w:val="both"/>
        <w:rPr>
          <w:rFonts w:cstheme="minorHAnsi"/>
        </w:rPr>
      </w:pPr>
    </w:p>
    <w:p w14:paraId="0C0F215B" w14:textId="5EDA256B" w:rsidR="007E2B8C" w:rsidRPr="00DC0512" w:rsidRDefault="007E2B8C" w:rsidP="00DC0512">
      <w:pPr>
        <w:pStyle w:val="BodyText"/>
        <w:ind w:left="0"/>
        <w:jc w:val="both"/>
        <w:rPr>
          <w:rFonts w:asciiTheme="minorHAnsi" w:hAnsiTheme="minorHAnsi" w:cstheme="minorHAnsi"/>
          <w:sz w:val="22"/>
          <w:szCs w:val="22"/>
        </w:rPr>
      </w:pPr>
      <w:r w:rsidRPr="00DC0512">
        <w:rPr>
          <w:rFonts w:asciiTheme="minorHAnsi" w:hAnsiTheme="minorHAnsi" w:cstheme="minorHAnsi"/>
          <w:sz w:val="22"/>
          <w:szCs w:val="22"/>
        </w:rPr>
        <w:t>Australian Competition and Consumer Commission (2008</w:t>
      </w:r>
      <w:r w:rsidR="00371A69">
        <w:rPr>
          <w:rFonts w:asciiTheme="minorHAnsi" w:hAnsiTheme="minorHAnsi" w:cstheme="minorHAnsi"/>
          <w:sz w:val="22"/>
          <w:szCs w:val="22"/>
        </w:rPr>
        <w:t>a</w:t>
      </w:r>
      <w:r w:rsidRPr="00DC0512">
        <w:rPr>
          <w:rFonts w:asciiTheme="minorHAnsi" w:hAnsiTheme="minorHAnsi" w:cstheme="minorHAnsi"/>
          <w:sz w:val="22"/>
          <w:szCs w:val="22"/>
        </w:rPr>
        <w:t xml:space="preserve">), </w:t>
      </w:r>
      <w:r w:rsidRPr="00DC0512">
        <w:rPr>
          <w:rFonts w:asciiTheme="minorHAnsi" w:hAnsiTheme="minorHAnsi" w:cstheme="minorHAnsi"/>
          <w:i/>
          <w:iCs/>
          <w:sz w:val="22"/>
          <w:szCs w:val="22"/>
        </w:rPr>
        <w:t>ACCC Inquiry into the</w:t>
      </w:r>
      <w:r w:rsidRPr="00DC0512">
        <w:rPr>
          <w:rFonts w:asciiTheme="minorHAnsi" w:hAnsiTheme="minorHAnsi" w:cstheme="minorHAnsi"/>
          <w:i/>
          <w:iCs/>
          <w:w w:val="99"/>
          <w:sz w:val="22"/>
          <w:szCs w:val="22"/>
        </w:rPr>
        <w:t xml:space="preserve"> </w:t>
      </w:r>
      <w:r w:rsidRPr="00DC0512">
        <w:rPr>
          <w:rFonts w:asciiTheme="minorHAnsi" w:hAnsiTheme="minorHAnsi" w:cstheme="minorHAnsi"/>
          <w:i/>
          <w:iCs/>
          <w:sz w:val="22"/>
          <w:szCs w:val="22"/>
        </w:rPr>
        <w:t>Competitiveness of Retail Prices for Standard Groceries,</w:t>
      </w:r>
      <w:r w:rsidRPr="00DC0512">
        <w:rPr>
          <w:rFonts w:asciiTheme="minorHAnsi" w:hAnsiTheme="minorHAnsi" w:cstheme="minorHAnsi"/>
          <w:sz w:val="22"/>
          <w:szCs w:val="22"/>
        </w:rPr>
        <w:t xml:space="preserve"> Issues paper. Retrieved from</w:t>
      </w:r>
      <w:r w:rsidRPr="00DC0512">
        <w:rPr>
          <w:rFonts w:asciiTheme="minorHAnsi" w:hAnsiTheme="minorHAnsi" w:cstheme="minorHAnsi"/>
          <w:w w:val="99"/>
          <w:sz w:val="22"/>
          <w:szCs w:val="22"/>
        </w:rPr>
        <w:t xml:space="preserve"> </w:t>
      </w:r>
      <w:r w:rsidRPr="00DC0512">
        <w:rPr>
          <w:rFonts w:asciiTheme="minorHAnsi" w:hAnsiTheme="minorHAnsi" w:cstheme="minorHAnsi"/>
          <w:color w:val="0563C1"/>
          <w:sz w:val="22"/>
          <w:szCs w:val="22"/>
          <w:u w:val="single" w:color="0563C1"/>
        </w:rPr>
        <w:t>https://</w:t>
      </w:r>
      <w:hyperlink r:id="rId21">
        <w:r w:rsidRPr="00DC0512">
          <w:rPr>
            <w:rFonts w:asciiTheme="minorHAnsi" w:hAnsiTheme="minorHAnsi" w:cstheme="minorHAnsi"/>
            <w:color w:val="0563C1"/>
            <w:sz w:val="22"/>
            <w:szCs w:val="22"/>
            <w:u w:val="single" w:color="0563C1"/>
          </w:rPr>
          <w:t>www.accc.gov.au/system/files/Issuesper cent20paperper cent2011per cent20Febper cent2008.pdf</w:t>
        </w:r>
      </w:hyperlink>
    </w:p>
    <w:p w14:paraId="3B7F67D7" w14:textId="77777777" w:rsidR="007E2B8C" w:rsidRDefault="007E2B8C" w:rsidP="00DC0512">
      <w:pPr>
        <w:jc w:val="both"/>
        <w:rPr>
          <w:rFonts w:cstheme="minorHAnsi"/>
        </w:rPr>
      </w:pPr>
    </w:p>
    <w:p w14:paraId="5E60BED0" w14:textId="4BB151D2" w:rsidR="00371A69" w:rsidRPr="00DC0512" w:rsidRDefault="00371A69" w:rsidP="00371A69">
      <w:pPr>
        <w:contextualSpacing/>
        <w:jc w:val="both"/>
        <w:rPr>
          <w:rFonts w:cstheme="minorHAnsi"/>
        </w:rPr>
      </w:pPr>
      <w:r w:rsidRPr="00DC0512">
        <w:rPr>
          <w:rFonts w:cstheme="minorHAnsi"/>
        </w:rPr>
        <w:t>Australian Competition and Consumer Commission (2008</w:t>
      </w:r>
      <w:r>
        <w:rPr>
          <w:rFonts w:cstheme="minorHAnsi"/>
        </w:rPr>
        <w:t>b</w:t>
      </w:r>
      <w:r w:rsidRPr="00DC0512">
        <w:rPr>
          <w:rFonts w:cstheme="minorHAnsi"/>
        </w:rPr>
        <w:t xml:space="preserve">), </w:t>
      </w:r>
      <w:r w:rsidRPr="00DC0512">
        <w:rPr>
          <w:rFonts w:cstheme="minorHAnsi"/>
          <w:i/>
          <w:iCs/>
        </w:rPr>
        <w:t>Merger Guidelines</w:t>
      </w:r>
      <w:r w:rsidRPr="00DC0512">
        <w:rPr>
          <w:rFonts w:cstheme="minorHAnsi"/>
        </w:rPr>
        <w:t>, updated 2017</w:t>
      </w:r>
      <w:r w:rsidR="00E20F56">
        <w:rPr>
          <w:rFonts w:cstheme="minorHAnsi"/>
        </w:rPr>
        <w:t xml:space="preserve">. Retrieved from </w:t>
      </w:r>
      <w:r w:rsidR="00E20F56" w:rsidRPr="00E20F56">
        <w:rPr>
          <w:rFonts w:cstheme="minorHAnsi"/>
        </w:rPr>
        <w:t>https://www.accc.gov.au/system/files/Merger%20guidelines%20-%20Final.PDF</w:t>
      </w:r>
    </w:p>
    <w:p w14:paraId="2F795FE6" w14:textId="77777777" w:rsidR="00371A69" w:rsidRPr="00DC0512" w:rsidRDefault="00371A69" w:rsidP="00DC0512">
      <w:pPr>
        <w:jc w:val="both"/>
        <w:rPr>
          <w:rFonts w:cstheme="minorHAnsi"/>
        </w:rPr>
      </w:pPr>
    </w:p>
    <w:p w14:paraId="31443CAD" w14:textId="40851D9C" w:rsidR="007E2B8C" w:rsidRPr="00DC0512" w:rsidRDefault="007E2B8C" w:rsidP="00DC0512">
      <w:pPr>
        <w:jc w:val="both"/>
        <w:rPr>
          <w:rFonts w:eastAsia="Calibri" w:cstheme="minorHAnsi"/>
        </w:rPr>
      </w:pPr>
      <w:r w:rsidRPr="00DC0512">
        <w:rPr>
          <w:rFonts w:eastAsia="Calibri" w:cstheme="minorHAnsi"/>
        </w:rPr>
        <w:t xml:space="preserve">Australian Competition and Consumer Commission (2016), </w:t>
      </w:r>
      <w:r w:rsidRPr="00DC0512">
        <w:rPr>
          <w:rFonts w:eastAsia="Calibri" w:cstheme="minorHAnsi"/>
          <w:i/>
        </w:rPr>
        <w:t>Cattle and beef markets –a market</w:t>
      </w:r>
      <w:r w:rsidRPr="00DC0512">
        <w:rPr>
          <w:rFonts w:eastAsia="Calibri" w:cstheme="minorHAnsi"/>
          <w:i/>
          <w:w w:val="99"/>
        </w:rPr>
        <w:t xml:space="preserve"> </w:t>
      </w:r>
      <w:r w:rsidRPr="00DC0512">
        <w:rPr>
          <w:rFonts w:eastAsia="Calibri" w:cstheme="minorHAnsi"/>
          <w:i/>
        </w:rPr>
        <w:t>study by the ACCC: Issues Paper</w:t>
      </w:r>
      <w:r w:rsidRPr="00DC0512">
        <w:rPr>
          <w:rFonts w:eastAsia="Calibri" w:cstheme="minorHAnsi"/>
        </w:rPr>
        <w:t>. Retrieved from</w:t>
      </w:r>
      <w:r w:rsidRPr="00DC0512">
        <w:rPr>
          <w:rFonts w:eastAsia="Calibri" w:cstheme="minorHAnsi"/>
          <w:spacing w:val="-2"/>
        </w:rPr>
        <w:t xml:space="preserve"> </w:t>
      </w:r>
      <w:r w:rsidRPr="00DC0512">
        <w:rPr>
          <w:rFonts w:eastAsia="Calibri" w:cstheme="minorHAnsi"/>
          <w:color w:val="0563C1"/>
          <w:u w:val="single" w:color="0563C1"/>
        </w:rPr>
        <w:t>https://</w:t>
      </w:r>
      <w:hyperlink r:id="rId22">
        <w:r w:rsidRPr="00DC0512">
          <w:rPr>
            <w:rFonts w:eastAsia="Calibri" w:cstheme="minorHAnsi"/>
            <w:color w:val="0563C1"/>
            <w:u w:val="single" w:color="0563C1"/>
          </w:rPr>
          <w:t>www.accc.gov.au/focus-</w:t>
        </w:r>
      </w:hyperlink>
      <w:r w:rsidRPr="00DC0512">
        <w:rPr>
          <w:rFonts w:eastAsia="Calibri" w:cstheme="minorHAnsi"/>
          <w:color w:val="0563C1"/>
        </w:rPr>
        <w:t xml:space="preserve"> </w:t>
      </w:r>
      <w:r w:rsidRPr="00DC0512">
        <w:rPr>
          <w:rFonts w:eastAsia="Calibri" w:cstheme="minorHAnsi"/>
          <w:color w:val="0563C1"/>
          <w:u w:val="single" w:color="0563C1"/>
        </w:rPr>
        <w:t>areas/market-studies/cattle-and-beef-market-study</w:t>
      </w:r>
    </w:p>
    <w:p w14:paraId="21D892B0" w14:textId="77777777" w:rsidR="007E2B8C" w:rsidRPr="00DC0512" w:rsidRDefault="007E2B8C" w:rsidP="00DC0512">
      <w:pPr>
        <w:jc w:val="both"/>
        <w:rPr>
          <w:rFonts w:eastAsia="Calibri" w:cstheme="minorHAnsi"/>
        </w:rPr>
      </w:pPr>
    </w:p>
    <w:p w14:paraId="0C803B9D" w14:textId="77777777" w:rsidR="007E2B8C" w:rsidRPr="00DC0512" w:rsidRDefault="007E2B8C" w:rsidP="00DC0512">
      <w:pPr>
        <w:jc w:val="both"/>
        <w:rPr>
          <w:rFonts w:eastAsia="Calibri" w:cstheme="minorHAnsi"/>
        </w:rPr>
      </w:pPr>
      <w:r w:rsidRPr="00DC0512">
        <w:rPr>
          <w:rFonts w:eastAsia="Calibri" w:cstheme="minorHAnsi"/>
        </w:rPr>
        <w:t xml:space="preserve">Australian Competition and Consumer Commission (2017), </w:t>
      </w:r>
      <w:r w:rsidRPr="00DC0512">
        <w:rPr>
          <w:rFonts w:eastAsia="Calibri" w:cstheme="minorHAnsi"/>
          <w:i/>
        </w:rPr>
        <w:t>Cattle and Beef Market Study –</w:t>
      </w:r>
      <w:r w:rsidRPr="00DC0512">
        <w:rPr>
          <w:rFonts w:eastAsia="Calibri" w:cstheme="minorHAnsi"/>
          <w:i/>
          <w:spacing w:val="-4"/>
        </w:rPr>
        <w:t xml:space="preserve"> </w:t>
      </w:r>
      <w:r w:rsidRPr="00DC0512">
        <w:rPr>
          <w:rFonts w:eastAsia="Calibri" w:cstheme="minorHAnsi"/>
          <w:i/>
        </w:rPr>
        <w:t>Final</w:t>
      </w:r>
      <w:r w:rsidRPr="00DC0512">
        <w:rPr>
          <w:rFonts w:eastAsia="Calibri" w:cstheme="minorHAnsi"/>
          <w:i/>
          <w:spacing w:val="-1"/>
        </w:rPr>
        <w:t xml:space="preserve"> </w:t>
      </w:r>
      <w:r w:rsidRPr="00DC0512">
        <w:rPr>
          <w:rFonts w:eastAsia="Calibri" w:cstheme="minorHAnsi"/>
          <w:i/>
        </w:rPr>
        <w:t>Report</w:t>
      </w:r>
      <w:r w:rsidRPr="00DC0512">
        <w:rPr>
          <w:rFonts w:eastAsia="Calibri" w:cstheme="minorHAnsi"/>
        </w:rPr>
        <w:t>. Retrieved from</w:t>
      </w:r>
      <w:r w:rsidRPr="00DC0512">
        <w:rPr>
          <w:rFonts w:eastAsia="Calibri" w:cstheme="minorHAnsi"/>
          <w:spacing w:val="-2"/>
        </w:rPr>
        <w:t xml:space="preserve"> </w:t>
      </w:r>
      <w:r w:rsidRPr="00DC0512">
        <w:rPr>
          <w:rFonts w:eastAsia="Calibri" w:cstheme="minorHAnsi"/>
          <w:color w:val="0563C1"/>
          <w:u w:val="single" w:color="0563C1"/>
        </w:rPr>
        <w:t>https://</w:t>
      </w:r>
      <w:hyperlink r:id="rId23">
        <w:r w:rsidRPr="00DC0512">
          <w:rPr>
            <w:rFonts w:eastAsia="Calibri" w:cstheme="minorHAnsi"/>
            <w:color w:val="0563C1"/>
            <w:u w:val="single" w:color="0563C1"/>
          </w:rPr>
          <w:t>www.accc.gov.au/focus-areas/market-studies/cattle-and-</w:t>
        </w:r>
      </w:hyperlink>
      <w:r w:rsidRPr="00DC0512">
        <w:rPr>
          <w:rFonts w:eastAsia="Calibri" w:cstheme="minorHAnsi"/>
          <w:color w:val="0563C1"/>
        </w:rPr>
        <w:t xml:space="preserve"> </w:t>
      </w:r>
      <w:r w:rsidRPr="00DC0512">
        <w:rPr>
          <w:rFonts w:eastAsia="Calibri" w:cstheme="minorHAnsi"/>
          <w:color w:val="0563C1"/>
          <w:u w:val="single" w:color="0563C1"/>
        </w:rPr>
        <w:t>beef-market-study</w:t>
      </w:r>
    </w:p>
    <w:p w14:paraId="2E7BA910" w14:textId="77777777" w:rsidR="007E2B8C" w:rsidRPr="00DC0512" w:rsidRDefault="007E2B8C" w:rsidP="00DC0512">
      <w:pPr>
        <w:jc w:val="both"/>
        <w:rPr>
          <w:rFonts w:eastAsia="Calibri" w:cstheme="minorHAnsi"/>
        </w:rPr>
      </w:pPr>
    </w:p>
    <w:p w14:paraId="223501F2" w14:textId="273D02FC" w:rsidR="007E2B8C" w:rsidRPr="00DC0512" w:rsidRDefault="007E2B8C" w:rsidP="00E20F56">
      <w:pPr>
        <w:contextualSpacing/>
        <w:rPr>
          <w:rFonts w:cstheme="minorHAnsi"/>
        </w:rPr>
      </w:pPr>
      <w:r w:rsidRPr="00DC0512">
        <w:rPr>
          <w:rFonts w:cstheme="minorHAnsi"/>
        </w:rPr>
        <w:t xml:space="preserve">Australian Competition and Consumer Commission (2018), </w:t>
      </w:r>
      <w:r w:rsidRPr="00DC0512">
        <w:rPr>
          <w:rFonts w:cstheme="minorHAnsi"/>
          <w:i/>
          <w:iCs/>
        </w:rPr>
        <w:t xml:space="preserve">Guidelines on </w:t>
      </w:r>
      <w:r w:rsidR="00E20F56">
        <w:rPr>
          <w:rFonts w:cstheme="minorHAnsi"/>
          <w:i/>
          <w:iCs/>
        </w:rPr>
        <w:t>Misuse of Market Power</w:t>
      </w:r>
      <w:r w:rsidRPr="00DC0512">
        <w:rPr>
          <w:rFonts w:cstheme="minorHAnsi"/>
          <w:i/>
          <w:iCs/>
        </w:rPr>
        <w:t>. 46</w:t>
      </w:r>
      <w:r w:rsidR="00E20F56">
        <w:rPr>
          <w:rFonts w:cstheme="minorHAnsi"/>
          <w:i/>
          <w:iCs/>
        </w:rPr>
        <w:t xml:space="preserve">. </w:t>
      </w:r>
      <w:r w:rsidR="00E20F56" w:rsidRPr="00E20F56">
        <w:rPr>
          <w:rFonts w:cstheme="minorHAnsi"/>
        </w:rPr>
        <w:t>Retrieved from</w:t>
      </w:r>
      <w:r w:rsidR="00E20F56">
        <w:rPr>
          <w:rFonts w:cstheme="minorHAnsi"/>
          <w:i/>
          <w:iCs/>
        </w:rPr>
        <w:t xml:space="preserve"> </w:t>
      </w:r>
      <w:r w:rsidR="00E20F56" w:rsidRPr="00E20F56">
        <w:rPr>
          <w:rFonts w:cstheme="minorHAnsi"/>
          <w:i/>
          <w:iCs/>
        </w:rPr>
        <w:t>https://www.accc.gov.au/system/files/Updated%20Guidelines%20on%20Misuse%20of%20Market%20Power.pdf</w:t>
      </w:r>
    </w:p>
    <w:p w14:paraId="66985B6E" w14:textId="77777777" w:rsidR="007E2B8C" w:rsidRPr="00DC0512" w:rsidRDefault="007E2B8C" w:rsidP="00DC0512">
      <w:pPr>
        <w:contextualSpacing/>
        <w:jc w:val="both"/>
        <w:rPr>
          <w:rFonts w:cstheme="minorHAnsi"/>
        </w:rPr>
      </w:pPr>
    </w:p>
    <w:p w14:paraId="7DF885D7" w14:textId="6CFAA99F" w:rsidR="007E2B8C" w:rsidRPr="00DC0512" w:rsidRDefault="007E2B8C" w:rsidP="00DC0512">
      <w:pPr>
        <w:contextualSpacing/>
        <w:jc w:val="both"/>
        <w:rPr>
          <w:rFonts w:cstheme="minorHAnsi"/>
        </w:rPr>
      </w:pPr>
      <w:r w:rsidRPr="00DC0512">
        <w:rPr>
          <w:rFonts w:cstheme="minorHAnsi"/>
        </w:rPr>
        <w:t>Australian Competition and Consumer Commission (20</w:t>
      </w:r>
      <w:r w:rsidR="00371A69">
        <w:rPr>
          <w:rFonts w:cstheme="minorHAnsi"/>
        </w:rPr>
        <w:t>25a</w:t>
      </w:r>
      <w:r w:rsidRPr="00DC0512">
        <w:rPr>
          <w:rFonts w:cstheme="minorHAnsi"/>
        </w:rPr>
        <w:t xml:space="preserve">), </w:t>
      </w:r>
      <w:r w:rsidRPr="00DC0512">
        <w:rPr>
          <w:rFonts w:cstheme="minorHAnsi"/>
          <w:i/>
          <w:iCs/>
        </w:rPr>
        <w:t>Supermarkets Inquiry – Issues Paper, 24 February</w:t>
      </w:r>
      <w:r w:rsidRPr="00DC0512">
        <w:rPr>
          <w:rFonts w:cstheme="minorHAnsi"/>
        </w:rPr>
        <w:t>. https://www.accc.gov.au/inquiries-and-consultations/supermarkets-inquiry-2024-25/issues-paper</w:t>
      </w:r>
    </w:p>
    <w:p w14:paraId="711FB581" w14:textId="77777777" w:rsidR="000C3935" w:rsidRDefault="000C3935" w:rsidP="000C3935">
      <w:pPr>
        <w:contextualSpacing/>
        <w:jc w:val="both"/>
        <w:rPr>
          <w:rFonts w:cstheme="minorHAnsi"/>
        </w:rPr>
      </w:pPr>
    </w:p>
    <w:p w14:paraId="4713BAA6" w14:textId="1A56058D" w:rsidR="000C3935" w:rsidRPr="00F52B65" w:rsidRDefault="000C3935" w:rsidP="000C3935">
      <w:pPr>
        <w:contextualSpacing/>
        <w:jc w:val="both"/>
        <w:rPr>
          <w:rFonts w:cstheme="minorHAnsi"/>
        </w:rPr>
      </w:pPr>
      <w:r w:rsidRPr="00F52B65">
        <w:rPr>
          <w:rFonts w:cstheme="minorHAnsi"/>
        </w:rPr>
        <w:t xml:space="preserve">Australian Competition and Consumer Commission (2024b), </w:t>
      </w:r>
      <w:r w:rsidRPr="00F52B65">
        <w:rPr>
          <w:rFonts w:cstheme="minorHAnsi"/>
          <w:i/>
          <w:iCs/>
        </w:rPr>
        <w:t>Supermarkets Inquiry – Interim Report Paper, 27 September</w:t>
      </w:r>
      <w:r w:rsidRPr="00F52B65">
        <w:rPr>
          <w:rFonts w:cstheme="minorHAnsi"/>
        </w:rPr>
        <w:t>. https://www.accc.gov.au/inquiries-and-consultations/supermarkets-inquiry-2024-25/</w:t>
      </w:r>
    </w:p>
    <w:p w14:paraId="5AEC45D9" w14:textId="77777777" w:rsidR="000C3935" w:rsidRPr="00F52B65" w:rsidRDefault="000C3935" w:rsidP="000C3935">
      <w:pPr>
        <w:contextualSpacing/>
        <w:jc w:val="both"/>
        <w:rPr>
          <w:rFonts w:cstheme="minorHAnsi"/>
        </w:rPr>
      </w:pPr>
    </w:p>
    <w:p w14:paraId="354083FA" w14:textId="77777777" w:rsidR="000C3935" w:rsidRDefault="000C3935" w:rsidP="000C3935">
      <w:pPr>
        <w:contextualSpacing/>
        <w:jc w:val="both"/>
        <w:rPr>
          <w:rFonts w:cstheme="minorHAnsi"/>
        </w:rPr>
      </w:pPr>
      <w:r w:rsidRPr="00F52B65">
        <w:rPr>
          <w:rFonts w:cstheme="minorHAnsi"/>
        </w:rPr>
        <w:t xml:space="preserve">Australian Competition and Consumer Commission (2025), </w:t>
      </w:r>
      <w:r w:rsidRPr="00F52B65">
        <w:rPr>
          <w:rFonts w:cstheme="minorHAnsi"/>
          <w:i/>
          <w:iCs/>
        </w:rPr>
        <w:t>Supermarkets Inquiry – Final Report, 21 March</w:t>
      </w:r>
      <w:r w:rsidRPr="00F52B65">
        <w:rPr>
          <w:rFonts w:cstheme="minorHAnsi"/>
        </w:rPr>
        <w:t xml:space="preserve">. </w:t>
      </w:r>
      <w:hyperlink r:id="rId24" w:history="1">
        <w:r w:rsidRPr="00F52B65">
          <w:rPr>
            <w:rStyle w:val="Hyperlink"/>
            <w:rFonts w:cstheme="minorHAnsi"/>
          </w:rPr>
          <w:t>https://www.accc.gov.au/inquiries-and-consultations/supermarkets-inquiry-2024-25/</w:t>
        </w:r>
      </w:hyperlink>
    </w:p>
    <w:p w14:paraId="4233851D" w14:textId="77777777" w:rsidR="007E2B8C" w:rsidRPr="00DC0512" w:rsidRDefault="007E2B8C" w:rsidP="00DC0512">
      <w:pPr>
        <w:contextualSpacing/>
        <w:jc w:val="both"/>
        <w:rPr>
          <w:rFonts w:cstheme="minorHAnsi"/>
        </w:rPr>
      </w:pPr>
    </w:p>
    <w:p w14:paraId="4D8674B0" w14:textId="77777777" w:rsidR="007E2B8C" w:rsidRPr="00DC0512" w:rsidRDefault="007E2B8C" w:rsidP="00DC0512">
      <w:pPr>
        <w:contextualSpacing/>
        <w:jc w:val="both"/>
        <w:rPr>
          <w:rFonts w:cstheme="minorHAnsi"/>
        </w:rPr>
      </w:pPr>
      <w:r w:rsidRPr="00DC0512">
        <w:rPr>
          <w:rFonts w:cstheme="minorHAnsi"/>
        </w:rPr>
        <w:t xml:space="preserve">Australian Parliament (1999), </w:t>
      </w:r>
      <w:r w:rsidRPr="00DC0512">
        <w:rPr>
          <w:rFonts w:cstheme="minorHAnsi"/>
          <w:i/>
          <w:iCs/>
        </w:rPr>
        <w:t>Report of the Joint Select Committee on the Retailing Sector</w:t>
      </w:r>
      <w:r w:rsidRPr="00DC0512">
        <w:rPr>
          <w:rFonts w:cstheme="minorHAnsi"/>
        </w:rPr>
        <w:t>,</w:t>
      </w:r>
    </w:p>
    <w:p w14:paraId="3A3764E5" w14:textId="77777777" w:rsidR="007E2B8C" w:rsidRPr="00DC0512" w:rsidRDefault="007E2B8C" w:rsidP="00DC0512">
      <w:pPr>
        <w:contextualSpacing/>
        <w:jc w:val="both"/>
        <w:rPr>
          <w:rFonts w:cstheme="minorHAnsi"/>
        </w:rPr>
      </w:pPr>
      <w:r w:rsidRPr="00DC0512">
        <w:rPr>
          <w:rFonts w:cstheme="minorHAnsi"/>
        </w:rPr>
        <w:t xml:space="preserve">(www.aph.gov.au/senate/committee/retail_ctte/retail/), Canberra. </w:t>
      </w:r>
    </w:p>
    <w:p w14:paraId="7A2680AD" w14:textId="77777777" w:rsidR="007E2B8C" w:rsidRPr="00DC0512" w:rsidRDefault="007E2B8C" w:rsidP="00DC0512">
      <w:pPr>
        <w:contextualSpacing/>
        <w:jc w:val="both"/>
        <w:rPr>
          <w:rFonts w:cstheme="minorHAnsi"/>
        </w:rPr>
      </w:pPr>
    </w:p>
    <w:p w14:paraId="53BC736D" w14:textId="1EC234C4" w:rsidR="007E2B8C" w:rsidRPr="00DC0512" w:rsidRDefault="007E2B8C" w:rsidP="00DC0512">
      <w:pPr>
        <w:pStyle w:val="BodyText"/>
        <w:spacing w:line="280" w:lineRule="atLeast"/>
        <w:ind w:left="0"/>
        <w:contextualSpacing/>
        <w:jc w:val="both"/>
        <w:rPr>
          <w:rFonts w:asciiTheme="minorHAnsi" w:hAnsiTheme="minorHAnsi" w:cstheme="minorHAnsi"/>
          <w:sz w:val="22"/>
          <w:szCs w:val="22"/>
        </w:rPr>
      </w:pPr>
      <w:r w:rsidRPr="00DC0512">
        <w:rPr>
          <w:rFonts w:asciiTheme="minorHAnsi" w:hAnsiTheme="minorHAnsi" w:cstheme="minorHAnsi"/>
          <w:sz w:val="22"/>
          <w:szCs w:val="22"/>
        </w:rPr>
        <w:t>Bonanno, A., Russo, C. and Menapace, L. (2018</w:t>
      </w:r>
      <w:proofErr w:type="gramStart"/>
      <w:r w:rsidRPr="00DC0512">
        <w:rPr>
          <w:rFonts w:asciiTheme="minorHAnsi" w:hAnsiTheme="minorHAnsi" w:cstheme="minorHAnsi"/>
          <w:sz w:val="22"/>
          <w:szCs w:val="22"/>
        </w:rPr>
        <w:t>), ‘</w:t>
      </w:r>
      <w:proofErr w:type="gramEnd"/>
      <w:r w:rsidRPr="00DC0512">
        <w:rPr>
          <w:rFonts w:asciiTheme="minorHAnsi" w:hAnsiTheme="minorHAnsi" w:cstheme="minorHAnsi"/>
          <w:sz w:val="22"/>
          <w:szCs w:val="22"/>
        </w:rPr>
        <w:t>Market power and bargaining in</w:t>
      </w:r>
      <w:r w:rsidRPr="00DC0512">
        <w:rPr>
          <w:rFonts w:asciiTheme="minorHAnsi" w:hAnsiTheme="minorHAnsi" w:cstheme="minorHAnsi"/>
          <w:spacing w:val="1"/>
          <w:sz w:val="22"/>
          <w:szCs w:val="22"/>
        </w:rPr>
        <w:t xml:space="preserve"> </w:t>
      </w:r>
      <w:r w:rsidRPr="00DC0512">
        <w:rPr>
          <w:rFonts w:asciiTheme="minorHAnsi" w:hAnsiTheme="minorHAnsi" w:cstheme="minorHAnsi"/>
          <w:sz w:val="22"/>
          <w:szCs w:val="22"/>
        </w:rPr>
        <w:t xml:space="preserve">agrifood markets: A review of emerging topics and </w:t>
      </w:r>
      <w:proofErr w:type="gramStart"/>
      <w:r w:rsidRPr="00DC0512">
        <w:rPr>
          <w:rFonts w:asciiTheme="minorHAnsi" w:hAnsiTheme="minorHAnsi" w:cstheme="minorHAnsi"/>
          <w:sz w:val="22"/>
          <w:szCs w:val="22"/>
        </w:rPr>
        <w:t>tools’</w:t>
      </w:r>
      <w:proofErr w:type="gramEnd"/>
      <w:r w:rsidRPr="00DC0512">
        <w:rPr>
          <w:rFonts w:asciiTheme="minorHAnsi" w:hAnsiTheme="minorHAnsi" w:cstheme="minorHAnsi"/>
          <w:i/>
          <w:sz w:val="22"/>
          <w:szCs w:val="22"/>
        </w:rPr>
        <w:t>. Agribusiness, 34</w:t>
      </w:r>
      <w:r w:rsidRPr="00DC0512">
        <w:rPr>
          <w:rFonts w:asciiTheme="minorHAnsi" w:hAnsiTheme="minorHAnsi" w:cstheme="minorHAnsi"/>
          <w:sz w:val="22"/>
          <w:szCs w:val="22"/>
        </w:rPr>
        <w:t>(1),</w:t>
      </w:r>
      <w:r w:rsidRPr="00DC0512">
        <w:rPr>
          <w:rFonts w:asciiTheme="minorHAnsi" w:hAnsiTheme="minorHAnsi" w:cstheme="minorHAnsi"/>
          <w:spacing w:val="-6"/>
          <w:sz w:val="22"/>
          <w:szCs w:val="22"/>
        </w:rPr>
        <w:t xml:space="preserve"> </w:t>
      </w:r>
      <w:r w:rsidRPr="00DC0512">
        <w:rPr>
          <w:rFonts w:asciiTheme="minorHAnsi" w:hAnsiTheme="minorHAnsi" w:cstheme="minorHAnsi"/>
          <w:sz w:val="22"/>
          <w:szCs w:val="22"/>
        </w:rPr>
        <w:t>6-23. doi:10.1002/agr.21542</w:t>
      </w:r>
    </w:p>
    <w:p w14:paraId="7FA4ED5E" w14:textId="77777777" w:rsidR="007E2B8C" w:rsidRPr="00DC0512" w:rsidRDefault="007E2B8C" w:rsidP="00DC0512">
      <w:pPr>
        <w:contextualSpacing/>
        <w:jc w:val="both"/>
        <w:rPr>
          <w:rFonts w:cstheme="minorHAnsi"/>
        </w:rPr>
      </w:pPr>
    </w:p>
    <w:p w14:paraId="576B751B" w14:textId="77777777" w:rsidR="007E2B8C" w:rsidRPr="00DC0512" w:rsidRDefault="007E2B8C" w:rsidP="00DC0512">
      <w:pPr>
        <w:pStyle w:val="BodyText"/>
        <w:ind w:left="0"/>
        <w:jc w:val="both"/>
        <w:rPr>
          <w:rFonts w:asciiTheme="minorHAnsi" w:hAnsiTheme="minorHAnsi" w:cstheme="minorHAnsi"/>
          <w:sz w:val="22"/>
          <w:szCs w:val="22"/>
        </w:rPr>
      </w:pPr>
      <w:r w:rsidRPr="00DC0512">
        <w:rPr>
          <w:rFonts w:asciiTheme="minorHAnsi" w:hAnsiTheme="minorHAnsi" w:cstheme="minorHAnsi"/>
          <w:sz w:val="22"/>
          <w:szCs w:val="22"/>
        </w:rPr>
        <w:t>Chung, K. and Griffith, G. (2009), ‘Another look at market power in the Australian fresh meat</w:t>
      </w:r>
      <w:r w:rsidRPr="00DC0512">
        <w:rPr>
          <w:rFonts w:asciiTheme="minorHAnsi" w:hAnsiTheme="minorHAnsi" w:cstheme="minorHAnsi"/>
          <w:w w:val="99"/>
          <w:sz w:val="22"/>
          <w:szCs w:val="22"/>
        </w:rPr>
        <w:t xml:space="preserve"> </w:t>
      </w:r>
      <w:proofErr w:type="gramStart"/>
      <w:r w:rsidRPr="00DC0512">
        <w:rPr>
          <w:rFonts w:asciiTheme="minorHAnsi" w:hAnsiTheme="minorHAnsi" w:cstheme="minorHAnsi"/>
          <w:w w:val="99"/>
          <w:sz w:val="22"/>
          <w:szCs w:val="22"/>
        </w:rPr>
        <w:t>i</w:t>
      </w:r>
      <w:r w:rsidRPr="00DC0512">
        <w:rPr>
          <w:rFonts w:asciiTheme="minorHAnsi" w:hAnsiTheme="minorHAnsi" w:cstheme="minorHAnsi"/>
          <w:sz w:val="22"/>
          <w:szCs w:val="22"/>
        </w:rPr>
        <w:t>ndustries’</w:t>
      </w:r>
      <w:proofErr w:type="gramEnd"/>
      <w:r w:rsidRPr="00DC0512">
        <w:rPr>
          <w:rFonts w:asciiTheme="minorHAnsi" w:hAnsiTheme="minorHAnsi" w:cstheme="minorHAnsi"/>
          <w:sz w:val="22"/>
          <w:szCs w:val="22"/>
        </w:rPr>
        <w:t xml:space="preserve">. </w:t>
      </w:r>
      <w:r w:rsidRPr="00DC0512">
        <w:rPr>
          <w:rFonts w:asciiTheme="minorHAnsi" w:hAnsiTheme="minorHAnsi" w:cstheme="minorHAnsi"/>
          <w:i/>
          <w:sz w:val="22"/>
          <w:szCs w:val="22"/>
        </w:rPr>
        <w:t>Australian Agribusiness Review, 17</w:t>
      </w:r>
      <w:r w:rsidRPr="00DC0512">
        <w:rPr>
          <w:rFonts w:asciiTheme="minorHAnsi" w:hAnsiTheme="minorHAnsi" w:cstheme="minorHAnsi"/>
          <w:sz w:val="22"/>
          <w:szCs w:val="22"/>
        </w:rPr>
        <w:t xml:space="preserve">(18). </w:t>
      </w:r>
    </w:p>
    <w:p w14:paraId="50786E11" w14:textId="77777777" w:rsidR="007E2B8C" w:rsidRPr="00DC0512" w:rsidRDefault="007E2B8C" w:rsidP="00DC0512">
      <w:pPr>
        <w:pStyle w:val="BodyText"/>
        <w:ind w:left="0"/>
        <w:jc w:val="both"/>
        <w:rPr>
          <w:rFonts w:asciiTheme="minorHAnsi" w:hAnsiTheme="minorHAnsi" w:cstheme="minorHAnsi"/>
          <w:sz w:val="22"/>
          <w:szCs w:val="22"/>
        </w:rPr>
      </w:pPr>
      <w:r w:rsidRPr="00DC0512">
        <w:rPr>
          <w:rFonts w:asciiTheme="minorHAnsi" w:hAnsiTheme="minorHAnsi" w:cstheme="minorHAnsi"/>
          <w:sz w:val="22"/>
          <w:szCs w:val="22"/>
        </w:rPr>
        <w:t>Retrieved</w:t>
      </w:r>
      <w:r w:rsidRPr="00DC0512">
        <w:rPr>
          <w:rFonts w:asciiTheme="minorHAnsi" w:hAnsiTheme="minorHAnsi" w:cstheme="minorHAnsi"/>
          <w:spacing w:val="-1"/>
          <w:sz w:val="22"/>
          <w:szCs w:val="22"/>
        </w:rPr>
        <w:t xml:space="preserve"> </w:t>
      </w:r>
      <w:r w:rsidRPr="00DC0512">
        <w:rPr>
          <w:rFonts w:asciiTheme="minorHAnsi" w:hAnsiTheme="minorHAnsi" w:cstheme="minorHAnsi"/>
          <w:sz w:val="22"/>
          <w:szCs w:val="22"/>
        </w:rPr>
        <w:t>from</w:t>
      </w:r>
      <w:r w:rsidRPr="00DC0512">
        <w:rPr>
          <w:rFonts w:asciiTheme="minorHAnsi" w:hAnsiTheme="minorHAnsi" w:cstheme="minorHAnsi"/>
          <w:w w:val="99"/>
          <w:sz w:val="22"/>
          <w:szCs w:val="22"/>
        </w:rPr>
        <w:t xml:space="preserve"> </w:t>
      </w:r>
      <w:r w:rsidRPr="00DC0512">
        <w:rPr>
          <w:rFonts w:asciiTheme="minorHAnsi" w:hAnsiTheme="minorHAnsi" w:cstheme="minorHAnsi"/>
          <w:color w:val="0563C1"/>
          <w:sz w:val="22"/>
          <w:szCs w:val="22"/>
          <w:u w:val="single" w:color="0563C1"/>
        </w:rPr>
        <w:t>https://econpapers.repec.org/article/agsauagre/125718.htm</w:t>
      </w:r>
    </w:p>
    <w:p w14:paraId="3723532D" w14:textId="77777777" w:rsidR="007E2B8C" w:rsidRPr="00DC0512" w:rsidRDefault="007E2B8C" w:rsidP="00DC0512">
      <w:pPr>
        <w:contextualSpacing/>
        <w:jc w:val="both"/>
        <w:rPr>
          <w:rFonts w:cstheme="minorHAnsi"/>
        </w:rPr>
      </w:pPr>
    </w:p>
    <w:p w14:paraId="2F7D16CC" w14:textId="77777777" w:rsidR="007E2B8C" w:rsidRPr="00DC0512" w:rsidRDefault="007E2B8C" w:rsidP="00DC0512">
      <w:pPr>
        <w:tabs>
          <w:tab w:val="left" w:pos="360"/>
        </w:tabs>
        <w:jc w:val="both"/>
        <w:rPr>
          <w:rFonts w:cstheme="minorHAnsi"/>
          <w:bCs/>
          <w:iCs/>
          <w:shd w:val="clear" w:color="auto" w:fill="FFFFFF"/>
        </w:rPr>
      </w:pPr>
      <w:r w:rsidRPr="00DC0512">
        <w:rPr>
          <w:rFonts w:cstheme="minorHAnsi"/>
          <w:bCs/>
          <w:shd w:val="clear" w:color="auto" w:fill="FFFFFF"/>
        </w:rPr>
        <w:t>Dhakal, Pujan and Griffith, Garry (2024), “The Australian chicken meat value chain and market power”,</w:t>
      </w:r>
      <w:r w:rsidRPr="00DC0512">
        <w:rPr>
          <w:rFonts w:cstheme="minorHAnsi"/>
          <w:bCs/>
          <w:i/>
          <w:color w:val="000000"/>
        </w:rPr>
        <w:t xml:space="preserve"> Australasian Agribusiness Perspectives </w:t>
      </w:r>
      <w:r w:rsidRPr="00DC0512">
        <w:rPr>
          <w:rFonts w:cstheme="minorHAnsi"/>
          <w:bCs/>
          <w:iCs/>
          <w:color w:val="000000"/>
        </w:rPr>
        <w:t>Volume 27, Paper 1, 1-16</w:t>
      </w:r>
      <w:r w:rsidRPr="00DC0512">
        <w:rPr>
          <w:rFonts w:cstheme="minorHAnsi"/>
          <w:bCs/>
          <w:lang w:eastAsia="en-GB"/>
        </w:rPr>
        <w:t>.</w:t>
      </w:r>
    </w:p>
    <w:p w14:paraId="6CE06287" w14:textId="77777777" w:rsidR="007E2B8C" w:rsidRPr="00DC0512" w:rsidRDefault="007E2B8C" w:rsidP="00DC0512">
      <w:pPr>
        <w:contextualSpacing/>
        <w:jc w:val="both"/>
        <w:rPr>
          <w:rFonts w:cstheme="minorHAnsi"/>
        </w:rPr>
      </w:pPr>
    </w:p>
    <w:p w14:paraId="7730CDC0" w14:textId="77777777" w:rsidR="007E2B8C" w:rsidRPr="00DC0512" w:rsidRDefault="007E2B8C" w:rsidP="00DC0512">
      <w:pPr>
        <w:contextualSpacing/>
        <w:jc w:val="both"/>
        <w:rPr>
          <w:rFonts w:eastAsia="Calibri" w:cstheme="minorHAnsi"/>
        </w:rPr>
      </w:pPr>
      <w:r w:rsidRPr="00DC0512">
        <w:rPr>
          <w:rFonts w:eastAsia="Calibri" w:cstheme="minorHAnsi"/>
        </w:rPr>
        <w:t>Digal, L.N. and Ahmadi–Esfahani, F.Z. (2002), ‘Market power analysis in the retail food industry:</w:t>
      </w:r>
      <w:r w:rsidRPr="00DC0512">
        <w:rPr>
          <w:rFonts w:eastAsia="Calibri" w:cstheme="minorHAnsi"/>
          <w:spacing w:val="1"/>
        </w:rPr>
        <w:t xml:space="preserve"> </w:t>
      </w:r>
      <w:r w:rsidRPr="00DC0512">
        <w:rPr>
          <w:rFonts w:eastAsia="Calibri" w:cstheme="minorHAnsi"/>
        </w:rPr>
        <w:t xml:space="preserve">a </w:t>
      </w:r>
      <w:r w:rsidRPr="00DC0512">
        <w:rPr>
          <w:rFonts w:eastAsia="Calibri" w:cstheme="minorHAnsi"/>
        </w:rPr>
        <w:lastRenderedPageBreak/>
        <w:t xml:space="preserve">survey of </w:t>
      </w:r>
      <w:proofErr w:type="gramStart"/>
      <w:r w:rsidRPr="00DC0512">
        <w:rPr>
          <w:rFonts w:eastAsia="Calibri" w:cstheme="minorHAnsi"/>
        </w:rPr>
        <w:t>methods’</w:t>
      </w:r>
      <w:proofErr w:type="gramEnd"/>
      <w:r w:rsidRPr="00DC0512">
        <w:rPr>
          <w:rFonts w:eastAsia="Calibri" w:cstheme="minorHAnsi"/>
        </w:rPr>
        <w:t xml:space="preserve">. </w:t>
      </w:r>
      <w:r w:rsidRPr="00DC0512">
        <w:rPr>
          <w:rFonts w:eastAsia="Calibri" w:cstheme="minorHAnsi"/>
          <w:i/>
        </w:rPr>
        <w:t>Australian Journal of Agricultural and Resource Economics, 46</w:t>
      </w:r>
      <w:r w:rsidRPr="00DC0512">
        <w:rPr>
          <w:rFonts w:eastAsia="Calibri" w:cstheme="minorHAnsi"/>
        </w:rPr>
        <w:t>(4),</w:t>
      </w:r>
      <w:r w:rsidRPr="00DC0512">
        <w:rPr>
          <w:rFonts w:eastAsia="Calibri" w:cstheme="minorHAnsi"/>
          <w:spacing w:val="-1"/>
        </w:rPr>
        <w:t xml:space="preserve"> </w:t>
      </w:r>
      <w:r w:rsidRPr="00DC0512">
        <w:rPr>
          <w:rFonts w:eastAsia="Calibri" w:cstheme="minorHAnsi"/>
        </w:rPr>
        <w:t>559- 584.</w:t>
      </w:r>
      <w:r w:rsidRPr="00DC0512">
        <w:rPr>
          <w:rFonts w:eastAsia="Calibri" w:cstheme="minorHAnsi"/>
          <w:spacing w:val="-3"/>
        </w:rPr>
        <w:t xml:space="preserve"> </w:t>
      </w:r>
      <w:r w:rsidRPr="00DC0512">
        <w:rPr>
          <w:rFonts w:eastAsia="Calibri" w:cstheme="minorHAnsi"/>
        </w:rPr>
        <w:t>doi:10.1111/1467-8489.00193</w:t>
      </w:r>
    </w:p>
    <w:p w14:paraId="5AE85FF6" w14:textId="77777777" w:rsidR="004F1B2C" w:rsidRDefault="004F1B2C" w:rsidP="00DC0512">
      <w:pPr>
        <w:contextualSpacing/>
        <w:jc w:val="both"/>
        <w:rPr>
          <w:rFonts w:cstheme="minorHAnsi"/>
        </w:rPr>
      </w:pPr>
    </w:p>
    <w:p w14:paraId="3A1E0138" w14:textId="6514680B" w:rsidR="007E2B8C" w:rsidRPr="00DC0512" w:rsidRDefault="007E2B8C" w:rsidP="00DC0512">
      <w:pPr>
        <w:contextualSpacing/>
        <w:jc w:val="both"/>
        <w:rPr>
          <w:rFonts w:eastAsia="Calibri" w:cstheme="minorHAnsi"/>
        </w:rPr>
      </w:pPr>
      <w:r w:rsidRPr="00DC0512">
        <w:rPr>
          <w:rFonts w:cstheme="minorHAnsi"/>
        </w:rPr>
        <w:t>Freebairn, J. (2018</w:t>
      </w:r>
      <w:proofErr w:type="gramStart"/>
      <w:r w:rsidRPr="00DC0512">
        <w:rPr>
          <w:rFonts w:cstheme="minorHAnsi"/>
        </w:rPr>
        <w:t>), ‘</w:t>
      </w:r>
      <w:proofErr w:type="gramEnd"/>
      <w:r w:rsidRPr="00DC0512">
        <w:rPr>
          <w:rFonts w:cstheme="minorHAnsi"/>
        </w:rPr>
        <w:t xml:space="preserve">Effects of supermarket monopsony pricing on agriculture’. </w:t>
      </w:r>
      <w:r w:rsidRPr="00DC0512">
        <w:rPr>
          <w:rFonts w:cstheme="minorHAnsi"/>
          <w:i/>
        </w:rPr>
        <w:t>Australian</w:t>
      </w:r>
      <w:r w:rsidRPr="00DC0512">
        <w:rPr>
          <w:rFonts w:cstheme="minorHAnsi"/>
          <w:i/>
          <w:spacing w:val="1"/>
        </w:rPr>
        <w:t xml:space="preserve"> </w:t>
      </w:r>
      <w:r w:rsidRPr="00DC0512">
        <w:rPr>
          <w:rFonts w:cstheme="minorHAnsi"/>
          <w:i/>
        </w:rPr>
        <w:t>Journal of Agricultural and Resource Economics, 62</w:t>
      </w:r>
      <w:r w:rsidRPr="00DC0512">
        <w:rPr>
          <w:rFonts w:cstheme="minorHAnsi"/>
        </w:rPr>
        <w:t>(4), 548-562.</w:t>
      </w:r>
      <w:r w:rsidRPr="00DC0512">
        <w:rPr>
          <w:rFonts w:cstheme="minorHAnsi"/>
          <w:spacing w:val="-4"/>
        </w:rPr>
        <w:t xml:space="preserve"> </w:t>
      </w:r>
      <w:r w:rsidRPr="00DC0512">
        <w:rPr>
          <w:rFonts w:cstheme="minorHAnsi"/>
        </w:rPr>
        <w:t>doi:10.1111/1467-8489.12251</w:t>
      </w:r>
    </w:p>
    <w:p w14:paraId="2C219351" w14:textId="77777777" w:rsidR="007E2B8C" w:rsidRPr="00DC0512" w:rsidRDefault="007E2B8C" w:rsidP="00DC0512">
      <w:pPr>
        <w:contextualSpacing/>
        <w:jc w:val="both"/>
        <w:rPr>
          <w:rFonts w:cstheme="minorHAnsi"/>
        </w:rPr>
      </w:pPr>
    </w:p>
    <w:p w14:paraId="2CA77C56" w14:textId="77777777" w:rsidR="007E2B8C" w:rsidRPr="00DC0512" w:rsidRDefault="007E2B8C" w:rsidP="00DC0512">
      <w:pPr>
        <w:jc w:val="both"/>
        <w:rPr>
          <w:rFonts w:eastAsia="Calibri" w:cstheme="minorHAnsi"/>
        </w:rPr>
      </w:pPr>
      <w:r w:rsidRPr="00DC0512">
        <w:rPr>
          <w:rFonts w:cstheme="minorHAnsi"/>
        </w:rPr>
        <w:t>Griffith, G. (2000</w:t>
      </w:r>
      <w:proofErr w:type="gramStart"/>
      <w:r w:rsidRPr="00DC0512">
        <w:rPr>
          <w:rFonts w:cstheme="minorHAnsi"/>
        </w:rPr>
        <w:t>), ‘</w:t>
      </w:r>
      <w:proofErr w:type="gramEnd"/>
      <w:r w:rsidRPr="00DC0512">
        <w:rPr>
          <w:rFonts w:cstheme="minorHAnsi"/>
        </w:rPr>
        <w:t xml:space="preserve">Competition in the food marketing chain’. </w:t>
      </w:r>
      <w:r w:rsidRPr="00DC0512">
        <w:rPr>
          <w:rFonts w:cstheme="minorHAnsi"/>
          <w:i/>
        </w:rPr>
        <w:t>Australian Journal of Agricultural and Resource Economics</w:t>
      </w:r>
      <w:r w:rsidRPr="00DC0512">
        <w:rPr>
          <w:rFonts w:cstheme="minorHAnsi"/>
        </w:rPr>
        <w:t>, (3), 333. Retrieved from</w:t>
      </w:r>
      <w:r w:rsidRPr="00DC0512">
        <w:rPr>
          <w:rFonts w:cstheme="minorHAnsi"/>
          <w:spacing w:val="-1"/>
        </w:rPr>
        <w:t xml:space="preserve"> </w:t>
      </w:r>
      <w:r w:rsidRPr="00DC0512">
        <w:rPr>
          <w:rFonts w:cstheme="minorHAnsi"/>
          <w:color w:val="0563C1"/>
          <w:u w:val="single" w:color="0563C1"/>
        </w:rPr>
        <w:t>https://search-ebscohost-</w:t>
      </w:r>
      <w:r w:rsidRPr="00DC0512">
        <w:rPr>
          <w:rFonts w:cstheme="minorHAnsi"/>
          <w:color w:val="0563C1"/>
        </w:rPr>
        <w:t xml:space="preserve"> </w:t>
      </w:r>
      <w:r w:rsidRPr="00DC0512">
        <w:rPr>
          <w:rFonts w:cstheme="minorHAnsi"/>
          <w:color w:val="0563C1"/>
          <w:u w:val="single" w:color="0563C1"/>
        </w:rPr>
        <w:t>com.ezp.lib.unimelb.edu.au/login.aspx?direct=true&amp;db=edsbl&amp;AN=RN082691261&amp;site=</w:t>
      </w:r>
      <w:r w:rsidRPr="00DC0512">
        <w:rPr>
          <w:rFonts w:cstheme="minorHAnsi"/>
          <w:color w:val="0563C1"/>
        </w:rPr>
        <w:t xml:space="preserve"> </w:t>
      </w:r>
      <w:proofErr w:type="spellStart"/>
      <w:r w:rsidRPr="00DC0512">
        <w:rPr>
          <w:rFonts w:cstheme="minorHAnsi"/>
          <w:color w:val="0563C1"/>
          <w:u w:val="single" w:color="0563C1"/>
        </w:rPr>
        <w:t>eds-live&amp;scope</w:t>
      </w:r>
      <w:proofErr w:type="spellEnd"/>
      <w:r w:rsidRPr="00DC0512">
        <w:rPr>
          <w:rFonts w:cstheme="minorHAnsi"/>
          <w:color w:val="0563C1"/>
          <w:u w:val="single" w:color="0563C1"/>
        </w:rPr>
        <w:t>=site</w:t>
      </w:r>
    </w:p>
    <w:p w14:paraId="01667A75" w14:textId="77777777" w:rsidR="000C3935" w:rsidRDefault="000C3935" w:rsidP="000C3935">
      <w:pPr>
        <w:pStyle w:val="BodyText"/>
        <w:ind w:left="0"/>
        <w:jc w:val="both"/>
        <w:rPr>
          <w:rFonts w:asciiTheme="minorHAnsi" w:hAnsiTheme="minorHAnsi" w:cstheme="minorHAnsi"/>
          <w:sz w:val="22"/>
          <w:szCs w:val="22"/>
        </w:rPr>
      </w:pPr>
    </w:p>
    <w:p w14:paraId="0899146D" w14:textId="291E105D" w:rsidR="000C3935" w:rsidRPr="00F722B5" w:rsidRDefault="000C3935" w:rsidP="000C3935">
      <w:pPr>
        <w:pStyle w:val="BodyText"/>
        <w:ind w:left="0"/>
        <w:jc w:val="both"/>
        <w:rPr>
          <w:rFonts w:asciiTheme="minorHAnsi" w:hAnsiTheme="minorHAnsi" w:cstheme="minorHAnsi"/>
          <w:sz w:val="22"/>
          <w:szCs w:val="22"/>
        </w:rPr>
      </w:pPr>
      <w:r w:rsidRPr="00F722B5">
        <w:rPr>
          <w:rFonts w:asciiTheme="minorHAnsi" w:hAnsiTheme="minorHAnsi" w:cstheme="minorHAnsi"/>
          <w:sz w:val="22"/>
          <w:szCs w:val="22"/>
        </w:rPr>
        <w:t xml:space="preserve">Hall, Bronwyn H. and Cummins, Clint (2003), </w:t>
      </w:r>
      <w:r w:rsidRPr="00F722B5">
        <w:rPr>
          <w:rFonts w:asciiTheme="minorHAnsi" w:hAnsiTheme="minorHAnsi" w:cstheme="minorHAnsi"/>
          <w:i/>
          <w:iCs/>
          <w:sz w:val="22"/>
          <w:szCs w:val="22"/>
        </w:rPr>
        <w:t>Time Series Processor Version 4.5 Reference Manual</w:t>
      </w:r>
      <w:r w:rsidRPr="00F722B5">
        <w:rPr>
          <w:rFonts w:asciiTheme="minorHAnsi" w:hAnsiTheme="minorHAnsi" w:cstheme="minorHAnsi"/>
          <w:sz w:val="22"/>
          <w:szCs w:val="22"/>
        </w:rPr>
        <w:t>, TSP International, Palo Alto, United States.</w:t>
      </w:r>
    </w:p>
    <w:p w14:paraId="3059C436" w14:textId="77777777" w:rsidR="007E2B8C" w:rsidRPr="00DC0512" w:rsidRDefault="007E2B8C" w:rsidP="00DC0512">
      <w:pPr>
        <w:jc w:val="both"/>
        <w:rPr>
          <w:rFonts w:eastAsia="Calibri" w:cstheme="minorHAnsi"/>
        </w:rPr>
      </w:pPr>
    </w:p>
    <w:p w14:paraId="315EC989" w14:textId="5EF1021E" w:rsidR="007A036E" w:rsidRPr="000C3935" w:rsidRDefault="000C3935" w:rsidP="00DC0512">
      <w:pPr>
        <w:jc w:val="both"/>
        <w:rPr>
          <w:rFonts w:ascii="Calibri" w:hAnsi="Calibri" w:cs="Calibri"/>
        </w:rPr>
      </w:pPr>
      <w:r>
        <w:rPr>
          <w:rFonts w:ascii="Calibri" w:hAnsi="Calibri" w:cs="Calibri"/>
        </w:rPr>
        <w:t xml:space="preserve">Heilbron, S., Griffith, G. and Malcolm, B. (2025), </w:t>
      </w:r>
      <w:r w:rsidRPr="00774D21">
        <w:rPr>
          <w:rFonts w:ascii="Calibri" w:hAnsi="Calibri" w:cs="Calibri"/>
          <w:i/>
          <w:iCs/>
        </w:rPr>
        <w:t xml:space="preserve">Cattle and Sheep Cycles and </w:t>
      </w:r>
      <w:r>
        <w:rPr>
          <w:rFonts w:ascii="Calibri" w:hAnsi="Calibri" w:cs="Calibri"/>
          <w:i/>
          <w:iCs/>
        </w:rPr>
        <w:t>P</w:t>
      </w:r>
      <w:r w:rsidRPr="00774D21">
        <w:rPr>
          <w:rFonts w:ascii="Calibri" w:hAnsi="Calibri" w:cs="Calibri"/>
          <w:i/>
          <w:iCs/>
        </w:rPr>
        <w:t xml:space="preserve">rice Transmission </w:t>
      </w:r>
      <w:r>
        <w:rPr>
          <w:rFonts w:ascii="Calibri" w:hAnsi="Calibri" w:cs="Calibri"/>
          <w:i/>
          <w:iCs/>
        </w:rPr>
        <w:t>P</w:t>
      </w:r>
      <w:r w:rsidRPr="00774D21">
        <w:rPr>
          <w:rFonts w:ascii="Calibri" w:hAnsi="Calibri" w:cs="Calibri"/>
          <w:i/>
          <w:iCs/>
        </w:rPr>
        <w:t>rocesses</w:t>
      </w:r>
      <w:r>
        <w:rPr>
          <w:rFonts w:ascii="Calibri" w:hAnsi="Calibri" w:cs="Calibri"/>
          <w:i/>
          <w:iCs/>
        </w:rPr>
        <w:t>:</w:t>
      </w:r>
      <w:r>
        <w:rPr>
          <w:rFonts w:ascii="Calibri" w:hAnsi="Calibri" w:cs="Calibri"/>
        </w:rPr>
        <w:t xml:space="preserve"> </w:t>
      </w:r>
      <w:r w:rsidRPr="00AC3F40">
        <w:rPr>
          <w:rFonts w:ascii="Calibri" w:hAnsi="Calibri" w:cs="Calibri"/>
          <w:i/>
          <w:iCs/>
        </w:rPr>
        <w:t>Final Report to AMPC on Stage 2 of Project 2024-1029, Price Transmission Analysis</w:t>
      </w:r>
      <w:r>
        <w:rPr>
          <w:rFonts w:ascii="Calibri" w:hAnsi="Calibri" w:cs="Calibri"/>
        </w:rPr>
        <w:t>, by S.G. Heilbron Pty Ltd, submitted to Australian Meat Processor Corporation Ltd, North Sydney, February</w:t>
      </w:r>
      <w:r w:rsidRPr="00CF1591">
        <w:rPr>
          <w:rFonts w:ascii="Calibri" w:hAnsi="Calibri" w:cs="Calibri"/>
        </w:rPr>
        <w:t>.</w:t>
      </w:r>
      <w:r>
        <w:rPr>
          <w:rFonts w:ascii="Calibri" w:hAnsi="Calibri" w:cs="Calibri"/>
        </w:rPr>
        <w:t xml:space="preserve"> Available at: </w:t>
      </w:r>
      <w:r w:rsidRPr="000C3935">
        <w:rPr>
          <w:rFonts w:ascii="Calibri" w:hAnsi="Calibri" w:cs="Calibri"/>
        </w:rPr>
        <w:t>https://www.ampc.com.au/getmedia/dc6df438-5442-4a82-84f5-18d5dc975729/AMPC-Project-2024-1029-Final-Report-Price-Transmission-Analysis.pdf?ext=.pdf</w:t>
      </w:r>
    </w:p>
    <w:p w14:paraId="15A0021E" w14:textId="77777777" w:rsidR="000C3935" w:rsidRDefault="000C3935" w:rsidP="000C3935">
      <w:pPr>
        <w:jc w:val="both"/>
        <w:rPr>
          <w:rFonts w:cstheme="minorHAnsi"/>
          <w:noProof/>
        </w:rPr>
      </w:pPr>
    </w:p>
    <w:p w14:paraId="5F33E3C8" w14:textId="6912E9CB" w:rsidR="000C3935" w:rsidRPr="002365F7" w:rsidRDefault="000C3935" w:rsidP="000C3935">
      <w:pPr>
        <w:jc w:val="both"/>
        <w:rPr>
          <w:rFonts w:cstheme="minorHAnsi"/>
          <w:noProof/>
        </w:rPr>
      </w:pPr>
      <w:r w:rsidRPr="002365F7">
        <w:rPr>
          <w:rFonts w:cstheme="minorHAnsi"/>
          <w:noProof/>
        </w:rPr>
        <w:t xml:space="preserve">Hill, R.C., Griffiths, W.E. and G.G Judge (2001), </w:t>
      </w:r>
      <w:r w:rsidRPr="002365F7">
        <w:rPr>
          <w:rFonts w:cstheme="minorHAnsi"/>
          <w:i/>
          <w:iCs/>
          <w:noProof/>
        </w:rPr>
        <w:t>Undergraduate Econometrics</w:t>
      </w:r>
      <w:r w:rsidRPr="002365F7">
        <w:rPr>
          <w:rFonts w:cstheme="minorHAnsi"/>
          <w:noProof/>
        </w:rPr>
        <w:t>, 2</w:t>
      </w:r>
      <w:r w:rsidRPr="002365F7">
        <w:rPr>
          <w:rFonts w:cstheme="minorHAnsi"/>
          <w:noProof/>
          <w:vertAlign w:val="superscript"/>
        </w:rPr>
        <w:t>nd</w:t>
      </w:r>
      <w:r w:rsidRPr="002365F7">
        <w:rPr>
          <w:rFonts w:cstheme="minorHAnsi"/>
          <w:noProof/>
        </w:rPr>
        <w:t xml:space="preserve"> Edition, John Wiley &amp; sons, Inc., New York and Brisbane.</w:t>
      </w:r>
    </w:p>
    <w:p w14:paraId="05920C79" w14:textId="77777777" w:rsidR="007E2B8C" w:rsidRPr="00DC0512" w:rsidRDefault="007E2B8C" w:rsidP="00DC0512">
      <w:pPr>
        <w:pStyle w:val="BodyText"/>
        <w:ind w:left="0"/>
        <w:jc w:val="both"/>
        <w:rPr>
          <w:rFonts w:asciiTheme="minorHAnsi" w:hAnsiTheme="minorHAnsi" w:cstheme="minorHAnsi"/>
          <w:sz w:val="22"/>
          <w:szCs w:val="22"/>
        </w:rPr>
      </w:pPr>
    </w:p>
    <w:p w14:paraId="2F758C87" w14:textId="77777777" w:rsidR="007E2B8C" w:rsidRPr="00DC0512" w:rsidRDefault="007E2B8C" w:rsidP="00DC0512">
      <w:pPr>
        <w:pStyle w:val="Abstract"/>
        <w:spacing w:line="240" w:lineRule="auto"/>
        <w:rPr>
          <w:rFonts w:asciiTheme="minorHAnsi" w:hAnsiTheme="minorHAnsi" w:cstheme="minorHAnsi"/>
          <w:b w:val="0"/>
          <w:iCs/>
          <w:color w:val="222222"/>
          <w:sz w:val="22"/>
          <w:shd w:val="clear" w:color="auto" w:fill="FFFFFF"/>
        </w:rPr>
      </w:pPr>
      <w:r w:rsidRPr="00DC0512">
        <w:rPr>
          <w:rFonts w:asciiTheme="minorHAnsi" w:hAnsiTheme="minorHAnsi" w:cstheme="minorHAnsi"/>
          <w:b w:val="0"/>
          <w:sz w:val="22"/>
        </w:rPr>
        <w:t>Hilli, Alastair and Griffith, Garry (2022), “Re-examining market power in the domestic fresh</w:t>
      </w:r>
      <w:r w:rsidRPr="00DC0512">
        <w:rPr>
          <w:rFonts w:asciiTheme="minorHAnsi" w:hAnsiTheme="minorHAnsi" w:cstheme="minorHAnsi"/>
          <w:b w:val="0"/>
          <w:spacing w:val="-4"/>
          <w:sz w:val="22"/>
        </w:rPr>
        <w:t xml:space="preserve"> m</w:t>
      </w:r>
      <w:r w:rsidRPr="00DC0512">
        <w:rPr>
          <w:rFonts w:asciiTheme="minorHAnsi" w:hAnsiTheme="minorHAnsi" w:cstheme="minorHAnsi"/>
          <w:b w:val="0"/>
          <w:sz w:val="22"/>
        </w:rPr>
        <w:t>eat market”,</w:t>
      </w:r>
      <w:r w:rsidRPr="00DC0512">
        <w:rPr>
          <w:rFonts w:asciiTheme="minorHAnsi" w:hAnsiTheme="minorHAnsi" w:cstheme="minorHAnsi"/>
          <w:sz w:val="22"/>
        </w:rPr>
        <w:t xml:space="preserve"> </w:t>
      </w:r>
      <w:r w:rsidRPr="00DC0512">
        <w:rPr>
          <w:rFonts w:asciiTheme="minorHAnsi" w:hAnsiTheme="minorHAnsi" w:cstheme="minorHAnsi"/>
          <w:b w:val="0"/>
          <w:i/>
          <w:color w:val="222222"/>
          <w:sz w:val="22"/>
          <w:shd w:val="clear" w:color="auto" w:fill="FFFFFF"/>
        </w:rPr>
        <w:t xml:space="preserve">Australasian Agribusiness Review </w:t>
      </w:r>
      <w:r w:rsidRPr="00DC0512">
        <w:rPr>
          <w:rFonts w:asciiTheme="minorHAnsi" w:hAnsiTheme="minorHAnsi" w:cstheme="minorHAnsi"/>
          <w:b w:val="0"/>
          <w:iCs/>
          <w:color w:val="222222"/>
          <w:sz w:val="22"/>
          <w:shd w:val="clear" w:color="auto" w:fill="FFFFFF"/>
        </w:rPr>
        <w:t>Volume 30, Paper 8, 190-217.</w:t>
      </w:r>
    </w:p>
    <w:p w14:paraId="4B9CF142" w14:textId="77777777" w:rsidR="007E2B8C" w:rsidRPr="00DC0512" w:rsidRDefault="007E2B8C" w:rsidP="00DC0512">
      <w:pPr>
        <w:contextualSpacing/>
        <w:jc w:val="both"/>
        <w:rPr>
          <w:rFonts w:cstheme="minorHAnsi"/>
        </w:rPr>
      </w:pPr>
    </w:p>
    <w:p w14:paraId="5EE03F20" w14:textId="77777777" w:rsidR="007E2B8C" w:rsidRPr="00DC0512" w:rsidRDefault="007E2B8C" w:rsidP="00DC0512">
      <w:pPr>
        <w:contextualSpacing/>
        <w:jc w:val="both"/>
        <w:rPr>
          <w:rFonts w:cstheme="minorHAnsi"/>
        </w:rPr>
      </w:pPr>
      <w:r w:rsidRPr="00DC0512">
        <w:rPr>
          <w:rFonts w:cstheme="minorHAnsi"/>
        </w:rPr>
        <w:t>Holloway, G.J. (1991), The farm-retail price spread in an imperfectly competitive food industry.</w:t>
      </w:r>
    </w:p>
    <w:p w14:paraId="5BE299C5" w14:textId="77777777" w:rsidR="007E2B8C" w:rsidRPr="00DC0512" w:rsidRDefault="007E2B8C" w:rsidP="00DC0512">
      <w:pPr>
        <w:contextualSpacing/>
        <w:jc w:val="both"/>
        <w:rPr>
          <w:rFonts w:cstheme="minorHAnsi"/>
        </w:rPr>
      </w:pPr>
      <w:r w:rsidRPr="00DC0512">
        <w:rPr>
          <w:rFonts w:cstheme="minorHAnsi"/>
          <w:i/>
          <w:iCs/>
        </w:rPr>
        <w:t>American Journal of Agricultural Economics</w:t>
      </w:r>
      <w:r w:rsidRPr="00DC0512">
        <w:rPr>
          <w:rFonts w:cstheme="minorHAnsi"/>
        </w:rPr>
        <w:t xml:space="preserve">. 73(4): 979-989. </w:t>
      </w:r>
    </w:p>
    <w:p w14:paraId="1F321108" w14:textId="77777777" w:rsidR="007E2B8C" w:rsidRPr="00DC0512" w:rsidRDefault="007E2B8C" w:rsidP="00DC0512">
      <w:pPr>
        <w:pStyle w:val="BodyText"/>
        <w:ind w:left="0"/>
        <w:jc w:val="both"/>
        <w:rPr>
          <w:rFonts w:asciiTheme="minorHAnsi" w:hAnsiTheme="minorHAnsi" w:cstheme="minorHAnsi"/>
          <w:sz w:val="22"/>
          <w:szCs w:val="22"/>
        </w:rPr>
      </w:pPr>
    </w:p>
    <w:p w14:paraId="5EC41A0D" w14:textId="77777777" w:rsidR="007E2B8C" w:rsidRPr="00DC0512" w:rsidRDefault="007E2B8C" w:rsidP="00DC0512">
      <w:pPr>
        <w:pStyle w:val="BodyText"/>
        <w:ind w:left="0"/>
        <w:jc w:val="both"/>
        <w:rPr>
          <w:rFonts w:asciiTheme="minorHAnsi" w:hAnsiTheme="minorHAnsi" w:cstheme="minorHAnsi"/>
          <w:sz w:val="22"/>
          <w:szCs w:val="22"/>
        </w:rPr>
      </w:pPr>
      <w:r w:rsidRPr="00DC0512">
        <w:rPr>
          <w:rFonts w:asciiTheme="minorHAnsi" w:hAnsiTheme="minorHAnsi" w:cstheme="minorHAnsi"/>
          <w:sz w:val="22"/>
          <w:szCs w:val="22"/>
        </w:rPr>
        <w:t xml:space="preserve">Hyde, C.E. and Perloff, J.M. (1998), Multimarket market power estimation: the Australian retail meat sector. </w:t>
      </w:r>
      <w:r w:rsidRPr="00DC0512">
        <w:rPr>
          <w:rFonts w:asciiTheme="minorHAnsi" w:hAnsiTheme="minorHAnsi" w:cstheme="minorHAnsi"/>
          <w:i/>
          <w:sz w:val="22"/>
          <w:szCs w:val="22"/>
        </w:rPr>
        <w:t>Applied Economics, 30</w:t>
      </w:r>
      <w:r w:rsidRPr="00DC0512">
        <w:rPr>
          <w:rFonts w:asciiTheme="minorHAnsi" w:hAnsiTheme="minorHAnsi" w:cstheme="minorHAnsi"/>
          <w:sz w:val="22"/>
          <w:szCs w:val="22"/>
        </w:rPr>
        <w:t>(9), 1169–1176.</w:t>
      </w:r>
      <w:r w:rsidRPr="00DC0512">
        <w:rPr>
          <w:rFonts w:asciiTheme="minorHAnsi" w:hAnsiTheme="minorHAnsi" w:cstheme="minorHAnsi"/>
          <w:spacing w:val="-1"/>
          <w:sz w:val="22"/>
          <w:szCs w:val="22"/>
        </w:rPr>
        <w:t xml:space="preserve"> </w:t>
      </w:r>
      <w:r w:rsidRPr="00DC0512">
        <w:rPr>
          <w:rFonts w:asciiTheme="minorHAnsi" w:hAnsiTheme="minorHAnsi" w:cstheme="minorHAnsi"/>
          <w:color w:val="0563C1"/>
          <w:sz w:val="22"/>
          <w:szCs w:val="22"/>
          <w:u w:val="single" w:color="0563C1"/>
        </w:rPr>
        <w:t>https://doi-</w:t>
      </w:r>
      <w:r w:rsidRPr="00DC0512">
        <w:rPr>
          <w:rFonts w:asciiTheme="minorHAnsi" w:hAnsiTheme="minorHAnsi" w:cstheme="minorHAnsi"/>
          <w:color w:val="0563C1"/>
          <w:sz w:val="22"/>
          <w:szCs w:val="22"/>
        </w:rPr>
        <w:t xml:space="preserve"> </w:t>
      </w:r>
      <w:r w:rsidRPr="00DC0512">
        <w:rPr>
          <w:rFonts w:asciiTheme="minorHAnsi" w:hAnsiTheme="minorHAnsi" w:cstheme="minorHAnsi"/>
          <w:color w:val="0563C1"/>
          <w:sz w:val="22"/>
          <w:szCs w:val="22"/>
          <w:u w:val="single" w:color="0563C1"/>
        </w:rPr>
        <w:t>org.ezp.lib.unimelb.edu.au/10.1080/000368498325066</w:t>
      </w:r>
    </w:p>
    <w:p w14:paraId="24283CC4" w14:textId="77777777" w:rsidR="007E2B8C" w:rsidRPr="00DC0512" w:rsidRDefault="007E2B8C" w:rsidP="00DC0512">
      <w:pPr>
        <w:pStyle w:val="BodyText"/>
        <w:ind w:left="0"/>
        <w:jc w:val="both"/>
        <w:rPr>
          <w:rFonts w:asciiTheme="minorHAnsi" w:hAnsiTheme="minorHAnsi" w:cstheme="minorHAnsi"/>
          <w:sz w:val="22"/>
          <w:szCs w:val="22"/>
        </w:rPr>
      </w:pPr>
    </w:p>
    <w:p w14:paraId="36AFEF17" w14:textId="77777777" w:rsidR="007E2B8C" w:rsidRPr="00DC0512" w:rsidRDefault="007E2B8C" w:rsidP="00DC0512">
      <w:pPr>
        <w:pStyle w:val="BodyText"/>
        <w:ind w:left="0"/>
        <w:jc w:val="both"/>
        <w:rPr>
          <w:rFonts w:asciiTheme="minorHAnsi" w:hAnsiTheme="minorHAnsi" w:cstheme="minorHAnsi"/>
          <w:sz w:val="22"/>
          <w:szCs w:val="22"/>
        </w:rPr>
      </w:pPr>
      <w:r w:rsidRPr="00DC0512">
        <w:rPr>
          <w:rFonts w:asciiTheme="minorHAnsi" w:hAnsiTheme="minorHAnsi" w:cstheme="minorHAnsi"/>
          <w:sz w:val="22"/>
          <w:szCs w:val="22"/>
        </w:rPr>
        <w:t xml:space="preserve">Kaiser, H.M. and Suzuki, N. (2017), </w:t>
      </w:r>
      <w:r w:rsidRPr="00DC0512">
        <w:rPr>
          <w:rFonts w:asciiTheme="minorHAnsi" w:hAnsiTheme="minorHAnsi" w:cstheme="minorHAnsi"/>
          <w:i/>
          <w:iCs/>
          <w:sz w:val="22"/>
          <w:szCs w:val="22"/>
        </w:rPr>
        <w:t>New Empirical Industrial Organization and the Food</w:t>
      </w:r>
      <w:r w:rsidRPr="00DC0512">
        <w:rPr>
          <w:rFonts w:asciiTheme="minorHAnsi" w:hAnsiTheme="minorHAnsi" w:cstheme="minorHAnsi"/>
          <w:i/>
          <w:iCs/>
          <w:spacing w:val="1"/>
          <w:sz w:val="22"/>
          <w:szCs w:val="22"/>
        </w:rPr>
        <w:t xml:space="preserve"> </w:t>
      </w:r>
      <w:r w:rsidRPr="00DC0512">
        <w:rPr>
          <w:rFonts w:asciiTheme="minorHAnsi" w:hAnsiTheme="minorHAnsi" w:cstheme="minorHAnsi"/>
          <w:i/>
          <w:iCs/>
          <w:sz w:val="22"/>
          <w:szCs w:val="22"/>
        </w:rPr>
        <w:t>System</w:t>
      </w:r>
      <w:r w:rsidRPr="00DC0512">
        <w:rPr>
          <w:rFonts w:asciiTheme="minorHAnsi" w:hAnsiTheme="minorHAnsi" w:cstheme="minorHAnsi"/>
          <w:sz w:val="22"/>
          <w:szCs w:val="22"/>
        </w:rPr>
        <w:t>. [electronic resource] (1st, New ed. ed.): Peter Lang Inc., International</w:t>
      </w:r>
      <w:r w:rsidRPr="00DC0512">
        <w:rPr>
          <w:rFonts w:asciiTheme="minorHAnsi" w:hAnsiTheme="minorHAnsi" w:cstheme="minorHAnsi"/>
          <w:spacing w:val="-1"/>
          <w:sz w:val="22"/>
          <w:szCs w:val="22"/>
        </w:rPr>
        <w:t xml:space="preserve"> </w:t>
      </w:r>
      <w:r w:rsidRPr="00DC0512">
        <w:rPr>
          <w:rFonts w:asciiTheme="minorHAnsi" w:hAnsiTheme="minorHAnsi" w:cstheme="minorHAnsi"/>
          <w:sz w:val="22"/>
          <w:szCs w:val="22"/>
        </w:rPr>
        <w:t>Academic</w:t>
      </w:r>
      <w:r w:rsidRPr="00DC0512">
        <w:rPr>
          <w:rFonts w:asciiTheme="minorHAnsi" w:hAnsiTheme="minorHAnsi" w:cstheme="minorHAnsi"/>
          <w:w w:val="99"/>
          <w:sz w:val="22"/>
          <w:szCs w:val="22"/>
        </w:rPr>
        <w:t xml:space="preserve"> </w:t>
      </w:r>
      <w:r w:rsidRPr="00DC0512">
        <w:rPr>
          <w:rFonts w:asciiTheme="minorHAnsi" w:hAnsiTheme="minorHAnsi" w:cstheme="minorHAnsi"/>
          <w:sz w:val="22"/>
          <w:szCs w:val="22"/>
        </w:rPr>
        <w:t>Publishers.</w:t>
      </w:r>
    </w:p>
    <w:p w14:paraId="16740E90" w14:textId="77777777" w:rsidR="007E2B8C" w:rsidRPr="00DC0512" w:rsidRDefault="007E2B8C" w:rsidP="00DC0512">
      <w:pPr>
        <w:contextualSpacing/>
        <w:jc w:val="both"/>
        <w:rPr>
          <w:rFonts w:cstheme="minorHAnsi"/>
        </w:rPr>
      </w:pPr>
    </w:p>
    <w:p w14:paraId="0ACA620C" w14:textId="0F2A72A6" w:rsidR="007E2B8C" w:rsidRPr="00DC0512" w:rsidRDefault="007E2B8C" w:rsidP="00DC0512">
      <w:pPr>
        <w:pStyle w:val="BodyText"/>
        <w:spacing w:line="280" w:lineRule="atLeast"/>
        <w:ind w:left="0"/>
        <w:contextualSpacing/>
        <w:jc w:val="both"/>
        <w:rPr>
          <w:rFonts w:asciiTheme="minorHAnsi" w:hAnsiTheme="minorHAnsi" w:cstheme="minorHAnsi"/>
          <w:sz w:val="22"/>
          <w:szCs w:val="22"/>
        </w:rPr>
      </w:pPr>
      <w:r w:rsidRPr="00DC0512">
        <w:rPr>
          <w:rFonts w:asciiTheme="minorHAnsi" w:hAnsiTheme="minorHAnsi" w:cstheme="minorHAnsi"/>
          <w:sz w:val="22"/>
          <w:szCs w:val="22"/>
        </w:rPr>
        <w:t xml:space="preserve">McCorriston, S. (2014), </w:t>
      </w:r>
      <w:r w:rsidRPr="00DC0512">
        <w:rPr>
          <w:rFonts w:asciiTheme="minorHAnsi" w:hAnsiTheme="minorHAnsi" w:cstheme="minorHAnsi"/>
          <w:i/>
          <w:iCs/>
          <w:sz w:val="22"/>
          <w:szCs w:val="22"/>
        </w:rPr>
        <w:t>Background Note: Competition Issues in the Food Chain</w:t>
      </w:r>
      <w:r w:rsidRPr="00DC0512">
        <w:rPr>
          <w:rFonts w:asciiTheme="minorHAnsi" w:hAnsiTheme="minorHAnsi" w:cstheme="minorHAnsi"/>
          <w:i/>
          <w:iCs/>
          <w:spacing w:val="1"/>
          <w:sz w:val="22"/>
          <w:szCs w:val="22"/>
        </w:rPr>
        <w:t xml:space="preserve"> </w:t>
      </w:r>
      <w:r w:rsidRPr="00DC0512">
        <w:rPr>
          <w:rFonts w:asciiTheme="minorHAnsi" w:hAnsiTheme="minorHAnsi" w:cstheme="minorHAnsi"/>
          <w:i/>
          <w:iCs/>
          <w:sz w:val="22"/>
          <w:szCs w:val="22"/>
        </w:rPr>
        <w:t>Industry</w:t>
      </w:r>
      <w:r w:rsidRPr="00DC0512">
        <w:rPr>
          <w:rFonts w:asciiTheme="minorHAnsi" w:hAnsiTheme="minorHAnsi" w:cstheme="minorHAnsi"/>
          <w:sz w:val="22"/>
          <w:szCs w:val="22"/>
        </w:rPr>
        <w:t xml:space="preserve">. </w:t>
      </w:r>
      <w:proofErr w:type="spellStart"/>
      <w:r w:rsidRPr="00DC0512">
        <w:rPr>
          <w:rFonts w:asciiTheme="minorHAnsi" w:hAnsiTheme="minorHAnsi" w:cstheme="minorHAnsi"/>
          <w:iCs/>
          <w:sz w:val="22"/>
          <w:szCs w:val="22"/>
        </w:rPr>
        <w:t>Organisation</w:t>
      </w:r>
      <w:proofErr w:type="spellEnd"/>
      <w:r w:rsidRPr="00DC0512">
        <w:rPr>
          <w:rFonts w:asciiTheme="minorHAnsi" w:hAnsiTheme="minorHAnsi" w:cstheme="minorHAnsi"/>
          <w:iCs/>
          <w:sz w:val="22"/>
          <w:szCs w:val="22"/>
        </w:rPr>
        <w:t xml:space="preserve"> for Economic Co-Operation and Development</w:t>
      </w:r>
      <w:r w:rsidRPr="00DC0512">
        <w:rPr>
          <w:rFonts w:asciiTheme="minorHAnsi" w:hAnsiTheme="minorHAnsi" w:cstheme="minorHAnsi"/>
          <w:sz w:val="22"/>
          <w:szCs w:val="22"/>
        </w:rPr>
        <w:t>. Retrieved</w:t>
      </w:r>
      <w:r w:rsidRPr="00DC0512">
        <w:rPr>
          <w:rFonts w:asciiTheme="minorHAnsi" w:hAnsiTheme="minorHAnsi" w:cstheme="minorHAnsi"/>
          <w:spacing w:val="-1"/>
          <w:sz w:val="22"/>
          <w:szCs w:val="22"/>
        </w:rPr>
        <w:t xml:space="preserve"> </w:t>
      </w:r>
      <w:r w:rsidRPr="00DC0512">
        <w:rPr>
          <w:rFonts w:asciiTheme="minorHAnsi" w:hAnsiTheme="minorHAnsi" w:cstheme="minorHAnsi"/>
          <w:sz w:val="22"/>
          <w:szCs w:val="22"/>
        </w:rPr>
        <w:t>from</w:t>
      </w:r>
      <w:r w:rsidRPr="00DC0512">
        <w:rPr>
          <w:rFonts w:asciiTheme="minorHAnsi" w:hAnsiTheme="minorHAnsi" w:cstheme="minorHAnsi"/>
          <w:w w:val="99"/>
          <w:sz w:val="22"/>
          <w:szCs w:val="22"/>
        </w:rPr>
        <w:t xml:space="preserve"> </w:t>
      </w:r>
      <w:r w:rsidRPr="00DC0512">
        <w:rPr>
          <w:rFonts w:asciiTheme="minorHAnsi" w:hAnsiTheme="minorHAnsi" w:cstheme="minorHAnsi"/>
          <w:color w:val="0563C1"/>
          <w:sz w:val="22"/>
          <w:szCs w:val="22"/>
          <w:u w:val="single" w:color="0563C1"/>
        </w:rPr>
        <w:t>https://</w:t>
      </w:r>
      <w:hyperlink r:id="rId25">
        <w:r w:rsidRPr="00DC0512">
          <w:rPr>
            <w:rFonts w:asciiTheme="minorHAnsi" w:hAnsiTheme="minorHAnsi" w:cstheme="minorHAnsi"/>
            <w:color w:val="0563C1"/>
            <w:sz w:val="22"/>
            <w:szCs w:val="22"/>
            <w:u w:val="single" w:color="0563C1"/>
          </w:rPr>
          <w:t>www.oecd.org/daf/competition/competition-issues-in-food-chain.htm</w:t>
        </w:r>
      </w:hyperlink>
    </w:p>
    <w:p w14:paraId="11200CF3" w14:textId="77777777" w:rsidR="007E2B8C" w:rsidRPr="00DC0512" w:rsidRDefault="007E2B8C" w:rsidP="00DC0512">
      <w:pPr>
        <w:contextualSpacing/>
        <w:jc w:val="both"/>
        <w:rPr>
          <w:rFonts w:cstheme="minorHAnsi"/>
        </w:rPr>
      </w:pPr>
    </w:p>
    <w:p w14:paraId="159D8EA9" w14:textId="77777777" w:rsidR="007E2B8C" w:rsidRPr="00DC0512" w:rsidRDefault="007E2B8C" w:rsidP="00DC0512">
      <w:pPr>
        <w:contextualSpacing/>
        <w:jc w:val="both"/>
        <w:rPr>
          <w:rFonts w:eastAsia="Calibri" w:cstheme="minorHAnsi"/>
        </w:rPr>
      </w:pPr>
      <w:proofErr w:type="spellStart"/>
      <w:r w:rsidRPr="00DC0512">
        <w:rPr>
          <w:rFonts w:cstheme="minorHAnsi"/>
        </w:rPr>
        <w:t>Mérel</w:t>
      </w:r>
      <w:proofErr w:type="spellEnd"/>
      <w:r w:rsidRPr="00DC0512">
        <w:rPr>
          <w:rFonts w:cstheme="minorHAnsi"/>
        </w:rPr>
        <w:t>, P. and Sexton, R.J. (2017</w:t>
      </w:r>
      <w:proofErr w:type="gramStart"/>
      <w:r w:rsidRPr="00DC0512">
        <w:rPr>
          <w:rFonts w:cstheme="minorHAnsi"/>
        </w:rPr>
        <w:t>), ‘</w:t>
      </w:r>
      <w:proofErr w:type="gramEnd"/>
      <w:r w:rsidRPr="00DC0512">
        <w:rPr>
          <w:rFonts w:cstheme="minorHAnsi"/>
        </w:rPr>
        <w:t>Buyer power with atomistic upstream entry: Can</w:t>
      </w:r>
      <w:r w:rsidRPr="00DC0512">
        <w:rPr>
          <w:rFonts w:cstheme="minorHAnsi"/>
          <w:spacing w:val="-1"/>
        </w:rPr>
        <w:t xml:space="preserve"> </w:t>
      </w:r>
      <w:r w:rsidRPr="00DC0512">
        <w:rPr>
          <w:rFonts w:cstheme="minorHAnsi"/>
        </w:rPr>
        <w:t>downstream</w:t>
      </w:r>
      <w:r w:rsidRPr="00DC0512">
        <w:rPr>
          <w:rFonts w:cstheme="minorHAnsi"/>
          <w:w w:val="99"/>
        </w:rPr>
        <w:t xml:space="preserve"> </w:t>
      </w:r>
      <w:r w:rsidRPr="00DC0512">
        <w:rPr>
          <w:rFonts w:cstheme="minorHAnsi"/>
        </w:rPr>
        <w:t xml:space="preserve">consolidation increase production and welfare?’. </w:t>
      </w:r>
      <w:r w:rsidRPr="00DC0512">
        <w:rPr>
          <w:rFonts w:cstheme="minorHAnsi"/>
          <w:i/>
        </w:rPr>
        <w:t>International Journal of Industrial Organization, 50</w:t>
      </w:r>
      <w:r w:rsidRPr="00DC0512">
        <w:rPr>
          <w:rFonts w:cstheme="minorHAnsi"/>
        </w:rPr>
        <w:t>, 259-293.</w:t>
      </w:r>
      <w:r w:rsidRPr="00DC0512">
        <w:rPr>
          <w:rFonts w:cstheme="minorHAnsi"/>
          <w:spacing w:val="-2"/>
        </w:rPr>
        <w:t xml:space="preserve"> </w:t>
      </w:r>
      <w:proofErr w:type="spellStart"/>
      <w:proofErr w:type="gramStart"/>
      <w:r w:rsidRPr="00DC0512">
        <w:rPr>
          <w:rFonts w:cstheme="minorHAnsi"/>
        </w:rPr>
        <w:t>doi:https</w:t>
      </w:r>
      <w:proofErr w:type="spellEnd"/>
      <w:r w:rsidRPr="00DC0512">
        <w:rPr>
          <w:rFonts w:cstheme="minorHAnsi"/>
        </w:rPr>
        <w:t>://doi.org/10.1016/j.ijindorg.2016.11.002</w:t>
      </w:r>
      <w:proofErr w:type="gramEnd"/>
    </w:p>
    <w:p w14:paraId="5876AEB4" w14:textId="77777777" w:rsidR="007E2B8C" w:rsidRPr="00DC0512" w:rsidRDefault="007E2B8C" w:rsidP="00DC0512">
      <w:pPr>
        <w:contextualSpacing/>
        <w:jc w:val="both"/>
        <w:rPr>
          <w:rFonts w:cstheme="minorHAnsi"/>
        </w:rPr>
      </w:pPr>
    </w:p>
    <w:p w14:paraId="136B38A5" w14:textId="77777777" w:rsidR="007E2B8C" w:rsidRPr="00DC0512" w:rsidRDefault="007E2B8C" w:rsidP="00DC0512">
      <w:pPr>
        <w:contextualSpacing/>
        <w:jc w:val="both"/>
        <w:rPr>
          <w:rFonts w:cstheme="minorHAnsi"/>
        </w:rPr>
      </w:pPr>
      <w:r w:rsidRPr="00DC0512">
        <w:rPr>
          <w:rFonts w:cstheme="minorHAnsi"/>
        </w:rPr>
        <w:t>O’Donnell, C.J. (1999), Marketing margins and market power in the Australian dairy processing and retailing sectors. 43rd Annual Conference of the Australian Agricultural and Resource</w:t>
      </w:r>
    </w:p>
    <w:p w14:paraId="1368BE3A" w14:textId="77777777" w:rsidR="007E2B8C" w:rsidRPr="00DC0512" w:rsidRDefault="007E2B8C" w:rsidP="00DC0512">
      <w:pPr>
        <w:contextualSpacing/>
        <w:jc w:val="both"/>
        <w:rPr>
          <w:rFonts w:cstheme="minorHAnsi"/>
        </w:rPr>
      </w:pPr>
      <w:r w:rsidRPr="00DC0512">
        <w:rPr>
          <w:rFonts w:cstheme="minorHAnsi"/>
        </w:rPr>
        <w:t xml:space="preserve">Economics Society. Christchurch, January. </w:t>
      </w:r>
    </w:p>
    <w:p w14:paraId="345677F6" w14:textId="77777777" w:rsidR="007E2B8C" w:rsidRPr="00DC0512" w:rsidRDefault="007E2B8C" w:rsidP="00DC0512">
      <w:pPr>
        <w:jc w:val="both"/>
        <w:rPr>
          <w:rFonts w:cstheme="minorHAnsi"/>
        </w:rPr>
      </w:pPr>
    </w:p>
    <w:p w14:paraId="7444D761" w14:textId="77777777" w:rsidR="007E2B8C" w:rsidRPr="00DC0512" w:rsidRDefault="007E2B8C" w:rsidP="00DC0512">
      <w:pPr>
        <w:jc w:val="both"/>
        <w:rPr>
          <w:rFonts w:cstheme="minorHAnsi"/>
        </w:rPr>
      </w:pPr>
      <w:r w:rsidRPr="00DC0512">
        <w:rPr>
          <w:rFonts w:cstheme="minorHAnsi"/>
        </w:rPr>
        <w:t xml:space="preserve">O'Donnell, C.J., Griffith, G.R., Nightingale, J.J. and Piggott, R.R. (2005), </w:t>
      </w:r>
      <w:r w:rsidRPr="00DC0512">
        <w:rPr>
          <w:rFonts w:cstheme="minorHAnsi"/>
          <w:i/>
        </w:rPr>
        <w:t>Food Processor/Retailer</w:t>
      </w:r>
      <w:r w:rsidRPr="00DC0512">
        <w:rPr>
          <w:rFonts w:cstheme="minorHAnsi"/>
        </w:rPr>
        <w:t xml:space="preserve"> </w:t>
      </w:r>
      <w:r w:rsidRPr="00DC0512">
        <w:rPr>
          <w:rFonts w:cstheme="minorHAnsi"/>
          <w:i/>
        </w:rPr>
        <w:t>Market Power in Input Markets: The Australian Grains and Oilseeds Industries</w:t>
      </w:r>
      <w:r w:rsidRPr="00DC0512">
        <w:rPr>
          <w:rFonts w:cstheme="minorHAnsi"/>
        </w:rPr>
        <w:t xml:space="preserve">, Final Report to the Rural Industries Research and Development Corporation on Project UNE-79A, RIRDC Publication No. </w:t>
      </w:r>
      <w:r w:rsidRPr="00DC0512">
        <w:rPr>
          <w:rFonts w:cstheme="minorHAnsi"/>
        </w:rPr>
        <w:lastRenderedPageBreak/>
        <w:t>05/019, Canberra, April.</w:t>
      </w:r>
    </w:p>
    <w:p w14:paraId="10079B3A" w14:textId="77777777" w:rsidR="007E2B8C" w:rsidRPr="00DC0512" w:rsidRDefault="007E2B8C" w:rsidP="00DC0512">
      <w:pPr>
        <w:contextualSpacing/>
        <w:jc w:val="both"/>
        <w:rPr>
          <w:rFonts w:cstheme="minorHAnsi"/>
        </w:rPr>
      </w:pPr>
    </w:p>
    <w:p w14:paraId="5555D7D8" w14:textId="77777777" w:rsidR="00E20F56" w:rsidRDefault="007E2B8C" w:rsidP="00DC0512">
      <w:pPr>
        <w:pStyle w:val="BodyText"/>
        <w:spacing w:line="280" w:lineRule="atLeast"/>
        <w:ind w:left="0"/>
        <w:contextualSpacing/>
        <w:jc w:val="both"/>
        <w:rPr>
          <w:rFonts w:asciiTheme="minorHAnsi" w:hAnsiTheme="minorHAnsi" w:cstheme="minorHAnsi"/>
          <w:spacing w:val="-2"/>
          <w:sz w:val="22"/>
          <w:szCs w:val="22"/>
        </w:rPr>
      </w:pPr>
      <w:r w:rsidRPr="00DC0512">
        <w:rPr>
          <w:rFonts w:asciiTheme="minorHAnsi" w:hAnsiTheme="minorHAnsi" w:cstheme="minorHAnsi"/>
          <w:sz w:val="22"/>
          <w:szCs w:val="22"/>
        </w:rPr>
        <w:t xml:space="preserve">Perloff, J.M., Karp, L. and Golan, A. (2007), </w:t>
      </w:r>
      <w:r w:rsidRPr="00DC0512">
        <w:rPr>
          <w:rFonts w:asciiTheme="minorHAnsi" w:hAnsiTheme="minorHAnsi" w:cstheme="minorHAnsi"/>
          <w:i/>
          <w:sz w:val="22"/>
          <w:szCs w:val="22"/>
        </w:rPr>
        <w:t>Estimating market power and strategies</w:t>
      </w:r>
      <w:r w:rsidRPr="00DC0512">
        <w:rPr>
          <w:rFonts w:asciiTheme="minorHAnsi" w:hAnsiTheme="minorHAnsi" w:cstheme="minorHAnsi"/>
          <w:sz w:val="22"/>
          <w:szCs w:val="22"/>
        </w:rPr>
        <w:t>.</w:t>
      </w:r>
      <w:r w:rsidRPr="00DC0512">
        <w:rPr>
          <w:rFonts w:asciiTheme="minorHAnsi" w:hAnsiTheme="minorHAnsi" w:cstheme="minorHAnsi"/>
          <w:spacing w:val="-2"/>
          <w:sz w:val="22"/>
          <w:szCs w:val="22"/>
        </w:rPr>
        <w:t xml:space="preserve"> </w:t>
      </w:r>
      <w:r w:rsidRPr="00DC0512">
        <w:rPr>
          <w:rFonts w:asciiTheme="minorHAnsi" w:hAnsiTheme="minorHAnsi" w:cstheme="minorHAnsi"/>
          <w:sz w:val="22"/>
          <w:szCs w:val="22"/>
        </w:rPr>
        <w:t>Cambridge</w:t>
      </w:r>
      <w:r w:rsidRPr="00DC0512">
        <w:rPr>
          <w:rFonts w:asciiTheme="minorHAnsi" w:hAnsiTheme="minorHAnsi" w:cstheme="minorHAnsi"/>
          <w:w w:val="99"/>
          <w:sz w:val="22"/>
          <w:szCs w:val="22"/>
        </w:rPr>
        <w:t xml:space="preserve"> </w:t>
      </w:r>
      <w:r w:rsidRPr="00DC0512">
        <w:rPr>
          <w:rFonts w:asciiTheme="minorHAnsi" w:hAnsiTheme="minorHAnsi" w:cstheme="minorHAnsi"/>
          <w:sz w:val="22"/>
          <w:szCs w:val="22"/>
        </w:rPr>
        <w:t>University Press. Retrieved from</w:t>
      </w:r>
      <w:r w:rsidRPr="00DC0512">
        <w:rPr>
          <w:rFonts w:asciiTheme="minorHAnsi" w:hAnsiTheme="minorHAnsi" w:cstheme="minorHAnsi"/>
          <w:spacing w:val="-2"/>
          <w:sz w:val="22"/>
          <w:szCs w:val="22"/>
        </w:rPr>
        <w:t xml:space="preserve"> </w:t>
      </w:r>
    </w:p>
    <w:p w14:paraId="21E2D599" w14:textId="6AA84B18" w:rsidR="007E2B8C" w:rsidRPr="00DC0512" w:rsidRDefault="007E2B8C" w:rsidP="00DC0512">
      <w:pPr>
        <w:pStyle w:val="BodyText"/>
        <w:spacing w:line="280" w:lineRule="atLeast"/>
        <w:ind w:left="0"/>
        <w:contextualSpacing/>
        <w:jc w:val="both"/>
        <w:rPr>
          <w:rFonts w:asciiTheme="minorHAnsi" w:hAnsiTheme="minorHAnsi" w:cstheme="minorHAnsi"/>
          <w:sz w:val="22"/>
          <w:szCs w:val="22"/>
        </w:rPr>
      </w:pPr>
      <w:r w:rsidRPr="00DC0512">
        <w:rPr>
          <w:rFonts w:asciiTheme="minorHAnsi" w:hAnsiTheme="minorHAnsi" w:cstheme="minorHAnsi"/>
          <w:color w:val="0563C1"/>
          <w:sz w:val="22"/>
          <w:szCs w:val="22"/>
          <w:u w:val="single" w:color="0563C1"/>
        </w:rPr>
        <w:t>https://search-ebscohost-</w:t>
      </w:r>
      <w:r w:rsidRPr="00DC0512">
        <w:rPr>
          <w:rFonts w:asciiTheme="minorHAnsi" w:hAnsiTheme="minorHAnsi" w:cstheme="minorHAnsi"/>
          <w:color w:val="0563C1"/>
          <w:sz w:val="22"/>
          <w:szCs w:val="22"/>
        </w:rPr>
        <w:t xml:space="preserve"> </w:t>
      </w:r>
      <w:r w:rsidRPr="00DC0512">
        <w:rPr>
          <w:rFonts w:asciiTheme="minorHAnsi" w:hAnsiTheme="minorHAnsi" w:cstheme="minorHAnsi"/>
          <w:color w:val="0563C1"/>
          <w:sz w:val="22"/>
          <w:szCs w:val="22"/>
          <w:u w:val="single" w:color="0563C1"/>
        </w:rPr>
        <w:t>com.ezp.lib.unimelb.edu.au/login.aspx?direct=true&amp;db=cat00006a&amp;AN=melb.b3131529</w:t>
      </w:r>
    </w:p>
    <w:p w14:paraId="1629262D" w14:textId="77777777" w:rsidR="007E2B8C" w:rsidRPr="00DC0512" w:rsidRDefault="007E2B8C" w:rsidP="00DC0512">
      <w:pPr>
        <w:pStyle w:val="BodyText"/>
        <w:spacing w:line="280" w:lineRule="atLeast"/>
        <w:ind w:left="0"/>
        <w:contextualSpacing/>
        <w:jc w:val="both"/>
        <w:rPr>
          <w:rFonts w:asciiTheme="minorHAnsi" w:hAnsiTheme="minorHAnsi" w:cstheme="minorHAnsi"/>
          <w:sz w:val="22"/>
          <w:szCs w:val="22"/>
        </w:rPr>
      </w:pPr>
      <w:r w:rsidRPr="00DC0512">
        <w:rPr>
          <w:rFonts w:asciiTheme="minorHAnsi" w:hAnsiTheme="minorHAnsi" w:cstheme="minorHAnsi"/>
          <w:color w:val="0563C1"/>
          <w:sz w:val="22"/>
          <w:szCs w:val="22"/>
          <w:u w:val="single" w:color="0563C1"/>
        </w:rPr>
        <w:t>&amp;site=</w:t>
      </w:r>
      <w:proofErr w:type="spellStart"/>
      <w:r w:rsidRPr="00DC0512">
        <w:rPr>
          <w:rFonts w:asciiTheme="minorHAnsi" w:hAnsiTheme="minorHAnsi" w:cstheme="minorHAnsi"/>
          <w:color w:val="0563C1"/>
          <w:sz w:val="22"/>
          <w:szCs w:val="22"/>
          <w:u w:val="single" w:color="0563C1"/>
        </w:rPr>
        <w:t>eds-live&amp;scope</w:t>
      </w:r>
      <w:proofErr w:type="spellEnd"/>
      <w:r w:rsidRPr="00DC0512">
        <w:rPr>
          <w:rFonts w:asciiTheme="minorHAnsi" w:hAnsiTheme="minorHAnsi" w:cstheme="minorHAnsi"/>
          <w:color w:val="0563C1"/>
          <w:sz w:val="22"/>
          <w:szCs w:val="22"/>
          <w:u w:val="single" w:color="0563C1"/>
        </w:rPr>
        <w:t>=site</w:t>
      </w:r>
    </w:p>
    <w:p w14:paraId="43AA4CC9" w14:textId="77777777" w:rsidR="007E2B8C" w:rsidRPr="00DC0512" w:rsidRDefault="007E2B8C" w:rsidP="00DC0512">
      <w:pPr>
        <w:jc w:val="both"/>
        <w:rPr>
          <w:rFonts w:cstheme="minorHAnsi"/>
        </w:rPr>
      </w:pPr>
    </w:p>
    <w:p w14:paraId="6BF31126" w14:textId="77777777" w:rsidR="007E2B8C" w:rsidRPr="00DC0512" w:rsidRDefault="007E2B8C" w:rsidP="00DC0512">
      <w:pPr>
        <w:jc w:val="both"/>
        <w:rPr>
          <w:rFonts w:cstheme="minorHAnsi"/>
        </w:rPr>
      </w:pPr>
      <w:hyperlink r:id="rId26" w:history="1">
        <w:r w:rsidRPr="00DC0512">
          <w:rPr>
            <w:rStyle w:val="Hyperlink"/>
            <w:rFonts w:cstheme="minorHAnsi"/>
          </w:rPr>
          <w:t>Senate Rural and Regional Affairs and Transport References Committee</w:t>
        </w:r>
      </w:hyperlink>
      <w:r w:rsidRPr="00DC0512">
        <w:rPr>
          <w:rFonts w:cstheme="minorHAnsi"/>
        </w:rPr>
        <w:t xml:space="preserve"> (2017), </w:t>
      </w:r>
      <w:r w:rsidRPr="00DC0512">
        <w:rPr>
          <w:rFonts w:cstheme="minorHAnsi"/>
          <w:i/>
          <w:iCs/>
        </w:rPr>
        <w:t>Effect of market consolidation on the red meat processing sector</w:t>
      </w:r>
      <w:r w:rsidRPr="00DC0512">
        <w:rPr>
          <w:rFonts w:cstheme="minorHAnsi"/>
        </w:rPr>
        <w:t xml:space="preserve">, </w:t>
      </w:r>
      <w:hyperlink r:id="rId27" w:history="1">
        <w:r w:rsidRPr="00DC0512">
          <w:rPr>
            <w:rStyle w:val="Hyperlink"/>
            <w:rFonts w:cstheme="minorHAnsi"/>
          </w:rPr>
          <w:t>Parliament of Australia</w:t>
        </w:r>
      </w:hyperlink>
      <w:r w:rsidRPr="00DC0512">
        <w:rPr>
          <w:rFonts w:cstheme="minorHAnsi"/>
        </w:rPr>
        <w:t>, Canberra, September.</w:t>
      </w:r>
    </w:p>
    <w:p w14:paraId="66E5C0F5" w14:textId="77777777" w:rsidR="007E2B8C" w:rsidRPr="00DC0512" w:rsidRDefault="007E2B8C" w:rsidP="00DC0512">
      <w:pPr>
        <w:contextualSpacing/>
        <w:jc w:val="both"/>
        <w:rPr>
          <w:rFonts w:cstheme="minorHAnsi"/>
        </w:rPr>
      </w:pPr>
    </w:p>
    <w:p w14:paraId="062D0109" w14:textId="77777777" w:rsidR="007E2B8C" w:rsidRPr="00DC0512" w:rsidRDefault="007E2B8C" w:rsidP="00DC0512">
      <w:pPr>
        <w:contextualSpacing/>
        <w:jc w:val="both"/>
        <w:rPr>
          <w:rFonts w:eastAsia="Calibri" w:cstheme="minorHAnsi"/>
        </w:rPr>
      </w:pPr>
      <w:r w:rsidRPr="00DC0512">
        <w:rPr>
          <w:rFonts w:cstheme="minorHAnsi"/>
        </w:rPr>
        <w:t>Sexton, R.J. (2013</w:t>
      </w:r>
      <w:proofErr w:type="gramStart"/>
      <w:r w:rsidRPr="00DC0512">
        <w:rPr>
          <w:rFonts w:cstheme="minorHAnsi"/>
        </w:rPr>
        <w:t>), ‘</w:t>
      </w:r>
      <w:proofErr w:type="gramEnd"/>
      <w:r w:rsidRPr="00DC0512">
        <w:rPr>
          <w:rFonts w:cstheme="minorHAnsi"/>
        </w:rPr>
        <w:t xml:space="preserve">Presidential address: Market power, misconceptions, and modern agricultural </w:t>
      </w:r>
      <w:proofErr w:type="gramStart"/>
      <w:r w:rsidRPr="00DC0512">
        <w:rPr>
          <w:rFonts w:cstheme="minorHAnsi"/>
        </w:rPr>
        <w:t>markets’</w:t>
      </w:r>
      <w:proofErr w:type="gramEnd"/>
      <w:r w:rsidRPr="00DC0512">
        <w:rPr>
          <w:rFonts w:cstheme="minorHAnsi"/>
        </w:rPr>
        <w:t xml:space="preserve">. </w:t>
      </w:r>
      <w:r w:rsidRPr="00DC0512">
        <w:rPr>
          <w:rFonts w:cstheme="minorHAnsi"/>
          <w:i/>
        </w:rPr>
        <w:t>American Journal of Agricultural Economics, 95</w:t>
      </w:r>
      <w:r w:rsidRPr="00DC0512">
        <w:rPr>
          <w:rFonts w:cstheme="minorHAnsi"/>
        </w:rPr>
        <w:t>(2), 209.</w:t>
      </w:r>
      <w:r w:rsidRPr="00DC0512">
        <w:rPr>
          <w:rFonts w:cstheme="minorHAnsi"/>
          <w:spacing w:val="-1"/>
        </w:rPr>
        <w:t xml:space="preserve"> </w:t>
      </w:r>
      <w:r w:rsidRPr="00DC0512">
        <w:rPr>
          <w:rFonts w:cstheme="minorHAnsi"/>
          <w:color w:val="0563C1"/>
          <w:u w:val="single" w:color="0563C1"/>
        </w:rPr>
        <w:t>https://doi-</w:t>
      </w:r>
      <w:r w:rsidRPr="00DC0512">
        <w:rPr>
          <w:rFonts w:cstheme="minorHAnsi"/>
          <w:color w:val="0563C1"/>
        </w:rPr>
        <w:t xml:space="preserve"> </w:t>
      </w:r>
      <w:r w:rsidRPr="00DC0512">
        <w:rPr>
          <w:rFonts w:cstheme="minorHAnsi"/>
          <w:color w:val="0563C1"/>
          <w:u w:val="single" w:color="0563C1"/>
        </w:rPr>
        <w:t>org.ezp.lib.unimelb.edu.au/10.1093/</w:t>
      </w:r>
      <w:proofErr w:type="spellStart"/>
      <w:r w:rsidRPr="00DC0512">
        <w:rPr>
          <w:rFonts w:cstheme="minorHAnsi"/>
          <w:color w:val="0563C1"/>
          <w:u w:val="single" w:color="0563C1"/>
        </w:rPr>
        <w:t>ajae</w:t>
      </w:r>
      <w:proofErr w:type="spellEnd"/>
      <w:r w:rsidRPr="00DC0512">
        <w:rPr>
          <w:rFonts w:cstheme="minorHAnsi"/>
          <w:color w:val="0563C1"/>
          <w:u w:val="single" w:color="0563C1"/>
        </w:rPr>
        <w:t>/aas102</w:t>
      </w:r>
    </w:p>
    <w:p w14:paraId="2E7922B1" w14:textId="77777777" w:rsidR="004F1B2C" w:rsidRDefault="004F1B2C" w:rsidP="00DC0512">
      <w:pPr>
        <w:pStyle w:val="BodyText"/>
        <w:spacing w:line="280" w:lineRule="atLeast"/>
        <w:ind w:left="0"/>
        <w:contextualSpacing/>
        <w:jc w:val="both"/>
        <w:rPr>
          <w:rFonts w:asciiTheme="minorHAnsi" w:hAnsiTheme="minorHAnsi" w:cstheme="minorHAnsi"/>
          <w:sz w:val="22"/>
          <w:szCs w:val="22"/>
        </w:rPr>
      </w:pPr>
    </w:p>
    <w:p w14:paraId="54A072C5" w14:textId="1FB644C6" w:rsidR="007E2B8C" w:rsidRPr="00DC0512" w:rsidRDefault="007E2B8C" w:rsidP="00DC0512">
      <w:pPr>
        <w:pStyle w:val="BodyText"/>
        <w:spacing w:line="280" w:lineRule="atLeast"/>
        <w:ind w:left="0"/>
        <w:contextualSpacing/>
        <w:jc w:val="both"/>
        <w:rPr>
          <w:rFonts w:asciiTheme="minorHAnsi" w:hAnsiTheme="minorHAnsi" w:cstheme="minorHAnsi"/>
          <w:sz w:val="22"/>
          <w:szCs w:val="22"/>
        </w:rPr>
      </w:pPr>
      <w:r w:rsidRPr="00DC0512">
        <w:rPr>
          <w:rFonts w:asciiTheme="minorHAnsi" w:hAnsiTheme="minorHAnsi" w:cstheme="minorHAnsi"/>
          <w:sz w:val="22"/>
          <w:szCs w:val="22"/>
        </w:rPr>
        <w:t>Umar Muazu, A., Abidin Mohamed, Z., Shamsuddin, M.N. and Abdulatif, I. (2016),</w:t>
      </w:r>
      <w:r w:rsidRPr="00DC0512">
        <w:rPr>
          <w:rFonts w:asciiTheme="minorHAnsi" w:hAnsiTheme="minorHAnsi" w:cstheme="minorHAnsi"/>
          <w:spacing w:val="1"/>
          <w:sz w:val="22"/>
          <w:szCs w:val="22"/>
        </w:rPr>
        <w:t xml:space="preserve"> ‘</w:t>
      </w:r>
      <w:r w:rsidRPr="00DC0512">
        <w:rPr>
          <w:rFonts w:asciiTheme="minorHAnsi" w:hAnsiTheme="minorHAnsi" w:cstheme="minorHAnsi"/>
          <w:sz w:val="22"/>
          <w:szCs w:val="22"/>
        </w:rPr>
        <w:t>Measuring</w:t>
      </w:r>
      <w:r w:rsidRPr="00DC0512">
        <w:rPr>
          <w:rFonts w:asciiTheme="minorHAnsi" w:hAnsiTheme="minorHAnsi" w:cstheme="minorHAnsi"/>
          <w:w w:val="99"/>
          <w:sz w:val="22"/>
          <w:szCs w:val="22"/>
        </w:rPr>
        <w:t xml:space="preserve"> m</w:t>
      </w:r>
      <w:r w:rsidRPr="00DC0512">
        <w:rPr>
          <w:rFonts w:asciiTheme="minorHAnsi" w:hAnsiTheme="minorHAnsi" w:cstheme="minorHAnsi"/>
          <w:sz w:val="22"/>
          <w:szCs w:val="22"/>
        </w:rPr>
        <w:t>arket power in the integrated Malaysian poultry industry: New Empirical</w:t>
      </w:r>
      <w:r w:rsidRPr="00DC0512">
        <w:rPr>
          <w:rFonts w:asciiTheme="minorHAnsi" w:hAnsiTheme="minorHAnsi" w:cstheme="minorHAnsi"/>
          <w:spacing w:val="-1"/>
          <w:sz w:val="22"/>
          <w:szCs w:val="22"/>
        </w:rPr>
        <w:t xml:space="preserve"> </w:t>
      </w:r>
      <w:r w:rsidRPr="00DC0512">
        <w:rPr>
          <w:rFonts w:asciiTheme="minorHAnsi" w:hAnsiTheme="minorHAnsi" w:cstheme="minorHAnsi"/>
          <w:sz w:val="22"/>
          <w:szCs w:val="22"/>
        </w:rPr>
        <w:t>Industrial Organization approach’</w:t>
      </w:r>
      <w:r w:rsidRPr="00DC0512">
        <w:rPr>
          <w:rFonts w:asciiTheme="minorHAnsi" w:hAnsiTheme="minorHAnsi" w:cstheme="minorHAnsi"/>
          <w:i/>
          <w:sz w:val="22"/>
          <w:szCs w:val="22"/>
        </w:rPr>
        <w:t>. Journal of Food Products Marketing, 22</w:t>
      </w:r>
      <w:r w:rsidRPr="00DC0512">
        <w:rPr>
          <w:rFonts w:asciiTheme="minorHAnsi" w:hAnsiTheme="minorHAnsi" w:cstheme="minorHAnsi"/>
          <w:sz w:val="22"/>
          <w:szCs w:val="22"/>
        </w:rPr>
        <w:t>(4),</w:t>
      </w:r>
      <w:r w:rsidRPr="00DC0512">
        <w:rPr>
          <w:rFonts w:asciiTheme="minorHAnsi" w:hAnsiTheme="minorHAnsi" w:cstheme="minorHAnsi"/>
          <w:spacing w:val="-1"/>
          <w:sz w:val="22"/>
          <w:szCs w:val="22"/>
        </w:rPr>
        <w:t xml:space="preserve"> </w:t>
      </w:r>
      <w:r w:rsidRPr="00DC0512">
        <w:rPr>
          <w:rFonts w:asciiTheme="minorHAnsi" w:hAnsiTheme="minorHAnsi" w:cstheme="minorHAnsi"/>
          <w:sz w:val="22"/>
          <w:szCs w:val="22"/>
        </w:rPr>
        <w:t>455-470.</w:t>
      </w:r>
      <w:r w:rsidRPr="00DC0512">
        <w:rPr>
          <w:rFonts w:asciiTheme="minorHAnsi" w:hAnsiTheme="minorHAnsi" w:cstheme="minorHAnsi"/>
          <w:w w:val="99"/>
          <w:sz w:val="22"/>
          <w:szCs w:val="22"/>
        </w:rPr>
        <w:t xml:space="preserve"> </w:t>
      </w:r>
      <w:r w:rsidRPr="00DC0512">
        <w:rPr>
          <w:rFonts w:asciiTheme="minorHAnsi" w:hAnsiTheme="minorHAnsi" w:cstheme="minorHAnsi"/>
          <w:sz w:val="22"/>
          <w:szCs w:val="22"/>
        </w:rPr>
        <w:t>doi:10.1080/10454446.2014.885860</w:t>
      </w:r>
    </w:p>
    <w:p w14:paraId="2A5FC31D" w14:textId="77777777" w:rsidR="007E2B8C" w:rsidRPr="00DC0512" w:rsidRDefault="007E2B8C" w:rsidP="00DC0512">
      <w:pPr>
        <w:contextualSpacing/>
        <w:jc w:val="both"/>
        <w:rPr>
          <w:rFonts w:cstheme="minorHAnsi"/>
        </w:rPr>
      </w:pPr>
    </w:p>
    <w:p w14:paraId="4618BE6A" w14:textId="77777777" w:rsidR="007E2B8C" w:rsidRPr="009F21AB" w:rsidRDefault="007E2B8C" w:rsidP="00DC0512">
      <w:pPr>
        <w:jc w:val="both"/>
        <w:rPr>
          <w:rFonts w:eastAsia="Calibri" w:cs="Arial"/>
          <w:sz w:val="21"/>
          <w:szCs w:val="21"/>
        </w:rPr>
      </w:pPr>
      <w:r w:rsidRPr="00DC0512">
        <w:rPr>
          <w:rFonts w:cstheme="minorHAnsi"/>
        </w:rPr>
        <w:t xml:space="preserve">Zhao, X., Griffith, G.R. and Mullen, J.D. (1998), </w:t>
      </w:r>
      <w:r w:rsidRPr="00DC0512">
        <w:rPr>
          <w:rFonts w:cstheme="minorHAnsi"/>
          <w:i/>
        </w:rPr>
        <w:t>The Competitive Structure of the Australian Beef Industry: Accounting for Trade.</w:t>
      </w:r>
      <w:r w:rsidRPr="00DC0512">
        <w:rPr>
          <w:rFonts w:cstheme="minorHAnsi"/>
        </w:rPr>
        <w:t xml:space="preserve"> Working Papers in Econometrics and Applied</w:t>
      </w:r>
      <w:r w:rsidRPr="00DC0512">
        <w:rPr>
          <w:rFonts w:cstheme="minorHAnsi"/>
          <w:spacing w:val="-1"/>
        </w:rPr>
        <w:t xml:space="preserve"> </w:t>
      </w:r>
      <w:r w:rsidRPr="00DC0512">
        <w:rPr>
          <w:rFonts w:cstheme="minorHAnsi"/>
        </w:rPr>
        <w:t>Statistics. No. 101, Department of Econometrics, University of New England,</w:t>
      </w:r>
      <w:r w:rsidRPr="00DC0512">
        <w:rPr>
          <w:rFonts w:cstheme="minorHAnsi"/>
          <w:spacing w:val="-4"/>
        </w:rPr>
        <w:t xml:space="preserve"> </w:t>
      </w:r>
      <w:r w:rsidRPr="00DC0512">
        <w:rPr>
          <w:rFonts w:cstheme="minorHAnsi"/>
        </w:rPr>
        <w:t>Armidale</w:t>
      </w:r>
      <w:r w:rsidRPr="00DC0512">
        <w:rPr>
          <w:rFonts w:cstheme="minorHAnsi"/>
          <w:i/>
        </w:rPr>
        <w:t>.</w:t>
      </w:r>
    </w:p>
    <w:p w14:paraId="3E4DBA2E" w14:textId="77777777" w:rsidR="007E2B8C" w:rsidRDefault="007E2B8C" w:rsidP="007E2B8C">
      <w:pPr>
        <w:jc w:val="both"/>
        <w:rPr>
          <w:rFonts w:cs="Arial"/>
          <w:sz w:val="21"/>
          <w:szCs w:val="21"/>
        </w:rPr>
      </w:pPr>
    </w:p>
    <w:p w14:paraId="22CF8A72" w14:textId="77777777" w:rsidR="00DC0512" w:rsidRDefault="00DC0512">
      <w:pPr>
        <w:rPr>
          <w:b/>
          <w:sz w:val="24"/>
          <w:szCs w:val="24"/>
        </w:rPr>
      </w:pPr>
      <w:r>
        <w:rPr>
          <w:b/>
          <w:sz w:val="24"/>
          <w:szCs w:val="24"/>
        </w:rPr>
        <w:br w:type="page"/>
      </w:r>
    </w:p>
    <w:p w14:paraId="3BBB4F3E" w14:textId="6B010FFF" w:rsidR="004016CA" w:rsidRPr="00E20F56" w:rsidRDefault="004016CA" w:rsidP="00E20F56">
      <w:pPr>
        <w:jc w:val="center"/>
        <w:rPr>
          <w:rFonts w:eastAsia="Calibri" w:cs="Calibri"/>
        </w:rPr>
      </w:pPr>
      <w:r w:rsidRPr="00E20F56">
        <w:rPr>
          <w:b/>
        </w:rPr>
        <w:lastRenderedPageBreak/>
        <w:t>Appendix Table 1. Variable definitions</w:t>
      </w:r>
    </w:p>
    <w:p w14:paraId="1BDBCF46" w14:textId="77777777" w:rsidR="004016CA" w:rsidRPr="00661BD2" w:rsidRDefault="004016CA" w:rsidP="004016CA">
      <w:pPr>
        <w:jc w:val="both"/>
        <w:rPr>
          <w:rFonts w:eastAsia="Calibri" w:cs="Calibri"/>
        </w:rPr>
      </w:pPr>
    </w:p>
    <w:tbl>
      <w:tblPr>
        <w:tblW w:w="9010" w:type="dxa"/>
        <w:tblInd w:w="100" w:type="dxa"/>
        <w:tblBorders>
          <w:top w:val="single" w:sz="4" w:space="0" w:color="000000"/>
          <w:bottom w:val="single" w:sz="4" w:space="0" w:color="000000"/>
          <w:insideH w:val="single" w:sz="4" w:space="0" w:color="000000"/>
        </w:tblBorders>
        <w:tblLayout w:type="fixed"/>
        <w:tblCellMar>
          <w:left w:w="0" w:type="dxa"/>
          <w:right w:w="0" w:type="dxa"/>
        </w:tblCellMar>
        <w:tblLook w:val="01E0" w:firstRow="1" w:lastRow="1" w:firstColumn="1" w:lastColumn="1" w:noHBand="0" w:noVBand="0"/>
      </w:tblPr>
      <w:tblGrid>
        <w:gridCol w:w="2405"/>
        <w:gridCol w:w="6605"/>
      </w:tblGrid>
      <w:tr w:rsidR="004016CA" w:rsidRPr="00661BD2" w14:paraId="1B2E4285" w14:textId="77777777" w:rsidTr="00CC2ED3">
        <w:trPr>
          <w:trHeight w:hRule="exact" w:val="586"/>
        </w:trPr>
        <w:tc>
          <w:tcPr>
            <w:tcW w:w="2405" w:type="dxa"/>
            <w:shd w:val="clear" w:color="auto" w:fill="E7E6E6"/>
          </w:tcPr>
          <w:p w14:paraId="5AAB6A6C" w14:textId="77777777" w:rsidR="004016CA" w:rsidRPr="00661BD2" w:rsidRDefault="004016CA" w:rsidP="00DC4418">
            <w:pPr>
              <w:pStyle w:val="TableParagraph"/>
              <w:jc w:val="both"/>
              <w:rPr>
                <w:rFonts w:eastAsia="Calibri" w:cs="Calibri"/>
              </w:rPr>
            </w:pPr>
            <w:r w:rsidRPr="00661BD2">
              <w:rPr>
                <w:b/>
              </w:rPr>
              <w:t>Abbreviation</w:t>
            </w:r>
          </w:p>
        </w:tc>
        <w:tc>
          <w:tcPr>
            <w:tcW w:w="6605" w:type="dxa"/>
            <w:shd w:val="clear" w:color="auto" w:fill="E7E6E6"/>
          </w:tcPr>
          <w:p w14:paraId="7D1EA1B3" w14:textId="77777777" w:rsidR="004016CA" w:rsidRPr="00661BD2" w:rsidRDefault="004016CA" w:rsidP="00DC4418">
            <w:pPr>
              <w:pStyle w:val="TableParagraph"/>
              <w:jc w:val="both"/>
              <w:rPr>
                <w:rFonts w:eastAsia="Calibri" w:cs="Calibri"/>
              </w:rPr>
            </w:pPr>
            <w:r w:rsidRPr="00661BD2">
              <w:rPr>
                <w:b/>
              </w:rPr>
              <w:t>Definition</w:t>
            </w:r>
          </w:p>
        </w:tc>
      </w:tr>
      <w:tr w:rsidR="004016CA" w:rsidRPr="00661BD2" w14:paraId="15D68FA6" w14:textId="77777777" w:rsidTr="00CC2ED3">
        <w:trPr>
          <w:trHeight w:hRule="exact" w:val="278"/>
        </w:trPr>
        <w:tc>
          <w:tcPr>
            <w:tcW w:w="2405" w:type="dxa"/>
          </w:tcPr>
          <w:p w14:paraId="58BAB0C5" w14:textId="77777777" w:rsidR="004016CA" w:rsidRPr="00661BD2" w:rsidRDefault="004016CA" w:rsidP="00DC4418">
            <w:pPr>
              <w:pStyle w:val="TableParagraph"/>
              <w:jc w:val="both"/>
              <w:rPr>
                <w:rFonts w:eastAsia="Calibri" w:cs="Calibri"/>
              </w:rPr>
            </w:pPr>
            <w:r w:rsidRPr="00661BD2">
              <w:t>BF</w:t>
            </w:r>
          </w:p>
        </w:tc>
        <w:tc>
          <w:tcPr>
            <w:tcW w:w="6605" w:type="dxa"/>
          </w:tcPr>
          <w:p w14:paraId="0D1C6836" w14:textId="77777777" w:rsidR="004016CA" w:rsidRPr="00661BD2" w:rsidRDefault="004016CA" w:rsidP="00DC4418">
            <w:pPr>
              <w:pStyle w:val="TableParagraph"/>
              <w:jc w:val="both"/>
              <w:rPr>
                <w:rFonts w:eastAsia="Calibri" w:cs="Calibri"/>
              </w:rPr>
            </w:pPr>
            <w:r w:rsidRPr="00661BD2">
              <w:t>Beef</w:t>
            </w:r>
          </w:p>
        </w:tc>
      </w:tr>
      <w:tr w:rsidR="004016CA" w:rsidRPr="00661BD2" w14:paraId="2B5A71BE" w14:textId="77777777" w:rsidTr="00CC2ED3">
        <w:trPr>
          <w:trHeight w:hRule="exact" w:val="278"/>
        </w:trPr>
        <w:tc>
          <w:tcPr>
            <w:tcW w:w="2405" w:type="dxa"/>
          </w:tcPr>
          <w:p w14:paraId="63519756" w14:textId="77777777" w:rsidR="004016CA" w:rsidRPr="00661BD2" w:rsidRDefault="004016CA" w:rsidP="00DC4418">
            <w:pPr>
              <w:pStyle w:val="TableParagraph"/>
              <w:jc w:val="both"/>
              <w:rPr>
                <w:rFonts w:eastAsia="Calibri" w:cs="Calibri"/>
              </w:rPr>
            </w:pPr>
            <w:r w:rsidRPr="00661BD2">
              <w:t>LB</w:t>
            </w:r>
          </w:p>
        </w:tc>
        <w:tc>
          <w:tcPr>
            <w:tcW w:w="6605" w:type="dxa"/>
          </w:tcPr>
          <w:p w14:paraId="4C27BBBF" w14:textId="77777777" w:rsidR="004016CA" w:rsidRPr="00661BD2" w:rsidRDefault="004016CA" w:rsidP="00DC4418">
            <w:pPr>
              <w:pStyle w:val="TableParagraph"/>
              <w:jc w:val="both"/>
              <w:rPr>
                <w:rFonts w:eastAsia="Calibri" w:cs="Calibri"/>
              </w:rPr>
            </w:pPr>
            <w:r w:rsidRPr="00661BD2">
              <w:t>Lamb</w:t>
            </w:r>
          </w:p>
        </w:tc>
      </w:tr>
      <w:tr w:rsidR="004016CA" w:rsidRPr="00661BD2" w14:paraId="13085E7D" w14:textId="77777777" w:rsidTr="00CC2ED3">
        <w:trPr>
          <w:trHeight w:hRule="exact" w:val="278"/>
        </w:trPr>
        <w:tc>
          <w:tcPr>
            <w:tcW w:w="2405" w:type="dxa"/>
          </w:tcPr>
          <w:p w14:paraId="47CA5A51" w14:textId="77777777" w:rsidR="004016CA" w:rsidRPr="00661BD2" w:rsidRDefault="004016CA" w:rsidP="00DC4418">
            <w:pPr>
              <w:pStyle w:val="TableParagraph"/>
              <w:jc w:val="both"/>
              <w:rPr>
                <w:rFonts w:eastAsia="Calibri" w:cs="Calibri"/>
              </w:rPr>
            </w:pPr>
            <w:r w:rsidRPr="00661BD2">
              <w:t>PK</w:t>
            </w:r>
          </w:p>
        </w:tc>
        <w:tc>
          <w:tcPr>
            <w:tcW w:w="6605" w:type="dxa"/>
          </w:tcPr>
          <w:p w14:paraId="38F7BC87" w14:textId="77777777" w:rsidR="004016CA" w:rsidRPr="00661BD2" w:rsidRDefault="004016CA" w:rsidP="00DC4418">
            <w:pPr>
              <w:pStyle w:val="TableParagraph"/>
              <w:jc w:val="both"/>
              <w:rPr>
                <w:rFonts w:eastAsia="Calibri" w:cs="Calibri"/>
              </w:rPr>
            </w:pPr>
            <w:r w:rsidRPr="00661BD2">
              <w:t>Pork</w:t>
            </w:r>
          </w:p>
        </w:tc>
      </w:tr>
      <w:tr w:rsidR="001830FC" w:rsidRPr="00661BD2" w14:paraId="5312503F" w14:textId="77777777" w:rsidTr="00CC2ED3">
        <w:trPr>
          <w:trHeight w:hRule="exact" w:val="278"/>
        </w:trPr>
        <w:tc>
          <w:tcPr>
            <w:tcW w:w="2405" w:type="dxa"/>
          </w:tcPr>
          <w:p w14:paraId="2C388E73" w14:textId="5BFFDCED" w:rsidR="001830FC" w:rsidRPr="00661BD2" w:rsidRDefault="001830FC" w:rsidP="00DC4418">
            <w:pPr>
              <w:pStyle w:val="TableParagraph"/>
              <w:jc w:val="both"/>
            </w:pPr>
            <w:r>
              <w:t>CK</w:t>
            </w:r>
          </w:p>
        </w:tc>
        <w:tc>
          <w:tcPr>
            <w:tcW w:w="6605" w:type="dxa"/>
          </w:tcPr>
          <w:p w14:paraId="10BD8E8C" w14:textId="243E9F20" w:rsidR="001830FC" w:rsidRPr="00661BD2" w:rsidRDefault="001830FC" w:rsidP="00DC4418">
            <w:pPr>
              <w:pStyle w:val="TableParagraph"/>
              <w:jc w:val="both"/>
            </w:pPr>
            <w:r>
              <w:t>Chicken</w:t>
            </w:r>
          </w:p>
        </w:tc>
      </w:tr>
      <w:tr w:rsidR="004016CA" w:rsidRPr="00661BD2" w14:paraId="49C3A987" w14:textId="77777777" w:rsidTr="00CC2ED3">
        <w:trPr>
          <w:trHeight w:hRule="exact" w:val="278"/>
        </w:trPr>
        <w:tc>
          <w:tcPr>
            <w:tcW w:w="2405" w:type="dxa"/>
          </w:tcPr>
          <w:p w14:paraId="431D93E9" w14:textId="77777777" w:rsidR="004016CA" w:rsidRPr="00661BD2" w:rsidRDefault="004016CA" w:rsidP="00DC4418">
            <w:pPr>
              <w:pStyle w:val="TableParagraph"/>
              <w:jc w:val="both"/>
              <w:rPr>
                <w:rFonts w:eastAsia="Calibri" w:cs="Calibri"/>
              </w:rPr>
            </w:pPr>
            <w:r w:rsidRPr="00661BD2">
              <w:t>PRBF</w:t>
            </w:r>
          </w:p>
        </w:tc>
        <w:tc>
          <w:tcPr>
            <w:tcW w:w="6605" w:type="dxa"/>
          </w:tcPr>
          <w:p w14:paraId="60C03BD1" w14:textId="77777777" w:rsidR="004016CA" w:rsidRPr="00661BD2" w:rsidRDefault="004016CA" w:rsidP="00DC4418">
            <w:pPr>
              <w:pStyle w:val="TableParagraph"/>
              <w:jc w:val="both"/>
              <w:rPr>
                <w:rFonts w:eastAsia="Calibri" w:cs="Calibri"/>
              </w:rPr>
            </w:pPr>
            <w:r w:rsidRPr="00661BD2">
              <w:t>Retail Prices for Australian</w:t>
            </w:r>
            <w:r w:rsidRPr="00661BD2">
              <w:rPr>
                <w:spacing w:val="-19"/>
              </w:rPr>
              <w:t xml:space="preserve"> </w:t>
            </w:r>
            <w:r w:rsidRPr="00661BD2">
              <w:t>Beef</w:t>
            </w:r>
          </w:p>
        </w:tc>
      </w:tr>
      <w:tr w:rsidR="004016CA" w:rsidRPr="00661BD2" w14:paraId="612E1985" w14:textId="77777777" w:rsidTr="00CC2ED3">
        <w:trPr>
          <w:trHeight w:hRule="exact" w:val="278"/>
        </w:trPr>
        <w:tc>
          <w:tcPr>
            <w:tcW w:w="2405" w:type="dxa"/>
          </w:tcPr>
          <w:p w14:paraId="724B6965" w14:textId="77777777" w:rsidR="004016CA" w:rsidRPr="00661BD2" w:rsidRDefault="004016CA" w:rsidP="00DC4418">
            <w:pPr>
              <w:pStyle w:val="TableParagraph"/>
              <w:jc w:val="both"/>
              <w:rPr>
                <w:rFonts w:eastAsia="Calibri" w:cs="Calibri"/>
              </w:rPr>
            </w:pPr>
            <w:r w:rsidRPr="00661BD2">
              <w:t>PFBF</w:t>
            </w:r>
          </w:p>
        </w:tc>
        <w:tc>
          <w:tcPr>
            <w:tcW w:w="6605" w:type="dxa"/>
          </w:tcPr>
          <w:p w14:paraId="52174139" w14:textId="77777777" w:rsidR="004016CA" w:rsidRPr="00661BD2" w:rsidRDefault="004016CA" w:rsidP="00DC4418">
            <w:pPr>
              <w:pStyle w:val="TableParagraph"/>
              <w:jc w:val="both"/>
              <w:rPr>
                <w:rFonts w:eastAsia="Calibri" w:cs="Calibri"/>
              </w:rPr>
            </w:pPr>
            <w:r w:rsidRPr="00661BD2">
              <w:t>Saleyard Prices for Australian</w:t>
            </w:r>
            <w:r w:rsidRPr="00661BD2">
              <w:rPr>
                <w:spacing w:val="-19"/>
              </w:rPr>
              <w:t xml:space="preserve"> </w:t>
            </w:r>
            <w:r w:rsidRPr="00661BD2">
              <w:t>Beef</w:t>
            </w:r>
          </w:p>
        </w:tc>
      </w:tr>
      <w:tr w:rsidR="004016CA" w:rsidRPr="00661BD2" w14:paraId="2310E439" w14:textId="77777777" w:rsidTr="00CC2ED3">
        <w:trPr>
          <w:trHeight w:hRule="exact" w:val="278"/>
        </w:trPr>
        <w:tc>
          <w:tcPr>
            <w:tcW w:w="2405" w:type="dxa"/>
          </w:tcPr>
          <w:p w14:paraId="40960026" w14:textId="77777777" w:rsidR="004016CA" w:rsidRPr="00661BD2" w:rsidRDefault="004016CA" w:rsidP="00DC4418">
            <w:pPr>
              <w:pStyle w:val="TableParagraph"/>
              <w:jc w:val="both"/>
              <w:rPr>
                <w:rFonts w:eastAsia="Calibri" w:cs="Calibri"/>
              </w:rPr>
            </w:pPr>
            <w:r w:rsidRPr="00661BD2">
              <w:t>PRLB</w:t>
            </w:r>
          </w:p>
        </w:tc>
        <w:tc>
          <w:tcPr>
            <w:tcW w:w="6605" w:type="dxa"/>
          </w:tcPr>
          <w:p w14:paraId="55907CCF" w14:textId="77777777" w:rsidR="004016CA" w:rsidRPr="00661BD2" w:rsidRDefault="004016CA" w:rsidP="00DC4418">
            <w:pPr>
              <w:pStyle w:val="TableParagraph"/>
              <w:jc w:val="both"/>
              <w:rPr>
                <w:rFonts w:eastAsia="Calibri" w:cs="Calibri"/>
              </w:rPr>
            </w:pPr>
            <w:r w:rsidRPr="00661BD2">
              <w:t>Retail Prices for Australian</w:t>
            </w:r>
            <w:r w:rsidRPr="00661BD2">
              <w:rPr>
                <w:spacing w:val="-18"/>
              </w:rPr>
              <w:t xml:space="preserve"> </w:t>
            </w:r>
            <w:r w:rsidRPr="00661BD2">
              <w:t>Lamb</w:t>
            </w:r>
          </w:p>
        </w:tc>
      </w:tr>
      <w:tr w:rsidR="004016CA" w:rsidRPr="00661BD2" w14:paraId="423F2058" w14:textId="77777777" w:rsidTr="00CC2ED3">
        <w:trPr>
          <w:trHeight w:hRule="exact" w:val="278"/>
        </w:trPr>
        <w:tc>
          <w:tcPr>
            <w:tcW w:w="2405" w:type="dxa"/>
          </w:tcPr>
          <w:p w14:paraId="5A101C12" w14:textId="77777777" w:rsidR="004016CA" w:rsidRPr="00661BD2" w:rsidRDefault="004016CA" w:rsidP="00DC4418">
            <w:pPr>
              <w:pStyle w:val="TableParagraph"/>
              <w:jc w:val="both"/>
              <w:rPr>
                <w:rFonts w:eastAsia="Calibri" w:cs="Calibri"/>
              </w:rPr>
            </w:pPr>
            <w:r w:rsidRPr="00661BD2">
              <w:t>PFLB</w:t>
            </w:r>
          </w:p>
        </w:tc>
        <w:tc>
          <w:tcPr>
            <w:tcW w:w="6605" w:type="dxa"/>
          </w:tcPr>
          <w:p w14:paraId="3711D5AD" w14:textId="77777777" w:rsidR="004016CA" w:rsidRPr="00661BD2" w:rsidRDefault="004016CA" w:rsidP="00DC4418">
            <w:pPr>
              <w:pStyle w:val="TableParagraph"/>
              <w:jc w:val="both"/>
              <w:rPr>
                <w:rFonts w:eastAsia="Calibri" w:cs="Calibri"/>
              </w:rPr>
            </w:pPr>
            <w:r w:rsidRPr="00661BD2">
              <w:t>Saleyard Prices for Australian</w:t>
            </w:r>
            <w:r w:rsidRPr="00661BD2">
              <w:rPr>
                <w:spacing w:val="-18"/>
              </w:rPr>
              <w:t xml:space="preserve"> </w:t>
            </w:r>
            <w:r w:rsidRPr="00661BD2">
              <w:t>Lamb</w:t>
            </w:r>
          </w:p>
        </w:tc>
      </w:tr>
      <w:tr w:rsidR="004016CA" w:rsidRPr="00661BD2" w14:paraId="2B43CE2B" w14:textId="77777777" w:rsidTr="00CC2ED3">
        <w:trPr>
          <w:trHeight w:hRule="exact" w:val="278"/>
        </w:trPr>
        <w:tc>
          <w:tcPr>
            <w:tcW w:w="2405" w:type="dxa"/>
          </w:tcPr>
          <w:p w14:paraId="0AC8A949" w14:textId="77777777" w:rsidR="004016CA" w:rsidRPr="00661BD2" w:rsidRDefault="004016CA" w:rsidP="00DC4418">
            <w:pPr>
              <w:pStyle w:val="TableParagraph"/>
              <w:jc w:val="both"/>
              <w:rPr>
                <w:rFonts w:eastAsia="Calibri" w:cs="Calibri"/>
              </w:rPr>
            </w:pPr>
            <w:r w:rsidRPr="00661BD2">
              <w:t>PRPK</w:t>
            </w:r>
          </w:p>
        </w:tc>
        <w:tc>
          <w:tcPr>
            <w:tcW w:w="6605" w:type="dxa"/>
          </w:tcPr>
          <w:p w14:paraId="4F131CC7" w14:textId="77777777" w:rsidR="004016CA" w:rsidRPr="00661BD2" w:rsidRDefault="004016CA" w:rsidP="00DC4418">
            <w:pPr>
              <w:pStyle w:val="TableParagraph"/>
              <w:jc w:val="both"/>
              <w:rPr>
                <w:rFonts w:eastAsia="Calibri" w:cs="Calibri"/>
              </w:rPr>
            </w:pPr>
            <w:r w:rsidRPr="00661BD2">
              <w:t>Retail Prices for Australian</w:t>
            </w:r>
            <w:r w:rsidRPr="00661BD2">
              <w:rPr>
                <w:spacing w:val="-19"/>
              </w:rPr>
              <w:t xml:space="preserve"> </w:t>
            </w:r>
            <w:r w:rsidRPr="00661BD2">
              <w:t>Pork</w:t>
            </w:r>
          </w:p>
        </w:tc>
      </w:tr>
      <w:tr w:rsidR="004016CA" w:rsidRPr="00661BD2" w14:paraId="34BB594C" w14:textId="77777777" w:rsidTr="00CC2ED3">
        <w:trPr>
          <w:trHeight w:hRule="exact" w:val="278"/>
        </w:trPr>
        <w:tc>
          <w:tcPr>
            <w:tcW w:w="2405" w:type="dxa"/>
          </w:tcPr>
          <w:p w14:paraId="63491339" w14:textId="77777777" w:rsidR="004016CA" w:rsidRPr="00661BD2" w:rsidRDefault="004016CA" w:rsidP="00DC4418">
            <w:pPr>
              <w:pStyle w:val="TableParagraph"/>
              <w:jc w:val="both"/>
              <w:rPr>
                <w:rFonts w:eastAsia="Calibri" w:cs="Calibri"/>
              </w:rPr>
            </w:pPr>
            <w:r w:rsidRPr="00661BD2">
              <w:t>PFPK</w:t>
            </w:r>
          </w:p>
        </w:tc>
        <w:tc>
          <w:tcPr>
            <w:tcW w:w="6605" w:type="dxa"/>
          </w:tcPr>
          <w:p w14:paraId="0573561D" w14:textId="77777777" w:rsidR="004016CA" w:rsidRPr="00661BD2" w:rsidRDefault="004016CA" w:rsidP="00DC4418">
            <w:pPr>
              <w:pStyle w:val="TableParagraph"/>
              <w:jc w:val="both"/>
              <w:rPr>
                <w:rFonts w:eastAsia="Calibri" w:cs="Calibri"/>
              </w:rPr>
            </w:pPr>
            <w:r w:rsidRPr="00661BD2">
              <w:t>Saleyard Prices for Australian</w:t>
            </w:r>
            <w:r w:rsidRPr="00661BD2">
              <w:rPr>
                <w:spacing w:val="-20"/>
              </w:rPr>
              <w:t xml:space="preserve"> </w:t>
            </w:r>
            <w:r w:rsidRPr="00661BD2">
              <w:t>Pork</w:t>
            </w:r>
          </w:p>
        </w:tc>
      </w:tr>
      <w:tr w:rsidR="001830FC" w:rsidRPr="00661BD2" w14:paraId="3A8A9BE6" w14:textId="77777777" w:rsidTr="00CC2ED3">
        <w:trPr>
          <w:trHeight w:hRule="exact" w:val="278"/>
        </w:trPr>
        <w:tc>
          <w:tcPr>
            <w:tcW w:w="2405" w:type="dxa"/>
          </w:tcPr>
          <w:p w14:paraId="5D3B9B71" w14:textId="51144795" w:rsidR="001830FC" w:rsidRPr="00661BD2" w:rsidRDefault="001830FC" w:rsidP="001830FC">
            <w:pPr>
              <w:pStyle w:val="TableParagraph"/>
              <w:jc w:val="both"/>
            </w:pPr>
            <w:r>
              <w:t>PRCK</w:t>
            </w:r>
          </w:p>
        </w:tc>
        <w:tc>
          <w:tcPr>
            <w:tcW w:w="6605" w:type="dxa"/>
          </w:tcPr>
          <w:p w14:paraId="52C71557" w14:textId="17951D3B" w:rsidR="001830FC" w:rsidRPr="00661BD2" w:rsidRDefault="001830FC" w:rsidP="001830FC">
            <w:pPr>
              <w:pStyle w:val="TableParagraph"/>
              <w:jc w:val="both"/>
              <w:rPr>
                <w:rFonts w:eastAsia="Calibri" w:cs="Calibri"/>
              </w:rPr>
            </w:pPr>
            <w:r w:rsidRPr="00661BD2">
              <w:t>Retail Prices for Australian</w:t>
            </w:r>
            <w:r w:rsidRPr="00661BD2">
              <w:rPr>
                <w:spacing w:val="-19"/>
              </w:rPr>
              <w:t xml:space="preserve"> </w:t>
            </w:r>
            <w:r>
              <w:rPr>
                <w:spacing w:val="-19"/>
              </w:rPr>
              <w:t>Chicken</w:t>
            </w:r>
          </w:p>
        </w:tc>
      </w:tr>
      <w:tr w:rsidR="001830FC" w:rsidRPr="00661BD2" w14:paraId="71252AE4" w14:textId="77777777" w:rsidTr="00CC2ED3">
        <w:trPr>
          <w:trHeight w:hRule="exact" w:val="278"/>
        </w:trPr>
        <w:tc>
          <w:tcPr>
            <w:tcW w:w="2405" w:type="dxa"/>
          </w:tcPr>
          <w:p w14:paraId="22339186" w14:textId="231370C7" w:rsidR="001830FC" w:rsidRPr="00661BD2" w:rsidRDefault="001830FC" w:rsidP="001830FC">
            <w:pPr>
              <w:pStyle w:val="TableParagraph"/>
              <w:jc w:val="both"/>
            </w:pPr>
            <w:r>
              <w:t>PFCK</w:t>
            </w:r>
          </w:p>
        </w:tc>
        <w:tc>
          <w:tcPr>
            <w:tcW w:w="6605" w:type="dxa"/>
          </w:tcPr>
          <w:p w14:paraId="2F628215" w14:textId="4EE24CC3" w:rsidR="001830FC" w:rsidRPr="00661BD2" w:rsidRDefault="001830FC" w:rsidP="001830FC">
            <w:pPr>
              <w:pStyle w:val="TableParagraph"/>
              <w:jc w:val="both"/>
              <w:rPr>
                <w:rFonts w:eastAsia="Calibri" w:cs="Calibri"/>
              </w:rPr>
            </w:pPr>
            <w:r>
              <w:t>Unit Gross Value of Australian Chicken Production</w:t>
            </w:r>
          </w:p>
        </w:tc>
      </w:tr>
      <w:tr w:rsidR="001830FC" w:rsidRPr="00661BD2" w14:paraId="74F0EF05" w14:textId="77777777" w:rsidTr="00CC2ED3">
        <w:trPr>
          <w:trHeight w:hRule="exact" w:val="278"/>
        </w:trPr>
        <w:tc>
          <w:tcPr>
            <w:tcW w:w="2405" w:type="dxa"/>
          </w:tcPr>
          <w:p w14:paraId="125D8C62" w14:textId="77777777" w:rsidR="001830FC" w:rsidRPr="00661BD2" w:rsidRDefault="001830FC" w:rsidP="001830FC">
            <w:pPr>
              <w:pStyle w:val="TableParagraph"/>
              <w:jc w:val="both"/>
              <w:rPr>
                <w:rFonts w:eastAsia="Calibri" w:cs="Calibri"/>
              </w:rPr>
            </w:pPr>
            <w:r w:rsidRPr="00661BD2">
              <w:t>MMBF</w:t>
            </w:r>
          </w:p>
        </w:tc>
        <w:tc>
          <w:tcPr>
            <w:tcW w:w="6605" w:type="dxa"/>
          </w:tcPr>
          <w:p w14:paraId="29DF41ED" w14:textId="77777777" w:rsidR="001830FC" w:rsidRPr="00661BD2" w:rsidRDefault="001830FC" w:rsidP="001830FC">
            <w:pPr>
              <w:pStyle w:val="TableParagraph"/>
              <w:jc w:val="both"/>
              <w:rPr>
                <w:rFonts w:eastAsia="Calibri" w:cs="Calibri"/>
              </w:rPr>
            </w:pPr>
            <w:r w:rsidRPr="00661BD2">
              <w:rPr>
                <w:rFonts w:eastAsia="Calibri" w:cs="Calibri"/>
              </w:rPr>
              <w:t>Nominal Beef Marketing Margin (PRBF –</w:t>
            </w:r>
            <w:r w:rsidRPr="00661BD2">
              <w:rPr>
                <w:rFonts w:eastAsia="Calibri" w:cs="Calibri"/>
                <w:spacing w:val="-23"/>
              </w:rPr>
              <w:t xml:space="preserve"> </w:t>
            </w:r>
            <w:r w:rsidRPr="00661BD2">
              <w:rPr>
                <w:rFonts w:eastAsia="Calibri" w:cs="Calibri"/>
              </w:rPr>
              <w:t>PFBF)</w:t>
            </w:r>
          </w:p>
        </w:tc>
      </w:tr>
      <w:tr w:rsidR="001830FC" w:rsidRPr="00661BD2" w14:paraId="6A5AB1EB" w14:textId="77777777" w:rsidTr="00CC2ED3">
        <w:trPr>
          <w:trHeight w:hRule="exact" w:val="278"/>
        </w:trPr>
        <w:tc>
          <w:tcPr>
            <w:tcW w:w="2405" w:type="dxa"/>
          </w:tcPr>
          <w:p w14:paraId="5A0E8F6C" w14:textId="77777777" w:rsidR="001830FC" w:rsidRPr="00661BD2" w:rsidRDefault="001830FC" w:rsidP="001830FC">
            <w:pPr>
              <w:pStyle w:val="TableParagraph"/>
              <w:jc w:val="both"/>
              <w:rPr>
                <w:rFonts w:eastAsia="Calibri" w:cs="Calibri"/>
              </w:rPr>
            </w:pPr>
            <w:r w:rsidRPr="00661BD2">
              <w:t>MMLB</w:t>
            </w:r>
          </w:p>
        </w:tc>
        <w:tc>
          <w:tcPr>
            <w:tcW w:w="6605" w:type="dxa"/>
          </w:tcPr>
          <w:p w14:paraId="7BA0FEC4" w14:textId="77777777" w:rsidR="001830FC" w:rsidRPr="00661BD2" w:rsidRDefault="001830FC" w:rsidP="001830FC">
            <w:pPr>
              <w:pStyle w:val="TableParagraph"/>
              <w:jc w:val="both"/>
              <w:rPr>
                <w:rFonts w:eastAsia="Calibri" w:cs="Calibri"/>
              </w:rPr>
            </w:pPr>
            <w:r w:rsidRPr="00661BD2">
              <w:rPr>
                <w:rFonts w:eastAsia="Calibri" w:cs="Calibri"/>
              </w:rPr>
              <w:t>Nominal Lamb Marketing Margin (PRLB –</w:t>
            </w:r>
            <w:r w:rsidRPr="00661BD2">
              <w:rPr>
                <w:rFonts w:eastAsia="Calibri" w:cs="Calibri"/>
                <w:spacing w:val="-24"/>
              </w:rPr>
              <w:t xml:space="preserve"> </w:t>
            </w:r>
            <w:r w:rsidRPr="00661BD2">
              <w:rPr>
                <w:rFonts w:eastAsia="Calibri" w:cs="Calibri"/>
              </w:rPr>
              <w:t>PFLB)</w:t>
            </w:r>
          </w:p>
        </w:tc>
      </w:tr>
      <w:tr w:rsidR="001830FC" w:rsidRPr="00661BD2" w14:paraId="7338DC46" w14:textId="77777777" w:rsidTr="00CC2ED3">
        <w:trPr>
          <w:trHeight w:hRule="exact" w:val="278"/>
        </w:trPr>
        <w:tc>
          <w:tcPr>
            <w:tcW w:w="2405" w:type="dxa"/>
          </w:tcPr>
          <w:p w14:paraId="34686302" w14:textId="77777777" w:rsidR="001830FC" w:rsidRPr="00661BD2" w:rsidRDefault="001830FC" w:rsidP="001830FC">
            <w:pPr>
              <w:pStyle w:val="TableParagraph"/>
              <w:jc w:val="both"/>
              <w:rPr>
                <w:rFonts w:eastAsia="Calibri" w:cs="Calibri"/>
              </w:rPr>
            </w:pPr>
            <w:r w:rsidRPr="00661BD2">
              <w:t>MMPK</w:t>
            </w:r>
          </w:p>
        </w:tc>
        <w:tc>
          <w:tcPr>
            <w:tcW w:w="6605" w:type="dxa"/>
          </w:tcPr>
          <w:p w14:paraId="23AB0704" w14:textId="77777777" w:rsidR="001830FC" w:rsidRPr="00661BD2" w:rsidRDefault="001830FC" w:rsidP="001830FC">
            <w:pPr>
              <w:pStyle w:val="TableParagraph"/>
              <w:jc w:val="both"/>
              <w:rPr>
                <w:rFonts w:eastAsia="Calibri" w:cs="Calibri"/>
              </w:rPr>
            </w:pPr>
            <w:r w:rsidRPr="00661BD2">
              <w:rPr>
                <w:rFonts w:eastAsia="Calibri" w:cs="Calibri"/>
              </w:rPr>
              <w:t>Nominal Pork Marketing Margin (PRPK –</w:t>
            </w:r>
            <w:r w:rsidRPr="00661BD2">
              <w:rPr>
                <w:rFonts w:eastAsia="Calibri" w:cs="Calibri"/>
                <w:spacing w:val="-25"/>
              </w:rPr>
              <w:t xml:space="preserve"> </w:t>
            </w:r>
            <w:r w:rsidRPr="00661BD2">
              <w:rPr>
                <w:rFonts w:eastAsia="Calibri" w:cs="Calibri"/>
              </w:rPr>
              <w:t>PFPK)</w:t>
            </w:r>
          </w:p>
        </w:tc>
      </w:tr>
      <w:tr w:rsidR="001830FC" w:rsidRPr="00661BD2" w14:paraId="21EFCBEA" w14:textId="77777777" w:rsidTr="00CC2ED3">
        <w:trPr>
          <w:trHeight w:hRule="exact" w:val="278"/>
        </w:trPr>
        <w:tc>
          <w:tcPr>
            <w:tcW w:w="2405" w:type="dxa"/>
          </w:tcPr>
          <w:p w14:paraId="3C9EF171" w14:textId="729F9B2C" w:rsidR="001830FC" w:rsidRPr="00661BD2" w:rsidRDefault="001830FC" w:rsidP="001830FC">
            <w:pPr>
              <w:pStyle w:val="TableParagraph"/>
              <w:jc w:val="both"/>
            </w:pPr>
            <w:r w:rsidRPr="00661BD2">
              <w:t>MM</w:t>
            </w:r>
            <w:r>
              <w:t>C</w:t>
            </w:r>
            <w:r w:rsidRPr="00661BD2">
              <w:t>K</w:t>
            </w:r>
          </w:p>
        </w:tc>
        <w:tc>
          <w:tcPr>
            <w:tcW w:w="6605" w:type="dxa"/>
          </w:tcPr>
          <w:p w14:paraId="38A16015" w14:textId="4AFD4CC4" w:rsidR="001830FC" w:rsidRPr="00661BD2" w:rsidRDefault="001830FC" w:rsidP="001830FC">
            <w:pPr>
              <w:pStyle w:val="TableParagraph"/>
              <w:jc w:val="both"/>
            </w:pPr>
            <w:r w:rsidRPr="00661BD2">
              <w:rPr>
                <w:rFonts w:eastAsia="Calibri" w:cs="Calibri"/>
              </w:rPr>
              <w:t xml:space="preserve">Nominal </w:t>
            </w:r>
            <w:r>
              <w:rPr>
                <w:rFonts w:eastAsia="Calibri" w:cs="Calibri"/>
              </w:rPr>
              <w:t>Chicken</w:t>
            </w:r>
            <w:r w:rsidRPr="00661BD2">
              <w:rPr>
                <w:rFonts w:eastAsia="Calibri" w:cs="Calibri"/>
              </w:rPr>
              <w:t xml:space="preserve"> Marketing Margin (PR</w:t>
            </w:r>
            <w:r>
              <w:rPr>
                <w:rFonts w:eastAsia="Calibri" w:cs="Calibri"/>
              </w:rPr>
              <w:t>C</w:t>
            </w:r>
            <w:r w:rsidRPr="00661BD2">
              <w:rPr>
                <w:rFonts w:eastAsia="Calibri" w:cs="Calibri"/>
              </w:rPr>
              <w:t>K –</w:t>
            </w:r>
            <w:r w:rsidRPr="00661BD2">
              <w:rPr>
                <w:rFonts w:eastAsia="Calibri" w:cs="Calibri"/>
                <w:spacing w:val="-25"/>
              </w:rPr>
              <w:t xml:space="preserve"> </w:t>
            </w:r>
            <w:r w:rsidRPr="00661BD2">
              <w:rPr>
                <w:rFonts w:eastAsia="Calibri" w:cs="Calibri"/>
              </w:rPr>
              <w:t>PF</w:t>
            </w:r>
            <w:r>
              <w:rPr>
                <w:rFonts w:eastAsia="Calibri" w:cs="Calibri"/>
              </w:rPr>
              <w:t>C</w:t>
            </w:r>
            <w:r w:rsidRPr="00661BD2">
              <w:rPr>
                <w:rFonts w:eastAsia="Calibri" w:cs="Calibri"/>
              </w:rPr>
              <w:t>K)</w:t>
            </w:r>
          </w:p>
        </w:tc>
      </w:tr>
      <w:tr w:rsidR="001830FC" w:rsidRPr="00661BD2" w14:paraId="5F6F8F02" w14:textId="77777777" w:rsidTr="00CC2ED3">
        <w:trPr>
          <w:trHeight w:hRule="exact" w:val="278"/>
        </w:trPr>
        <w:tc>
          <w:tcPr>
            <w:tcW w:w="2405" w:type="dxa"/>
          </w:tcPr>
          <w:p w14:paraId="67674FA1" w14:textId="77777777" w:rsidR="001830FC" w:rsidRPr="00661BD2" w:rsidRDefault="001830FC" w:rsidP="001830FC">
            <w:pPr>
              <w:pStyle w:val="TableParagraph"/>
              <w:jc w:val="both"/>
              <w:rPr>
                <w:rFonts w:eastAsia="Calibri" w:cs="Calibri"/>
              </w:rPr>
            </w:pPr>
            <w:r w:rsidRPr="00661BD2">
              <w:t>MMBFR</w:t>
            </w:r>
          </w:p>
        </w:tc>
        <w:tc>
          <w:tcPr>
            <w:tcW w:w="6605" w:type="dxa"/>
          </w:tcPr>
          <w:p w14:paraId="0166CA67" w14:textId="77777777" w:rsidR="001830FC" w:rsidRPr="00661BD2" w:rsidRDefault="001830FC" w:rsidP="001830FC">
            <w:pPr>
              <w:pStyle w:val="TableParagraph"/>
              <w:jc w:val="both"/>
              <w:rPr>
                <w:rFonts w:eastAsia="Calibri" w:cs="Calibri"/>
              </w:rPr>
            </w:pPr>
            <w:r w:rsidRPr="00661BD2">
              <w:t>Real Beef Marketing Margin</w:t>
            </w:r>
            <w:r w:rsidRPr="00661BD2">
              <w:rPr>
                <w:spacing w:val="-20"/>
              </w:rPr>
              <w:t xml:space="preserve"> </w:t>
            </w:r>
            <w:r w:rsidRPr="00661BD2">
              <w:t>(MMBF/FCPI)</w:t>
            </w:r>
          </w:p>
        </w:tc>
      </w:tr>
      <w:tr w:rsidR="001830FC" w:rsidRPr="00661BD2" w14:paraId="56E2D3A9" w14:textId="77777777" w:rsidTr="00CC2ED3">
        <w:trPr>
          <w:trHeight w:hRule="exact" w:val="278"/>
        </w:trPr>
        <w:tc>
          <w:tcPr>
            <w:tcW w:w="2405" w:type="dxa"/>
          </w:tcPr>
          <w:p w14:paraId="55CE2568" w14:textId="77777777" w:rsidR="001830FC" w:rsidRPr="00661BD2" w:rsidRDefault="001830FC" w:rsidP="001830FC">
            <w:pPr>
              <w:pStyle w:val="TableParagraph"/>
              <w:jc w:val="both"/>
              <w:rPr>
                <w:rFonts w:eastAsia="Calibri" w:cs="Calibri"/>
              </w:rPr>
            </w:pPr>
            <w:r w:rsidRPr="00661BD2">
              <w:t>MMLBR</w:t>
            </w:r>
          </w:p>
        </w:tc>
        <w:tc>
          <w:tcPr>
            <w:tcW w:w="6605" w:type="dxa"/>
          </w:tcPr>
          <w:p w14:paraId="607DD860" w14:textId="77777777" w:rsidR="001830FC" w:rsidRPr="00661BD2" w:rsidRDefault="001830FC" w:rsidP="001830FC">
            <w:pPr>
              <w:pStyle w:val="TableParagraph"/>
              <w:jc w:val="both"/>
              <w:rPr>
                <w:rFonts w:eastAsia="Calibri" w:cs="Calibri"/>
              </w:rPr>
            </w:pPr>
            <w:r w:rsidRPr="00661BD2">
              <w:t>Real Lamb Marketing Margin</w:t>
            </w:r>
            <w:r w:rsidRPr="00661BD2">
              <w:rPr>
                <w:spacing w:val="-20"/>
              </w:rPr>
              <w:t xml:space="preserve"> </w:t>
            </w:r>
            <w:r w:rsidRPr="00661BD2">
              <w:t>(MMLB/FCPI)</w:t>
            </w:r>
          </w:p>
        </w:tc>
      </w:tr>
      <w:tr w:rsidR="001830FC" w:rsidRPr="00661BD2" w14:paraId="7EBC1EEA" w14:textId="77777777" w:rsidTr="00CC2ED3">
        <w:trPr>
          <w:trHeight w:hRule="exact" w:val="278"/>
        </w:trPr>
        <w:tc>
          <w:tcPr>
            <w:tcW w:w="2405" w:type="dxa"/>
          </w:tcPr>
          <w:p w14:paraId="56DECCBD" w14:textId="77777777" w:rsidR="001830FC" w:rsidRPr="00661BD2" w:rsidRDefault="001830FC" w:rsidP="001830FC">
            <w:pPr>
              <w:pStyle w:val="TableParagraph"/>
              <w:jc w:val="both"/>
              <w:rPr>
                <w:rFonts w:eastAsia="Calibri" w:cs="Calibri"/>
              </w:rPr>
            </w:pPr>
            <w:r w:rsidRPr="00661BD2">
              <w:t>MMPKR</w:t>
            </w:r>
          </w:p>
        </w:tc>
        <w:tc>
          <w:tcPr>
            <w:tcW w:w="6605" w:type="dxa"/>
          </w:tcPr>
          <w:p w14:paraId="3C616067" w14:textId="77777777" w:rsidR="001830FC" w:rsidRPr="00661BD2" w:rsidRDefault="001830FC" w:rsidP="001830FC">
            <w:pPr>
              <w:pStyle w:val="TableParagraph"/>
              <w:jc w:val="both"/>
              <w:rPr>
                <w:rFonts w:eastAsia="Calibri" w:cs="Calibri"/>
              </w:rPr>
            </w:pPr>
            <w:r w:rsidRPr="00661BD2">
              <w:t>Real Pork Marketing Margin</w:t>
            </w:r>
            <w:r w:rsidRPr="00661BD2">
              <w:rPr>
                <w:spacing w:val="-21"/>
              </w:rPr>
              <w:t xml:space="preserve"> </w:t>
            </w:r>
            <w:r w:rsidRPr="00661BD2">
              <w:t>(MMPK/FCPI)</w:t>
            </w:r>
          </w:p>
        </w:tc>
      </w:tr>
      <w:tr w:rsidR="001830FC" w:rsidRPr="00661BD2" w14:paraId="7BD7C084" w14:textId="77777777" w:rsidTr="00CC2ED3">
        <w:trPr>
          <w:trHeight w:hRule="exact" w:val="278"/>
        </w:trPr>
        <w:tc>
          <w:tcPr>
            <w:tcW w:w="2405" w:type="dxa"/>
          </w:tcPr>
          <w:p w14:paraId="598C9405" w14:textId="1EBCF2D0" w:rsidR="001830FC" w:rsidRPr="00661BD2" w:rsidRDefault="001830FC" w:rsidP="001830FC">
            <w:pPr>
              <w:pStyle w:val="TableParagraph"/>
              <w:jc w:val="both"/>
            </w:pPr>
            <w:r w:rsidRPr="00661BD2">
              <w:t>MM</w:t>
            </w:r>
            <w:r>
              <w:t>C</w:t>
            </w:r>
            <w:r w:rsidRPr="00661BD2">
              <w:t>KR</w:t>
            </w:r>
          </w:p>
        </w:tc>
        <w:tc>
          <w:tcPr>
            <w:tcW w:w="6605" w:type="dxa"/>
          </w:tcPr>
          <w:p w14:paraId="0117745D" w14:textId="3E1E1B81" w:rsidR="001830FC" w:rsidRPr="00661BD2" w:rsidRDefault="001830FC" w:rsidP="001830FC">
            <w:pPr>
              <w:pStyle w:val="TableParagraph"/>
              <w:jc w:val="both"/>
            </w:pPr>
            <w:r w:rsidRPr="00661BD2">
              <w:t xml:space="preserve">Real </w:t>
            </w:r>
            <w:r>
              <w:t>Chicken</w:t>
            </w:r>
            <w:r w:rsidRPr="00661BD2">
              <w:t xml:space="preserve"> Marketing Margin</w:t>
            </w:r>
            <w:r w:rsidRPr="00661BD2">
              <w:rPr>
                <w:spacing w:val="-21"/>
              </w:rPr>
              <w:t xml:space="preserve"> </w:t>
            </w:r>
            <w:r w:rsidRPr="00661BD2">
              <w:t>(MM</w:t>
            </w:r>
            <w:r w:rsidR="00BD27B6">
              <w:t>C</w:t>
            </w:r>
            <w:r w:rsidRPr="00661BD2">
              <w:t>K/FCPI)</w:t>
            </w:r>
          </w:p>
        </w:tc>
      </w:tr>
      <w:tr w:rsidR="001830FC" w:rsidRPr="00661BD2" w14:paraId="22585DE9" w14:textId="77777777" w:rsidTr="00CC2ED3">
        <w:trPr>
          <w:trHeight w:hRule="exact" w:val="278"/>
        </w:trPr>
        <w:tc>
          <w:tcPr>
            <w:tcW w:w="2405" w:type="dxa"/>
          </w:tcPr>
          <w:p w14:paraId="11FAEC80" w14:textId="77777777" w:rsidR="001830FC" w:rsidRPr="00661BD2" w:rsidRDefault="001830FC" w:rsidP="001830FC">
            <w:pPr>
              <w:pStyle w:val="TableParagraph"/>
              <w:jc w:val="both"/>
              <w:rPr>
                <w:rFonts w:eastAsia="Calibri" w:cs="Calibri"/>
              </w:rPr>
            </w:pPr>
            <w:r w:rsidRPr="00661BD2">
              <w:t>DMBF</w:t>
            </w:r>
          </w:p>
        </w:tc>
        <w:tc>
          <w:tcPr>
            <w:tcW w:w="6605" w:type="dxa"/>
          </w:tcPr>
          <w:p w14:paraId="624F96C8" w14:textId="77777777" w:rsidR="001830FC" w:rsidRPr="00661BD2" w:rsidRDefault="001830FC" w:rsidP="001830FC">
            <w:pPr>
              <w:pStyle w:val="TableParagraph"/>
              <w:jc w:val="both"/>
              <w:rPr>
                <w:rFonts w:eastAsia="Calibri" w:cs="Calibri"/>
              </w:rPr>
            </w:pPr>
            <w:r w:rsidRPr="00661BD2">
              <w:t>Domestic Demand for Australian</w:t>
            </w:r>
            <w:r w:rsidRPr="00661BD2">
              <w:rPr>
                <w:spacing w:val="-19"/>
              </w:rPr>
              <w:t xml:space="preserve"> </w:t>
            </w:r>
            <w:r w:rsidRPr="00661BD2">
              <w:t>Beef</w:t>
            </w:r>
          </w:p>
        </w:tc>
      </w:tr>
      <w:tr w:rsidR="001830FC" w:rsidRPr="00661BD2" w14:paraId="1BD31A61" w14:textId="77777777" w:rsidTr="00CC2ED3">
        <w:trPr>
          <w:trHeight w:hRule="exact" w:val="278"/>
        </w:trPr>
        <w:tc>
          <w:tcPr>
            <w:tcW w:w="2405" w:type="dxa"/>
          </w:tcPr>
          <w:p w14:paraId="331772A9" w14:textId="77777777" w:rsidR="001830FC" w:rsidRPr="00661BD2" w:rsidRDefault="001830FC" w:rsidP="001830FC">
            <w:pPr>
              <w:pStyle w:val="TableParagraph"/>
              <w:jc w:val="both"/>
              <w:rPr>
                <w:rFonts w:eastAsia="Calibri" w:cs="Calibri"/>
              </w:rPr>
            </w:pPr>
            <w:r w:rsidRPr="00661BD2">
              <w:t>DMLB</w:t>
            </w:r>
          </w:p>
        </w:tc>
        <w:tc>
          <w:tcPr>
            <w:tcW w:w="6605" w:type="dxa"/>
          </w:tcPr>
          <w:p w14:paraId="25968E05" w14:textId="77777777" w:rsidR="001830FC" w:rsidRPr="00661BD2" w:rsidRDefault="001830FC" w:rsidP="001830FC">
            <w:pPr>
              <w:pStyle w:val="TableParagraph"/>
              <w:jc w:val="both"/>
              <w:rPr>
                <w:rFonts w:eastAsia="Calibri" w:cs="Calibri"/>
              </w:rPr>
            </w:pPr>
            <w:r w:rsidRPr="00661BD2">
              <w:t>Domestic Demand for Australian</w:t>
            </w:r>
            <w:r w:rsidRPr="00661BD2">
              <w:rPr>
                <w:spacing w:val="-18"/>
              </w:rPr>
              <w:t xml:space="preserve"> </w:t>
            </w:r>
            <w:r w:rsidRPr="00661BD2">
              <w:t>Lamb</w:t>
            </w:r>
          </w:p>
        </w:tc>
      </w:tr>
      <w:tr w:rsidR="001830FC" w:rsidRPr="00661BD2" w14:paraId="5D57704B" w14:textId="77777777" w:rsidTr="00CC2ED3">
        <w:trPr>
          <w:trHeight w:hRule="exact" w:val="278"/>
        </w:trPr>
        <w:tc>
          <w:tcPr>
            <w:tcW w:w="2405" w:type="dxa"/>
          </w:tcPr>
          <w:p w14:paraId="0CA7B66F" w14:textId="77777777" w:rsidR="001830FC" w:rsidRPr="00661BD2" w:rsidRDefault="001830FC" w:rsidP="001830FC">
            <w:pPr>
              <w:pStyle w:val="TableParagraph"/>
              <w:jc w:val="both"/>
              <w:rPr>
                <w:rFonts w:eastAsia="Calibri" w:cs="Calibri"/>
              </w:rPr>
            </w:pPr>
            <w:r w:rsidRPr="00661BD2">
              <w:t>DMPK</w:t>
            </w:r>
          </w:p>
        </w:tc>
        <w:tc>
          <w:tcPr>
            <w:tcW w:w="6605" w:type="dxa"/>
          </w:tcPr>
          <w:p w14:paraId="190E86D6" w14:textId="77777777" w:rsidR="001830FC" w:rsidRPr="00661BD2" w:rsidRDefault="001830FC" w:rsidP="001830FC">
            <w:pPr>
              <w:pStyle w:val="TableParagraph"/>
              <w:jc w:val="both"/>
              <w:rPr>
                <w:rFonts w:eastAsia="Calibri" w:cs="Calibri"/>
              </w:rPr>
            </w:pPr>
            <w:r w:rsidRPr="00661BD2">
              <w:t>Domestic Demand for Australian</w:t>
            </w:r>
            <w:r w:rsidRPr="00661BD2">
              <w:rPr>
                <w:spacing w:val="-19"/>
              </w:rPr>
              <w:t xml:space="preserve"> </w:t>
            </w:r>
            <w:r w:rsidRPr="00661BD2">
              <w:t>Pork</w:t>
            </w:r>
          </w:p>
        </w:tc>
      </w:tr>
      <w:tr w:rsidR="00BD27B6" w:rsidRPr="00661BD2" w14:paraId="74F35BAD" w14:textId="77777777" w:rsidTr="00CC2ED3">
        <w:trPr>
          <w:trHeight w:hRule="exact" w:val="278"/>
        </w:trPr>
        <w:tc>
          <w:tcPr>
            <w:tcW w:w="2405" w:type="dxa"/>
          </w:tcPr>
          <w:p w14:paraId="0E2FF1BF" w14:textId="2DF45147" w:rsidR="00BD27B6" w:rsidRPr="00661BD2" w:rsidRDefault="00BD27B6" w:rsidP="00BD27B6">
            <w:pPr>
              <w:pStyle w:val="TableParagraph"/>
              <w:jc w:val="both"/>
            </w:pPr>
            <w:r w:rsidRPr="00661BD2">
              <w:t>DM</w:t>
            </w:r>
            <w:r>
              <w:t>C</w:t>
            </w:r>
            <w:r w:rsidRPr="00661BD2">
              <w:t>K</w:t>
            </w:r>
          </w:p>
        </w:tc>
        <w:tc>
          <w:tcPr>
            <w:tcW w:w="6605" w:type="dxa"/>
          </w:tcPr>
          <w:p w14:paraId="6059ED59" w14:textId="654CCC7E" w:rsidR="00BD27B6" w:rsidRPr="00661BD2" w:rsidRDefault="00BD27B6" w:rsidP="00BD27B6">
            <w:pPr>
              <w:pStyle w:val="TableParagraph"/>
              <w:jc w:val="both"/>
            </w:pPr>
            <w:r w:rsidRPr="00661BD2">
              <w:t>Domestic Demand for Australian</w:t>
            </w:r>
            <w:r w:rsidRPr="00661BD2">
              <w:rPr>
                <w:spacing w:val="-19"/>
              </w:rPr>
              <w:t xml:space="preserve"> </w:t>
            </w:r>
            <w:r>
              <w:rPr>
                <w:spacing w:val="-19"/>
              </w:rPr>
              <w:t>Chicken</w:t>
            </w:r>
          </w:p>
        </w:tc>
      </w:tr>
      <w:tr w:rsidR="00BD27B6" w:rsidRPr="00661BD2" w14:paraId="116E03F0" w14:textId="77777777" w:rsidTr="00CC2ED3">
        <w:trPr>
          <w:trHeight w:hRule="exact" w:val="278"/>
        </w:trPr>
        <w:tc>
          <w:tcPr>
            <w:tcW w:w="2405" w:type="dxa"/>
          </w:tcPr>
          <w:p w14:paraId="7E7BE20E" w14:textId="77777777" w:rsidR="00BD27B6" w:rsidRPr="00661BD2" w:rsidRDefault="00BD27B6" w:rsidP="00BD27B6">
            <w:pPr>
              <w:pStyle w:val="TableParagraph"/>
              <w:jc w:val="both"/>
              <w:rPr>
                <w:rFonts w:eastAsia="Calibri" w:cs="Calibri"/>
              </w:rPr>
            </w:pPr>
            <w:r w:rsidRPr="00661BD2">
              <w:t>DMBFI</w:t>
            </w:r>
          </w:p>
        </w:tc>
        <w:tc>
          <w:tcPr>
            <w:tcW w:w="6605" w:type="dxa"/>
          </w:tcPr>
          <w:p w14:paraId="719C3A1B" w14:textId="77777777" w:rsidR="00BD27B6" w:rsidRPr="00661BD2" w:rsidRDefault="00BD27B6" w:rsidP="00BD27B6">
            <w:pPr>
              <w:pStyle w:val="TableParagraph"/>
              <w:jc w:val="both"/>
              <w:rPr>
                <w:rFonts w:eastAsia="Calibri" w:cs="Calibri"/>
              </w:rPr>
            </w:pPr>
            <w:r w:rsidRPr="00661BD2">
              <w:t>DMBF/PFBF</w:t>
            </w:r>
          </w:p>
        </w:tc>
      </w:tr>
      <w:tr w:rsidR="00BD27B6" w:rsidRPr="00661BD2" w14:paraId="07C88CFE" w14:textId="77777777" w:rsidTr="00CC2ED3">
        <w:trPr>
          <w:trHeight w:hRule="exact" w:val="278"/>
        </w:trPr>
        <w:tc>
          <w:tcPr>
            <w:tcW w:w="2405" w:type="dxa"/>
          </w:tcPr>
          <w:p w14:paraId="4499D7D8" w14:textId="77777777" w:rsidR="00BD27B6" w:rsidRPr="00661BD2" w:rsidRDefault="00BD27B6" w:rsidP="00BD27B6">
            <w:pPr>
              <w:pStyle w:val="TableParagraph"/>
              <w:jc w:val="both"/>
              <w:rPr>
                <w:rFonts w:eastAsia="Calibri" w:cs="Calibri"/>
              </w:rPr>
            </w:pPr>
            <w:r w:rsidRPr="00661BD2">
              <w:t>DMLBI</w:t>
            </w:r>
          </w:p>
        </w:tc>
        <w:tc>
          <w:tcPr>
            <w:tcW w:w="6605" w:type="dxa"/>
          </w:tcPr>
          <w:p w14:paraId="5CFA4226" w14:textId="77777777" w:rsidR="00BD27B6" w:rsidRPr="00661BD2" w:rsidRDefault="00BD27B6" w:rsidP="00BD27B6">
            <w:pPr>
              <w:pStyle w:val="TableParagraph"/>
              <w:jc w:val="both"/>
              <w:rPr>
                <w:rFonts w:eastAsia="Calibri" w:cs="Calibri"/>
              </w:rPr>
            </w:pPr>
            <w:r w:rsidRPr="00661BD2">
              <w:t>DMLB/PFLB</w:t>
            </w:r>
          </w:p>
        </w:tc>
      </w:tr>
      <w:tr w:rsidR="00BD27B6" w:rsidRPr="00661BD2" w14:paraId="4BB673B2" w14:textId="77777777" w:rsidTr="00CC2ED3">
        <w:trPr>
          <w:trHeight w:hRule="exact" w:val="283"/>
        </w:trPr>
        <w:tc>
          <w:tcPr>
            <w:tcW w:w="2405" w:type="dxa"/>
          </w:tcPr>
          <w:p w14:paraId="33D58FF1" w14:textId="77777777" w:rsidR="00BD27B6" w:rsidRPr="00661BD2" w:rsidRDefault="00BD27B6" w:rsidP="00BD27B6">
            <w:pPr>
              <w:pStyle w:val="TableParagraph"/>
              <w:jc w:val="both"/>
              <w:rPr>
                <w:rFonts w:eastAsia="Calibri" w:cs="Calibri"/>
              </w:rPr>
            </w:pPr>
            <w:r w:rsidRPr="00661BD2">
              <w:t>DMPKI</w:t>
            </w:r>
          </w:p>
        </w:tc>
        <w:tc>
          <w:tcPr>
            <w:tcW w:w="6605" w:type="dxa"/>
          </w:tcPr>
          <w:p w14:paraId="22FFD5B6" w14:textId="77777777" w:rsidR="00BD27B6" w:rsidRPr="00661BD2" w:rsidRDefault="00BD27B6" w:rsidP="00BD27B6">
            <w:pPr>
              <w:pStyle w:val="TableParagraph"/>
              <w:jc w:val="both"/>
              <w:rPr>
                <w:rFonts w:eastAsia="Calibri" w:cs="Calibri"/>
              </w:rPr>
            </w:pPr>
            <w:r w:rsidRPr="00661BD2">
              <w:t>DMPK/PFPK</w:t>
            </w:r>
          </w:p>
        </w:tc>
      </w:tr>
      <w:tr w:rsidR="00BD27B6" w:rsidRPr="00661BD2" w14:paraId="1231E0D6" w14:textId="77777777" w:rsidTr="00CC2ED3">
        <w:trPr>
          <w:trHeight w:hRule="exact" w:val="278"/>
        </w:trPr>
        <w:tc>
          <w:tcPr>
            <w:tcW w:w="2405" w:type="dxa"/>
          </w:tcPr>
          <w:p w14:paraId="3E004B6A" w14:textId="25FF43F3" w:rsidR="00BD27B6" w:rsidRPr="00661BD2" w:rsidRDefault="00BD27B6" w:rsidP="00BD27B6">
            <w:pPr>
              <w:pStyle w:val="TableParagraph"/>
              <w:jc w:val="both"/>
            </w:pPr>
            <w:r w:rsidRPr="00661BD2">
              <w:t>DM</w:t>
            </w:r>
            <w:r>
              <w:t>C</w:t>
            </w:r>
            <w:r w:rsidRPr="00661BD2">
              <w:t>KI</w:t>
            </w:r>
          </w:p>
        </w:tc>
        <w:tc>
          <w:tcPr>
            <w:tcW w:w="6605" w:type="dxa"/>
          </w:tcPr>
          <w:p w14:paraId="2C59F5A7" w14:textId="6F3CB31C" w:rsidR="00BD27B6" w:rsidRPr="00661BD2" w:rsidRDefault="00BD27B6" w:rsidP="00BD27B6">
            <w:pPr>
              <w:pStyle w:val="TableParagraph"/>
              <w:jc w:val="both"/>
            </w:pPr>
            <w:r w:rsidRPr="00661BD2">
              <w:t>DM</w:t>
            </w:r>
            <w:r>
              <w:t>C</w:t>
            </w:r>
            <w:r w:rsidRPr="00661BD2">
              <w:t>K/PF</w:t>
            </w:r>
            <w:r>
              <w:t>C</w:t>
            </w:r>
            <w:r w:rsidRPr="00661BD2">
              <w:t>K</w:t>
            </w:r>
          </w:p>
        </w:tc>
      </w:tr>
      <w:tr w:rsidR="00BD27B6" w:rsidRPr="00661BD2" w14:paraId="63A8B47E" w14:textId="77777777" w:rsidTr="00CC2ED3">
        <w:trPr>
          <w:trHeight w:hRule="exact" w:val="278"/>
        </w:trPr>
        <w:tc>
          <w:tcPr>
            <w:tcW w:w="2405" w:type="dxa"/>
          </w:tcPr>
          <w:p w14:paraId="31813F91" w14:textId="77777777" w:rsidR="00BD27B6" w:rsidRPr="00661BD2" w:rsidRDefault="00BD27B6" w:rsidP="00BD27B6">
            <w:pPr>
              <w:pStyle w:val="TableParagraph"/>
              <w:jc w:val="both"/>
              <w:rPr>
                <w:rFonts w:eastAsia="Calibri" w:cs="Calibri"/>
              </w:rPr>
            </w:pPr>
            <w:r w:rsidRPr="00661BD2">
              <w:t>T</w:t>
            </w:r>
            <w:r>
              <w:t>IME</w:t>
            </w:r>
          </w:p>
        </w:tc>
        <w:tc>
          <w:tcPr>
            <w:tcW w:w="6605" w:type="dxa"/>
          </w:tcPr>
          <w:p w14:paraId="46707797" w14:textId="77777777" w:rsidR="00BD27B6" w:rsidRPr="00661BD2" w:rsidRDefault="00BD27B6" w:rsidP="00BD27B6">
            <w:pPr>
              <w:pStyle w:val="TableParagraph"/>
              <w:jc w:val="both"/>
              <w:rPr>
                <w:rFonts w:eastAsia="Calibri" w:cs="Calibri"/>
              </w:rPr>
            </w:pPr>
            <w:r w:rsidRPr="00661BD2">
              <w:t>Trend</w:t>
            </w:r>
            <w:r w:rsidRPr="00661BD2">
              <w:rPr>
                <w:spacing w:val="-7"/>
              </w:rPr>
              <w:t xml:space="preserve"> </w:t>
            </w:r>
            <w:r w:rsidRPr="00661BD2">
              <w:t>Variable</w:t>
            </w:r>
          </w:p>
        </w:tc>
      </w:tr>
      <w:tr w:rsidR="00BD27B6" w:rsidRPr="00661BD2" w14:paraId="7B5CD4D4" w14:textId="77777777" w:rsidTr="00CC2ED3">
        <w:trPr>
          <w:trHeight w:hRule="exact" w:val="278"/>
        </w:trPr>
        <w:tc>
          <w:tcPr>
            <w:tcW w:w="2405" w:type="dxa"/>
          </w:tcPr>
          <w:p w14:paraId="5A214167" w14:textId="77777777" w:rsidR="00BD27B6" w:rsidRPr="00661BD2" w:rsidRDefault="00BD27B6" w:rsidP="00BD27B6">
            <w:pPr>
              <w:pStyle w:val="TableParagraph"/>
              <w:jc w:val="both"/>
              <w:rPr>
                <w:rFonts w:eastAsia="Calibri" w:cs="Calibri"/>
              </w:rPr>
            </w:pPr>
            <w:r w:rsidRPr="00661BD2">
              <w:t>COSTIND</w:t>
            </w:r>
          </w:p>
        </w:tc>
        <w:tc>
          <w:tcPr>
            <w:tcW w:w="6605" w:type="dxa"/>
          </w:tcPr>
          <w:p w14:paraId="48D70161" w14:textId="77777777" w:rsidR="00BD27B6" w:rsidRPr="00661BD2" w:rsidRDefault="00BD27B6" w:rsidP="00BD27B6">
            <w:pPr>
              <w:pStyle w:val="TableParagraph"/>
              <w:jc w:val="both"/>
              <w:rPr>
                <w:rFonts w:eastAsia="Calibri" w:cs="Calibri"/>
              </w:rPr>
            </w:pPr>
            <w:r w:rsidRPr="00661BD2">
              <w:t>Marketing Cost Index = (0.75 * WAGE) + (0.1* ELECT) +</w:t>
            </w:r>
            <w:r w:rsidRPr="00661BD2">
              <w:rPr>
                <w:spacing w:val="-32"/>
              </w:rPr>
              <w:t xml:space="preserve"> </w:t>
            </w:r>
            <w:r w:rsidRPr="00661BD2">
              <w:t>(0.15*INT)</w:t>
            </w:r>
          </w:p>
        </w:tc>
      </w:tr>
      <w:tr w:rsidR="00BD27B6" w:rsidRPr="00661BD2" w14:paraId="071E4408" w14:textId="77777777" w:rsidTr="00CC2ED3">
        <w:trPr>
          <w:trHeight w:hRule="exact" w:val="278"/>
        </w:trPr>
        <w:tc>
          <w:tcPr>
            <w:tcW w:w="2405" w:type="dxa"/>
          </w:tcPr>
          <w:p w14:paraId="335DCD1E" w14:textId="77777777" w:rsidR="00BD27B6" w:rsidRPr="00661BD2" w:rsidRDefault="00BD27B6" w:rsidP="00BD27B6">
            <w:pPr>
              <w:pStyle w:val="TableParagraph"/>
              <w:jc w:val="both"/>
              <w:rPr>
                <w:rFonts w:eastAsia="Calibri" w:cs="Calibri"/>
              </w:rPr>
            </w:pPr>
            <w:r w:rsidRPr="00661BD2">
              <w:t>WAGE</w:t>
            </w:r>
          </w:p>
        </w:tc>
        <w:tc>
          <w:tcPr>
            <w:tcW w:w="6605" w:type="dxa"/>
          </w:tcPr>
          <w:p w14:paraId="3092B45E" w14:textId="77777777" w:rsidR="00BD27B6" w:rsidRPr="00661BD2" w:rsidRDefault="00BD27B6" w:rsidP="00BD27B6">
            <w:pPr>
              <w:pStyle w:val="TableParagraph"/>
              <w:jc w:val="both"/>
              <w:rPr>
                <w:rFonts w:eastAsia="Calibri" w:cs="Calibri"/>
              </w:rPr>
            </w:pPr>
            <w:r w:rsidRPr="00661BD2">
              <w:t>Australian Wage Rate</w:t>
            </w:r>
            <w:r w:rsidRPr="00661BD2">
              <w:rPr>
                <w:spacing w:val="-15"/>
              </w:rPr>
              <w:t xml:space="preserve"> </w:t>
            </w:r>
            <w:r w:rsidRPr="00661BD2">
              <w:t>Index</w:t>
            </w:r>
          </w:p>
        </w:tc>
      </w:tr>
      <w:tr w:rsidR="00BD27B6" w:rsidRPr="00661BD2" w14:paraId="026ACC5B" w14:textId="77777777" w:rsidTr="00CC2ED3">
        <w:trPr>
          <w:trHeight w:hRule="exact" w:val="278"/>
        </w:trPr>
        <w:tc>
          <w:tcPr>
            <w:tcW w:w="2405" w:type="dxa"/>
          </w:tcPr>
          <w:p w14:paraId="2F249E21" w14:textId="77777777" w:rsidR="00BD27B6" w:rsidRPr="00661BD2" w:rsidRDefault="00BD27B6" w:rsidP="00BD27B6">
            <w:pPr>
              <w:pStyle w:val="TableParagraph"/>
              <w:jc w:val="both"/>
              <w:rPr>
                <w:rFonts w:eastAsia="Calibri" w:cs="Calibri"/>
              </w:rPr>
            </w:pPr>
            <w:r w:rsidRPr="00661BD2">
              <w:t>ELECT</w:t>
            </w:r>
          </w:p>
        </w:tc>
        <w:tc>
          <w:tcPr>
            <w:tcW w:w="6605" w:type="dxa"/>
          </w:tcPr>
          <w:p w14:paraId="2AD32CCF" w14:textId="77777777" w:rsidR="00BD27B6" w:rsidRPr="00661BD2" w:rsidRDefault="00BD27B6" w:rsidP="00BD27B6">
            <w:pPr>
              <w:pStyle w:val="TableParagraph"/>
              <w:jc w:val="both"/>
              <w:rPr>
                <w:rFonts w:eastAsia="Calibri" w:cs="Calibri"/>
              </w:rPr>
            </w:pPr>
            <w:r w:rsidRPr="00661BD2">
              <w:t>Australian Electricity Cost</w:t>
            </w:r>
            <w:r w:rsidRPr="00661BD2">
              <w:rPr>
                <w:spacing w:val="-20"/>
              </w:rPr>
              <w:t xml:space="preserve"> </w:t>
            </w:r>
            <w:r w:rsidRPr="00661BD2">
              <w:t>Index</w:t>
            </w:r>
          </w:p>
        </w:tc>
      </w:tr>
      <w:tr w:rsidR="00BD27B6" w:rsidRPr="00661BD2" w14:paraId="5834020E" w14:textId="77777777" w:rsidTr="00CC2ED3">
        <w:trPr>
          <w:trHeight w:hRule="exact" w:val="278"/>
        </w:trPr>
        <w:tc>
          <w:tcPr>
            <w:tcW w:w="2405" w:type="dxa"/>
          </w:tcPr>
          <w:p w14:paraId="562E79A7" w14:textId="77777777" w:rsidR="00BD27B6" w:rsidRPr="00661BD2" w:rsidRDefault="00BD27B6" w:rsidP="00BD27B6">
            <w:pPr>
              <w:pStyle w:val="TableParagraph"/>
              <w:jc w:val="both"/>
              <w:rPr>
                <w:rFonts w:eastAsia="Calibri" w:cs="Calibri"/>
              </w:rPr>
            </w:pPr>
            <w:r w:rsidRPr="00661BD2">
              <w:t>INT</w:t>
            </w:r>
          </w:p>
        </w:tc>
        <w:tc>
          <w:tcPr>
            <w:tcW w:w="6605" w:type="dxa"/>
          </w:tcPr>
          <w:p w14:paraId="4FFDD728" w14:textId="54C8D33F" w:rsidR="00BD27B6" w:rsidRPr="00661BD2" w:rsidRDefault="00BD27B6" w:rsidP="00BD27B6">
            <w:pPr>
              <w:pStyle w:val="TableParagraph"/>
              <w:jc w:val="both"/>
              <w:rPr>
                <w:rFonts w:eastAsia="Calibri" w:cs="Calibri"/>
              </w:rPr>
            </w:pPr>
            <w:r w:rsidRPr="00661BD2">
              <w:t xml:space="preserve">Australian </w:t>
            </w:r>
            <w:r>
              <w:t>I</w:t>
            </w:r>
            <w:r w:rsidRPr="00661BD2">
              <w:t xml:space="preserve">nterest </w:t>
            </w:r>
            <w:r>
              <w:t>R</w:t>
            </w:r>
            <w:r w:rsidRPr="00661BD2">
              <w:t xml:space="preserve">ate, </w:t>
            </w:r>
            <w:proofErr w:type="gramStart"/>
            <w:r w:rsidRPr="00661BD2">
              <w:t>90 day</w:t>
            </w:r>
            <w:proofErr w:type="gramEnd"/>
            <w:r w:rsidRPr="00661BD2">
              <w:t xml:space="preserve"> bank</w:t>
            </w:r>
            <w:r w:rsidRPr="00661BD2">
              <w:rPr>
                <w:spacing w:val="-24"/>
              </w:rPr>
              <w:t xml:space="preserve"> </w:t>
            </w:r>
            <w:r w:rsidRPr="00661BD2">
              <w:t>bills</w:t>
            </w:r>
          </w:p>
        </w:tc>
      </w:tr>
    </w:tbl>
    <w:p w14:paraId="5E3FBBD6" w14:textId="77777777" w:rsidR="004016CA" w:rsidRPr="00D02523" w:rsidRDefault="004016CA" w:rsidP="004016CA">
      <w:pPr>
        <w:pStyle w:val="BodyText"/>
        <w:ind w:left="0"/>
        <w:jc w:val="center"/>
        <w:rPr>
          <w:rFonts w:asciiTheme="minorHAnsi" w:hAnsiTheme="minorHAnsi" w:cs="Calibri"/>
          <w:sz w:val="20"/>
          <w:szCs w:val="20"/>
        </w:rPr>
      </w:pPr>
      <w:r w:rsidRPr="00D02523">
        <w:rPr>
          <w:rFonts w:asciiTheme="minorHAnsi" w:hAnsiTheme="minorHAnsi"/>
          <w:i/>
          <w:sz w:val="20"/>
          <w:szCs w:val="20"/>
        </w:rPr>
        <w:t>Source</w:t>
      </w:r>
      <w:r w:rsidRPr="00D02523">
        <w:rPr>
          <w:rFonts w:asciiTheme="minorHAnsi" w:hAnsiTheme="minorHAnsi"/>
          <w:sz w:val="20"/>
          <w:szCs w:val="20"/>
        </w:rPr>
        <w:t>: taken from previous research (Chung and Griffith,</w:t>
      </w:r>
      <w:r w:rsidRPr="00D02523">
        <w:rPr>
          <w:rFonts w:asciiTheme="minorHAnsi" w:hAnsiTheme="minorHAnsi"/>
          <w:spacing w:val="-1"/>
          <w:sz w:val="20"/>
          <w:szCs w:val="20"/>
        </w:rPr>
        <w:t xml:space="preserve"> </w:t>
      </w:r>
      <w:r w:rsidRPr="00D02523">
        <w:rPr>
          <w:rFonts w:asciiTheme="minorHAnsi" w:hAnsiTheme="minorHAnsi"/>
          <w:sz w:val="20"/>
          <w:szCs w:val="20"/>
        </w:rPr>
        <w:t>2009;</w:t>
      </w:r>
      <w:r w:rsidRPr="00D02523">
        <w:rPr>
          <w:rFonts w:asciiTheme="minorHAnsi" w:hAnsiTheme="minorHAnsi"/>
          <w:w w:val="99"/>
          <w:sz w:val="20"/>
          <w:szCs w:val="20"/>
        </w:rPr>
        <w:t xml:space="preserve"> </w:t>
      </w:r>
      <w:r w:rsidRPr="00D02523">
        <w:rPr>
          <w:rFonts w:asciiTheme="minorHAnsi" w:hAnsiTheme="minorHAnsi"/>
          <w:sz w:val="20"/>
          <w:szCs w:val="20"/>
        </w:rPr>
        <w:t>Griffith, 2000)</w:t>
      </w:r>
    </w:p>
    <w:p w14:paraId="4E15D808" w14:textId="77777777" w:rsidR="004016CA" w:rsidRPr="00661BD2" w:rsidRDefault="004016CA" w:rsidP="004016CA">
      <w:pPr>
        <w:jc w:val="both"/>
        <w:rPr>
          <w:rFonts w:eastAsia="Calibri" w:cs="Calibri"/>
        </w:rPr>
      </w:pPr>
    </w:p>
    <w:p w14:paraId="370D9C33" w14:textId="77777777" w:rsidR="004016CA" w:rsidRPr="00661BD2" w:rsidRDefault="004016CA" w:rsidP="004016CA">
      <w:pPr>
        <w:jc w:val="both"/>
        <w:rPr>
          <w:rFonts w:eastAsia="Calibri" w:cs="Calibri"/>
        </w:rPr>
      </w:pPr>
    </w:p>
    <w:p w14:paraId="202E1C95" w14:textId="77777777" w:rsidR="004016CA" w:rsidRPr="00661BD2" w:rsidRDefault="004016CA" w:rsidP="004016CA">
      <w:pPr>
        <w:jc w:val="both"/>
        <w:rPr>
          <w:rFonts w:eastAsia="Calibri" w:cs="Calibri"/>
        </w:rPr>
      </w:pPr>
    </w:p>
    <w:p w14:paraId="240B419E" w14:textId="77777777" w:rsidR="004016CA" w:rsidRDefault="004016CA" w:rsidP="004016CA">
      <w:r>
        <w:br w:type="page"/>
      </w:r>
    </w:p>
    <w:p w14:paraId="5EE11ACC" w14:textId="77777777" w:rsidR="004016CA" w:rsidRDefault="004016CA" w:rsidP="004016CA">
      <w:pPr>
        <w:sectPr w:rsidR="004016CA" w:rsidSect="00D34327">
          <w:headerReference w:type="default" r:id="rId28"/>
          <w:pgSz w:w="11900" w:h="16840" w:code="9"/>
          <w:pgMar w:top="1440" w:right="1440" w:bottom="1440" w:left="1440" w:header="680" w:footer="680" w:gutter="0"/>
          <w:cols w:space="720"/>
          <w:docGrid w:linePitch="299"/>
        </w:sectPr>
      </w:pPr>
    </w:p>
    <w:p w14:paraId="7CCDDA20" w14:textId="2389AF4F" w:rsidR="004016CA" w:rsidRPr="00183A5F" w:rsidRDefault="004016CA" w:rsidP="004016CA">
      <w:pPr>
        <w:jc w:val="center"/>
        <w:rPr>
          <w:b/>
        </w:rPr>
      </w:pPr>
      <w:r w:rsidRPr="00183A5F">
        <w:rPr>
          <w:b/>
        </w:rPr>
        <w:lastRenderedPageBreak/>
        <w:t xml:space="preserve">Appendix </w:t>
      </w:r>
      <w:r>
        <w:rPr>
          <w:b/>
        </w:rPr>
        <w:t>Table 2</w:t>
      </w:r>
      <w:r w:rsidRPr="00183A5F">
        <w:rPr>
          <w:b/>
        </w:rPr>
        <w:t xml:space="preserve">. OLSQ and AR1 estimates of the </w:t>
      </w:r>
      <w:r w:rsidR="005413C1">
        <w:rPr>
          <w:b/>
        </w:rPr>
        <w:t xml:space="preserve">real domestic </w:t>
      </w:r>
      <w:r w:rsidRPr="00183A5F">
        <w:rPr>
          <w:b/>
        </w:rPr>
        <w:t>beef, lamb</w:t>
      </w:r>
      <w:r w:rsidR="006A0442">
        <w:rPr>
          <w:b/>
        </w:rPr>
        <w:t xml:space="preserve">, </w:t>
      </w:r>
      <w:r w:rsidRPr="00183A5F">
        <w:rPr>
          <w:b/>
        </w:rPr>
        <w:t xml:space="preserve">pork </w:t>
      </w:r>
      <w:r w:rsidR="006A0442">
        <w:rPr>
          <w:b/>
        </w:rPr>
        <w:t xml:space="preserve">and chicken </w:t>
      </w:r>
      <w:r w:rsidRPr="00183A5F">
        <w:rPr>
          <w:b/>
        </w:rPr>
        <w:t>margin equations, 197</w:t>
      </w:r>
      <w:r w:rsidR="0067047E">
        <w:rPr>
          <w:b/>
        </w:rPr>
        <w:t>6</w:t>
      </w:r>
      <w:r w:rsidRPr="00183A5F">
        <w:rPr>
          <w:b/>
        </w:rPr>
        <w:t>-20</w:t>
      </w:r>
      <w:r w:rsidR="00E24B21">
        <w:rPr>
          <w:b/>
        </w:rPr>
        <w:t>21</w:t>
      </w:r>
    </w:p>
    <w:p w14:paraId="0035EB8D" w14:textId="77777777" w:rsidR="004016CA" w:rsidRDefault="004016CA" w:rsidP="004016CA"/>
    <w:tbl>
      <w:tblPr>
        <w:tblW w:w="8682" w:type="dxa"/>
        <w:jc w:val="center"/>
        <w:tblBorders>
          <w:top w:val="single" w:sz="4" w:space="0" w:color="BFBFBF"/>
          <w:bottom w:val="single" w:sz="4" w:space="0" w:color="BFBFBF"/>
          <w:insideH w:val="single" w:sz="4" w:space="0" w:color="BFBFBF"/>
        </w:tblBorders>
        <w:tblLayout w:type="fixed"/>
        <w:tblCellMar>
          <w:left w:w="0" w:type="dxa"/>
          <w:right w:w="0" w:type="dxa"/>
        </w:tblCellMar>
        <w:tblLook w:val="01E0" w:firstRow="1" w:lastRow="1" w:firstColumn="1" w:lastColumn="1" w:noHBand="0" w:noVBand="0"/>
      </w:tblPr>
      <w:tblGrid>
        <w:gridCol w:w="1170"/>
        <w:gridCol w:w="1134"/>
        <w:gridCol w:w="992"/>
        <w:gridCol w:w="1134"/>
        <w:gridCol w:w="1134"/>
        <w:gridCol w:w="992"/>
        <w:gridCol w:w="1134"/>
        <w:gridCol w:w="992"/>
      </w:tblGrid>
      <w:tr w:rsidR="004016CA" w:rsidRPr="00CC2ED3" w14:paraId="0CBB44A6" w14:textId="77777777" w:rsidTr="00D34327">
        <w:trPr>
          <w:trHeight w:hRule="exact" w:val="268"/>
          <w:jc w:val="center"/>
        </w:trPr>
        <w:tc>
          <w:tcPr>
            <w:tcW w:w="1170" w:type="dxa"/>
          </w:tcPr>
          <w:p w14:paraId="2F9A1F52" w14:textId="77777777" w:rsidR="004016CA" w:rsidRPr="00CC2ED3" w:rsidRDefault="004016CA" w:rsidP="00DC4418">
            <w:pPr>
              <w:pStyle w:val="TableParagraph"/>
              <w:jc w:val="right"/>
              <w:rPr>
                <w:rFonts w:eastAsia="Calibri" w:cs="Calibri"/>
                <w:sz w:val="20"/>
                <w:szCs w:val="20"/>
              </w:rPr>
            </w:pPr>
            <w:r w:rsidRPr="00CC2ED3">
              <w:rPr>
                <w:b/>
                <w:sz w:val="20"/>
                <w:szCs w:val="20"/>
              </w:rPr>
              <w:t>Constant</w:t>
            </w:r>
          </w:p>
        </w:tc>
        <w:tc>
          <w:tcPr>
            <w:tcW w:w="1134" w:type="dxa"/>
          </w:tcPr>
          <w:p w14:paraId="46B04EE1" w14:textId="77777777" w:rsidR="004016CA" w:rsidRPr="00CC2ED3" w:rsidRDefault="004016CA" w:rsidP="00DC4418">
            <w:pPr>
              <w:pStyle w:val="TableParagraph"/>
              <w:jc w:val="right"/>
              <w:rPr>
                <w:rFonts w:eastAsia="Calibri" w:cs="Calibri"/>
                <w:sz w:val="20"/>
                <w:szCs w:val="20"/>
              </w:rPr>
            </w:pPr>
            <w:r w:rsidRPr="00CC2ED3">
              <w:rPr>
                <w:b/>
                <w:sz w:val="20"/>
                <w:szCs w:val="20"/>
              </w:rPr>
              <w:t>COSTIND</w:t>
            </w:r>
          </w:p>
        </w:tc>
        <w:tc>
          <w:tcPr>
            <w:tcW w:w="992" w:type="dxa"/>
          </w:tcPr>
          <w:p w14:paraId="74CED78A" w14:textId="77777777" w:rsidR="004016CA" w:rsidRPr="00CC2ED3" w:rsidRDefault="004016CA" w:rsidP="00DC4418">
            <w:pPr>
              <w:pStyle w:val="TableParagraph"/>
              <w:jc w:val="right"/>
              <w:rPr>
                <w:rFonts w:eastAsia="Calibri" w:cs="Calibri"/>
                <w:sz w:val="20"/>
                <w:szCs w:val="20"/>
              </w:rPr>
            </w:pPr>
            <w:r w:rsidRPr="00CC2ED3">
              <w:rPr>
                <w:b/>
                <w:sz w:val="20"/>
                <w:szCs w:val="20"/>
              </w:rPr>
              <w:t>DMBF</w:t>
            </w:r>
          </w:p>
        </w:tc>
        <w:tc>
          <w:tcPr>
            <w:tcW w:w="1134" w:type="dxa"/>
          </w:tcPr>
          <w:p w14:paraId="3E2FC61D" w14:textId="77777777" w:rsidR="004016CA" w:rsidRPr="00CC2ED3" w:rsidRDefault="004016CA" w:rsidP="00DC4418">
            <w:pPr>
              <w:pStyle w:val="TableParagraph"/>
              <w:jc w:val="right"/>
              <w:rPr>
                <w:rFonts w:eastAsia="Calibri" w:cs="Calibri"/>
                <w:sz w:val="20"/>
                <w:szCs w:val="20"/>
              </w:rPr>
            </w:pPr>
            <w:proofErr w:type="spellStart"/>
            <w:r w:rsidRPr="00CC2ED3">
              <w:rPr>
                <w:b/>
                <w:sz w:val="20"/>
                <w:szCs w:val="20"/>
              </w:rPr>
              <w:t>DMBFi</w:t>
            </w:r>
            <w:proofErr w:type="spellEnd"/>
          </w:p>
        </w:tc>
        <w:tc>
          <w:tcPr>
            <w:tcW w:w="1134" w:type="dxa"/>
          </w:tcPr>
          <w:p w14:paraId="49D01F7A" w14:textId="77777777" w:rsidR="004016CA" w:rsidRPr="00CC2ED3" w:rsidRDefault="004016CA" w:rsidP="00DC4418">
            <w:pPr>
              <w:pStyle w:val="TableParagraph"/>
              <w:jc w:val="right"/>
              <w:rPr>
                <w:rFonts w:eastAsia="Calibri" w:cs="Calibri"/>
                <w:sz w:val="20"/>
                <w:szCs w:val="20"/>
              </w:rPr>
            </w:pPr>
            <w:r w:rsidRPr="00CC2ED3">
              <w:rPr>
                <w:b/>
                <w:sz w:val="20"/>
                <w:szCs w:val="20"/>
              </w:rPr>
              <w:t>TIME</w:t>
            </w:r>
          </w:p>
        </w:tc>
        <w:tc>
          <w:tcPr>
            <w:tcW w:w="992" w:type="dxa"/>
          </w:tcPr>
          <w:p w14:paraId="50545619" w14:textId="77777777" w:rsidR="004016CA" w:rsidRPr="00CC2ED3" w:rsidRDefault="004016CA" w:rsidP="00DC4418">
            <w:pPr>
              <w:pStyle w:val="TableParagraph"/>
              <w:jc w:val="right"/>
              <w:rPr>
                <w:rFonts w:eastAsia="Calibri" w:cs="Calibri"/>
                <w:sz w:val="20"/>
                <w:szCs w:val="20"/>
              </w:rPr>
            </w:pPr>
            <w:r w:rsidRPr="00CC2ED3">
              <w:rPr>
                <w:b/>
                <w:sz w:val="20"/>
                <w:szCs w:val="20"/>
              </w:rPr>
              <w:t>RHO</w:t>
            </w:r>
          </w:p>
        </w:tc>
        <w:tc>
          <w:tcPr>
            <w:tcW w:w="1134" w:type="dxa"/>
          </w:tcPr>
          <w:p w14:paraId="4E77E18F" w14:textId="77777777" w:rsidR="004016CA" w:rsidRPr="00CC2ED3" w:rsidRDefault="004016CA" w:rsidP="00DC4418">
            <w:pPr>
              <w:pStyle w:val="TableParagraph"/>
              <w:jc w:val="right"/>
              <w:rPr>
                <w:rFonts w:eastAsia="Calibri" w:cs="Calibri"/>
                <w:sz w:val="20"/>
                <w:szCs w:val="20"/>
              </w:rPr>
            </w:pPr>
            <w:r w:rsidRPr="00CC2ED3">
              <w:rPr>
                <w:b/>
                <w:sz w:val="20"/>
                <w:szCs w:val="20"/>
              </w:rPr>
              <w:t>R</w:t>
            </w:r>
            <w:r w:rsidRPr="00CC2ED3">
              <w:rPr>
                <w:b/>
                <w:sz w:val="20"/>
                <w:szCs w:val="20"/>
                <w:vertAlign w:val="superscript"/>
              </w:rPr>
              <w:t>2</w:t>
            </w:r>
          </w:p>
        </w:tc>
        <w:tc>
          <w:tcPr>
            <w:tcW w:w="992" w:type="dxa"/>
          </w:tcPr>
          <w:p w14:paraId="68151B0A" w14:textId="77777777" w:rsidR="004016CA" w:rsidRPr="00CC2ED3" w:rsidRDefault="004016CA" w:rsidP="00DC4418">
            <w:pPr>
              <w:pStyle w:val="TableParagraph"/>
              <w:jc w:val="right"/>
              <w:rPr>
                <w:rFonts w:eastAsia="Calibri" w:cs="Calibri"/>
                <w:sz w:val="20"/>
                <w:szCs w:val="20"/>
              </w:rPr>
            </w:pPr>
            <w:r w:rsidRPr="00CC2ED3">
              <w:rPr>
                <w:b/>
                <w:sz w:val="20"/>
                <w:szCs w:val="20"/>
              </w:rPr>
              <w:t>DW</w:t>
            </w:r>
          </w:p>
        </w:tc>
      </w:tr>
      <w:tr w:rsidR="004016CA" w:rsidRPr="0069707D" w14:paraId="39504284" w14:textId="77777777" w:rsidTr="00D34327">
        <w:trPr>
          <w:trHeight w:hRule="exact" w:val="268"/>
          <w:jc w:val="center"/>
        </w:trPr>
        <w:tc>
          <w:tcPr>
            <w:tcW w:w="1170" w:type="dxa"/>
            <w:shd w:val="clear" w:color="auto" w:fill="F2F2F2"/>
          </w:tcPr>
          <w:p w14:paraId="07454B02" w14:textId="6812EF90" w:rsidR="004016CA" w:rsidRPr="00CC2ED3" w:rsidRDefault="006A0442" w:rsidP="00DC4418">
            <w:pPr>
              <w:pStyle w:val="TableParagraph"/>
              <w:jc w:val="right"/>
              <w:rPr>
                <w:rFonts w:eastAsia="Calibri" w:cs="Calibri"/>
                <w:sz w:val="20"/>
                <w:szCs w:val="20"/>
              </w:rPr>
            </w:pPr>
            <w:r>
              <w:rPr>
                <w:sz w:val="20"/>
                <w:szCs w:val="20"/>
              </w:rPr>
              <w:t>133.11</w:t>
            </w:r>
          </w:p>
        </w:tc>
        <w:tc>
          <w:tcPr>
            <w:tcW w:w="1134" w:type="dxa"/>
            <w:shd w:val="clear" w:color="auto" w:fill="F2F2F2"/>
          </w:tcPr>
          <w:p w14:paraId="085B2FC5" w14:textId="29E8A182" w:rsidR="004016CA" w:rsidRPr="00CC2ED3" w:rsidRDefault="006A0442" w:rsidP="00DC4418">
            <w:pPr>
              <w:pStyle w:val="TableParagraph"/>
              <w:jc w:val="right"/>
              <w:rPr>
                <w:rFonts w:eastAsia="Calibri" w:cs="Calibri"/>
                <w:sz w:val="20"/>
                <w:szCs w:val="20"/>
              </w:rPr>
            </w:pPr>
            <w:r>
              <w:rPr>
                <w:sz w:val="20"/>
                <w:szCs w:val="20"/>
              </w:rPr>
              <w:t>4.638</w:t>
            </w:r>
          </w:p>
        </w:tc>
        <w:tc>
          <w:tcPr>
            <w:tcW w:w="992" w:type="dxa"/>
            <w:shd w:val="clear" w:color="auto" w:fill="F2F2F2"/>
          </w:tcPr>
          <w:p w14:paraId="2D445A34" w14:textId="380CDD93" w:rsidR="004016CA" w:rsidRPr="00CC2ED3" w:rsidRDefault="006A0442" w:rsidP="00DC4418">
            <w:pPr>
              <w:pStyle w:val="TableParagraph"/>
              <w:jc w:val="right"/>
              <w:rPr>
                <w:rFonts w:eastAsia="Calibri" w:cs="Calibri"/>
                <w:sz w:val="20"/>
                <w:szCs w:val="20"/>
              </w:rPr>
            </w:pPr>
            <w:r>
              <w:rPr>
                <w:sz w:val="20"/>
                <w:szCs w:val="20"/>
              </w:rPr>
              <w:t>-</w:t>
            </w:r>
            <w:r w:rsidR="004016CA" w:rsidRPr="00CC2ED3">
              <w:rPr>
                <w:sz w:val="20"/>
                <w:szCs w:val="20"/>
              </w:rPr>
              <w:t>0.1</w:t>
            </w:r>
            <w:r>
              <w:rPr>
                <w:sz w:val="20"/>
                <w:szCs w:val="20"/>
              </w:rPr>
              <w:t>13</w:t>
            </w:r>
          </w:p>
        </w:tc>
        <w:tc>
          <w:tcPr>
            <w:tcW w:w="1134" w:type="dxa"/>
            <w:shd w:val="clear" w:color="auto" w:fill="F2F2F2"/>
          </w:tcPr>
          <w:p w14:paraId="32455B3A" w14:textId="179A6F9D" w:rsidR="004016CA" w:rsidRPr="00CC2ED3" w:rsidRDefault="006A0442" w:rsidP="00DC4418">
            <w:pPr>
              <w:pStyle w:val="TableParagraph"/>
              <w:jc w:val="right"/>
              <w:rPr>
                <w:rFonts w:eastAsia="Calibri" w:cs="Calibri"/>
                <w:sz w:val="20"/>
                <w:szCs w:val="20"/>
              </w:rPr>
            </w:pPr>
            <w:r>
              <w:rPr>
                <w:sz w:val="20"/>
                <w:szCs w:val="20"/>
              </w:rPr>
              <w:t>5.853</w:t>
            </w:r>
          </w:p>
        </w:tc>
        <w:tc>
          <w:tcPr>
            <w:tcW w:w="1134" w:type="dxa"/>
            <w:shd w:val="clear" w:color="auto" w:fill="F2F2F2"/>
          </w:tcPr>
          <w:p w14:paraId="29C98DD9" w14:textId="6A65BA4B" w:rsidR="004016CA" w:rsidRPr="00CC2ED3" w:rsidRDefault="006A0442" w:rsidP="00DC4418">
            <w:pPr>
              <w:pStyle w:val="TableParagraph"/>
              <w:jc w:val="right"/>
              <w:rPr>
                <w:rFonts w:eastAsia="Calibri" w:cs="Calibri"/>
                <w:sz w:val="20"/>
                <w:szCs w:val="20"/>
              </w:rPr>
            </w:pPr>
            <w:r>
              <w:rPr>
                <w:sz w:val="20"/>
                <w:szCs w:val="20"/>
              </w:rPr>
              <w:t>5.936</w:t>
            </w:r>
          </w:p>
        </w:tc>
        <w:tc>
          <w:tcPr>
            <w:tcW w:w="992" w:type="dxa"/>
            <w:shd w:val="clear" w:color="auto" w:fill="F2F2F2"/>
          </w:tcPr>
          <w:p w14:paraId="34538624" w14:textId="77777777" w:rsidR="004016CA" w:rsidRPr="00CC2ED3" w:rsidRDefault="004016CA" w:rsidP="00DC4418">
            <w:pPr>
              <w:pStyle w:val="TableParagraph"/>
              <w:jc w:val="right"/>
              <w:rPr>
                <w:rFonts w:eastAsia="Calibri" w:cs="Calibri"/>
                <w:sz w:val="20"/>
                <w:szCs w:val="20"/>
              </w:rPr>
            </w:pPr>
            <w:r w:rsidRPr="00CC2ED3">
              <w:rPr>
                <w:sz w:val="20"/>
                <w:szCs w:val="20"/>
              </w:rPr>
              <w:t>-</w:t>
            </w:r>
          </w:p>
        </w:tc>
        <w:tc>
          <w:tcPr>
            <w:tcW w:w="1134" w:type="dxa"/>
            <w:shd w:val="clear" w:color="auto" w:fill="F2F2F2"/>
          </w:tcPr>
          <w:p w14:paraId="034DD16C" w14:textId="72317A06" w:rsidR="004016CA" w:rsidRPr="00CC2ED3" w:rsidRDefault="004016CA" w:rsidP="00DC4418">
            <w:pPr>
              <w:pStyle w:val="TableParagraph"/>
              <w:jc w:val="right"/>
              <w:rPr>
                <w:rFonts w:eastAsia="Calibri" w:cs="Calibri"/>
                <w:sz w:val="20"/>
                <w:szCs w:val="20"/>
              </w:rPr>
            </w:pPr>
            <w:r w:rsidRPr="00CC2ED3">
              <w:rPr>
                <w:sz w:val="20"/>
                <w:szCs w:val="20"/>
              </w:rPr>
              <w:t>0.</w:t>
            </w:r>
            <w:r w:rsidR="006A0442">
              <w:rPr>
                <w:sz w:val="20"/>
                <w:szCs w:val="20"/>
              </w:rPr>
              <w:t>98</w:t>
            </w:r>
          </w:p>
        </w:tc>
        <w:tc>
          <w:tcPr>
            <w:tcW w:w="992" w:type="dxa"/>
            <w:shd w:val="clear" w:color="auto" w:fill="F2F2F2"/>
          </w:tcPr>
          <w:p w14:paraId="5B67D481" w14:textId="4AC48433" w:rsidR="004016CA" w:rsidRPr="00A976EA" w:rsidRDefault="006A0442" w:rsidP="00DC4418">
            <w:pPr>
              <w:pStyle w:val="TableParagraph"/>
              <w:jc w:val="right"/>
              <w:rPr>
                <w:rFonts w:eastAsia="Calibri" w:cs="Calibri"/>
                <w:sz w:val="20"/>
                <w:szCs w:val="20"/>
              </w:rPr>
            </w:pPr>
            <w:r w:rsidRPr="00A976EA">
              <w:rPr>
                <w:sz w:val="20"/>
                <w:szCs w:val="20"/>
              </w:rPr>
              <w:t>1.04</w:t>
            </w:r>
          </w:p>
        </w:tc>
      </w:tr>
      <w:tr w:rsidR="004016CA" w:rsidRPr="00CC2ED3" w14:paraId="56B4D2A0" w14:textId="77777777" w:rsidTr="00D34327">
        <w:trPr>
          <w:trHeight w:hRule="exact" w:val="268"/>
          <w:jc w:val="center"/>
        </w:trPr>
        <w:tc>
          <w:tcPr>
            <w:tcW w:w="1170" w:type="dxa"/>
          </w:tcPr>
          <w:p w14:paraId="571490C7" w14:textId="7E6FA11C" w:rsidR="004016CA" w:rsidRPr="00CC2ED3" w:rsidRDefault="004016CA" w:rsidP="00DC4418">
            <w:pPr>
              <w:pStyle w:val="TableParagraph"/>
              <w:jc w:val="right"/>
              <w:rPr>
                <w:rFonts w:eastAsia="Calibri" w:cs="Calibri"/>
                <w:sz w:val="20"/>
                <w:szCs w:val="20"/>
              </w:rPr>
            </w:pPr>
            <w:r w:rsidRPr="00CC2ED3">
              <w:rPr>
                <w:sz w:val="20"/>
                <w:szCs w:val="20"/>
              </w:rPr>
              <w:t>(</w:t>
            </w:r>
            <w:r w:rsidR="006A0442">
              <w:rPr>
                <w:sz w:val="20"/>
                <w:szCs w:val="20"/>
              </w:rPr>
              <w:t>2.66</w:t>
            </w:r>
            <w:r w:rsidRPr="00CC2ED3">
              <w:rPr>
                <w:sz w:val="20"/>
                <w:szCs w:val="20"/>
              </w:rPr>
              <w:t>)</w:t>
            </w:r>
          </w:p>
        </w:tc>
        <w:tc>
          <w:tcPr>
            <w:tcW w:w="1134" w:type="dxa"/>
          </w:tcPr>
          <w:p w14:paraId="4B02FF6E" w14:textId="145E67D1" w:rsidR="004016CA" w:rsidRPr="00CC2ED3" w:rsidRDefault="004016CA" w:rsidP="00DC4418">
            <w:pPr>
              <w:pStyle w:val="TableParagraph"/>
              <w:jc w:val="right"/>
              <w:rPr>
                <w:rFonts w:eastAsia="Calibri" w:cs="Calibri"/>
                <w:sz w:val="20"/>
                <w:szCs w:val="20"/>
              </w:rPr>
            </w:pPr>
            <w:r w:rsidRPr="00CC2ED3">
              <w:rPr>
                <w:sz w:val="20"/>
                <w:szCs w:val="20"/>
              </w:rPr>
              <w:t>(</w:t>
            </w:r>
            <w:r w:rsidR="006A0442">
              <w:rPr>
                <w:sz w:val="20"/>
                <w:szCs w:val="20"/>
              </w:rPr>
              <w:t>6.56</w:t>
            </w:r>
            <w:r w:rsidRPr="00CC2ED3">
              <w:rPr>
                <w:sz w:val="20"/>
                <w:szCs w:val="20"/>
              </w:rPr>
              <w:t>)</w:t>
            </w:r>
          </w:p>
        </w:tc>
        <w:tc>
          <w:tcPr>
            <w:tcW w:w="992" w:type="dxa"/>
          </w:tcPr>
          <w:p w14:paraId="4D0DF055" w14:textId="3F6F4436" w:rsidR="004016CA" w:rsidRPr="00CC2ED3" w:rsidRDefault="004016CA" w:rsidP="00DC4418">
            <w:pPr>
              <w:pStyle w:val="TableParagraph"/>
              <w:jc w:val="right"/>
              <w:rPr>
                <w:rFonts w:eastAsia="Calibri" w:cs="Calibri"/>
                <w:sz w:val="20"/>
                <w:szCs w:val="20"/>
              </w:rPr>
            </w:pPr>
            <w:r w:rsidRPr="00CC2ED3">
              <w:rPr>
                <w:sz w:val="20"/>
                <w:szCs w:val="20"/>
              </w:rPr>
              <w:t>(</w:t>
            </w:r>
            <w:r w:rsidR="006A0442">
              <w:rPr>
                <w:sz w:val="20"/>
                <w:szCs w:val="20"/>
              </w:rPr>
              <w:t>-</w:t>
            </w:r>
            <w:r w:rsidRPr="00CC2ED3">
              <w:rPr>
                <w:sz w:val="20"/>
                <w:szCs w:val="20"/>
              </w:rPr>
              <w:t>0.</w:t>
            </w:r>
            <w:r w:rsidR="006A0442">
              <w:rPr>
                <w:sz w:val="20"/>
                <w:szCs w:val="20"/>
              </w:rPr>
              <w:t>33</w:t>
            </w:r>
            <w:r w:rsidRPr="00CC2ED3">
              <w:rPr>
                <w:sz w:val="20"/>
                <w:szCs w:val="20"/>
              </w:rPr>
              <w:t>)</w:t>
            </w:r>
          </w:p>
        </w:tc>
        <w:tc>
          <w:tcPr>
            <w:tcW w:w="1134" w:type="dxa"/>
          </w:tcPr>
          <w:p w14:paraId="2AC9D0C3" w14:textId="4B10989C" w:rsidR="004016CA" w:rsidRPr="00CC2ED3" w:rsidRDefault="004016CA" w:rsidP="00DC4418">
            <w:pPr>
              <w:pStyle w:val="TableParagraph"/>
              <w:jc w:val="right"/>
              <w:rPr>
                <w:rFonts w:eastAsia="Calibri" w:cs="Calibri"/>
                <w:sz w:val="20"/>
                <w:szCs w:val="20"/>
              </w:rPr>
            </w:pPr>
            <w:r w:rsidRPr="00CC2ED3">
              <w:rPr>
                <w:sz w:val="20"/>
                <w:szCs w:val="20"/>
              </w:rPr>
              <w:t>(</w:t>
            </w:r>
            <w:r w:rsidR="006A0442">
              <w:rPr>
                <w:sz w:val="20"/>
                <w:szCs w:val="20"/>
              </w:rPr>
              <w:t>0.17</w:t>
            </w:r>
            <w:r w:rsidRPr="00CC2ED3">
              <w:rPr>
                <w:sz w:val="20"/>
                <w:szCs w:val="20"/>
              </w:rPr>
              <w:t>)</w:t>
            </w:r>
          </w:p>
        </w:tc>
        <w:tc>
          <w:tcPr>
            <w:tcW w:w="1134" w:type="dxa"/>
          </w:tcPr>
          <w:p w14:paraId="1B5A8130" w14:textId="5F6A069D" w:rsidR="004016CA" w:rsidRPr="00CC2ED3" w:rsidRDefault="004016CA" w:rsidP="00DC4418">
            <w:pPr>
              <w:pStyle w:val="TableParagraph"/>
              <w:jc w:val="right"/>
              <w:rPr>
                <w:rFonts w:eastAsia="Calibri" w:cs="Calibri"/>
                <w:sz w:val="20"/>
                <w:szCs w:val="20"/>
              </w:rPr>
            </w:pPr>
            <w:r w:rsidRPr="00CC2ED3">
              <w:rPr>
                <w:sz w:val="20"/>
                <w:szCs w:val="20"/>
              </w:rPr>
              <w:t>(</w:t>
            </w:r>
            <w:r w:rsidR="006A0442">
              <w:rPr>
                <w:sz w:val="20"/>
                <w:szCs w:val="20"/>
              </w:rPr>
              <w:t>6.52</w:t>
            </w:r>
            <w:r w:rsidRPr="00CC2ED3">
              <w:rPr>
                <w:sz w:val="20"/>
                <w:szCs w:val="20"/>
              </w:rPr>
              <w:t>)</w:t>
            </w:r>
          </w:p>
        </w:tc>
        <w:tc>
          <w:tcPr>
            <w:tcW w:w="992" w:type="dxa"/>
          </w:tcPr>
          <w:p w14:paraId="7A1AD8B0" w14:textId="77777777" w:rsidR="004016CA" w:rsidRPr="00CC2ED3" w:rsidRDefault="004016CA" w:rsidP="00DC4418">
            <w:pPr>
              <w:jc w:val="right"/>
              <w:rPr>
                <w:sz w:val="20"/>
                <w:szCs w:val="20"/>
              </w:rPr>
            </w:pPr>
          </w:p>
        </w:tc>
        <w:tc>
          <w:tcPr>
            <w:tcW w:w="1134" w:type="dxa"/>
          </w:tcPr>
          <w:p w14:paraId="72F7D85D" w14:textId="77777777" w:rsidR="004016CA" w:rsidRPr="00CC2ED3" w:rsidRDefault="004016CA" w:rsidP="00DC4418">
            <w:pPr>
              <w:jc w:val="right"/>
              <w:rPr>
                <w:sz w:val="20"/>
                <w:szCs w:val="20"/>
              </w:rPr>
            </w:pPr>
          </w:p>
        </w:tc>
        <w:tc>
          <w:tcPr>
            <w:tcW w:w="992" w:type="dxa"/>
          </w:tcPr>
          <w:p w14:paraId="29344E83" w14:textId="77777777" w:rsidR="004016CA" w:rsidRPr="00A976EA" w:rsidRDefault="004016CA" w:rsidP="00DC4418">
            <w:pPr>
              <w:jc w:val="right"/>
              <w:rPr>
                <w:sz w:val="20"/>
                <w:szCs w:val="20"/>
              </w:rPr>
            </w:pPr>
          </w:p>
        </w:tc>
      </w:tr>
      <w:tr w:rsidR="004016CA" w:rsidRPr="0069707D" w14:paraId="29CD6F26" w14:textId="77777777" w:rsidTr="00D34327">
        <w:trPr>
          <w:trHeight w:hRule="exact" w:val="268"/>
          <w:jc w:val="center"/>
        </w:trPr>
        <w:tc>
          <w:tcPr>
            <w:tcW w:w="1170" w:type="dxa"/>
            <w:shd w:val="clear" w:color="auto" w:fill="F2F2F2"/>
          </w:tcPr>
          <w:p w14:paraId="72013890" w14:textId="694C2A59" w:rsidR="004016CA" w:rsidRPr="00CC2ED3" w:rsidRDefault="006A0442" w:rsidP="00DC4418">
            <w:pPr>
              <w:pStyle w:val="TableParagraph"/>
              <w:jc w:val="right"/>
              <w:rPr>
                <w:rFonts w:eastAsia="Calibri" w:cs="Calibri"/>
                <w:sz w:val="20"/>
                <w:szCs w:val="20"/>
              </w:rPr>
            </w:pPr>
            <w:r>
              <w:rPr>
                <w:sz w:val="20"/>
                <w:szCs w:val="20"/>
              </w:rPr>
              <w:t>142.49</w:t>
            </w:r>
          </w:p>
        </w:tc>
        <w:tc>
          <w:tcPr>
            <w:tcW w:w="1134" w:type="dxa"/>
            <w:shd w:val="clear" w:color="auto" w:fill="F2F2F2"/>
          </w:tcPr>
          <w:p w14:paraId="33E3D07E" w14:textId="104BCD0A" w:rsidR="004016CA" w:rsidRPr="00CC2ED3" w:rsidRDefault="006A0442" w:rsidP="00DC4418">
            <w:pPr>
              <w:pStyle w:val="TableParagraph"/>
              <w:jc w:val="right"/>
              <w:rPr>
                <w:rFonts w:eastAsia="Calibri" w:cs="Calibri"/>
                <w:sz w:val="20"/>
                <w:szCs w:val="20"/>
              </w:rPr>
            </w:pPr>
            <w:r>
              <w:rPr>
                <w:sz w:val="20"/>
                <w:szCs w:val="20"/>
              </w:rPr>
              <w:t>5.118</w:t>
            </w:r>
          </w:p>
        </w:tc>
        <w:tc>
          <w:tcPr>
            <w:tcW w:w="992" w:type="dxa"/>
            <w:shd w:val="clear" w:color="auto" w:fill="F2F2F2"/>
          </w:tcPr>
          <w:p w14:paraId="45C24611" w14:textId="43A79FDD" w:rsidR="004016CA" w:rsidRPr="00CC2ED3" w:rsidRDefault="004016CA" w:rsidP="00DC4418">
            <w:pPr>
              <w:pStyle w:val="TableParagraph"/>
              <w:jc w:val="right"/>
              <w:rPr>
                <w:rFonts w:eastAsia="Calibri" w:cs="Calibri"/>
                <w:sz w:val="20"/>
                <w:szCs w:val="20"/>
              </w:rPr>
            </w:pPr>
            <w:r w:rsidRPr="00CC2ED3">
              <w:rPr>
                <w:sz w:val="20"/>
                <w:szCs w:val="20"/>
              </w:rPr>
              <w:t>-0.</w:t>
            </w:r>
            <w:r w:rsidR="006A0442">
              <w:rPr>
                <w:sz w:val="20"/>
                <w:szCs w:val="20"/>
              </w:rPr>
              <w:t>337</w:t>
            </w:r>
          </w:p>
        </w:tc>
        <w:tc>
          <w:tcPr>
            <w:tcW w:w="1134" w:type="dxa"/>
            <w:shd w:val="clear" w:color="auto" w:fill="F2F2F2"/>
          </w:tcPr>
          <w:p w14:paraId="4906E147" w14:textId="5E822342" w:rsidR="004016CA" w:rsidRPr="00CC2ED3" w:rsidRDefault="006A0442" w:rsidP="00DC4418">
            <w:pPr>
              <w:pStyle w:val="TableParagraph"/>
              <w:jc w:val="right"/>
              <w:rPr>
                <w:rFonts w:eastAsia="Calibri" w:cs="Calibri"/>
                <w:sz w:val="20"/>
                <w:szCs w:val="20"/>
              </w:rPr>
            </w:pPr>
            <w:r>
              <w:rPr>
                <w:sz w:val="20"/>
                <w:szCs w:val="20"/>
              </w:rPr>
              <w:t>1</w:t>
            </w:r>
            <w:r w:rsidR="004016CA" w:rsidRPr="00CC2ED3">
              <w:rPr>
                <w:sz w:val="20"/>
                <w:szCs w:val="20"/>
              </w:rPr>
              <w:t>7.</w:t>
            </w:r>
            <w:r>
              <w:rPr>
                <w:sz w:val="20"/>
                <w:szCs w:val="20"/>
              </w:rPr>
              <w:t>925</w:t>
            </w:r>
          </w:p>
        </w:tc>
        <w:tc>
          <w:tcPr>
            <w:tcW w:w="1134" w:type="dxa"/>
            <w:shd w:val="clear" w:color="auto" w:fill="F2F2F2"/>
          </w:tcPr>
          <w:p w14:paraId="27FD383C" w14:textId="72A142CA" w:rsidR="004016CA" w:rsidRPr="00CC2ED3" w:rsidRDefault="006A0442" w:rsidP="00DC4418">
            <w:pPr>
              <w:pStyle w:val="TableParagraph"/>
              <w:jc w:val="right"/>
              <w:rPr>
                <w:rFonts w:eastAsia="Calibri" w:cs="Calibri"/>
                <w:sz w:val="20"/>
                <w:szCs w:val="20"/>
              </w:rPr>
            </w:pPr>
            <w:r>
              <w:rPr>
                <w:sz w:val="20"/>
                <w:szCs w:val="20"/>
              </w:rPr>
              <w:t>6.494</w:t>
            </w:r>
          </w:p>
        </w:tc>
        <w:tc>
          <w:tcPr>
            <w:tcW w:w="992" w:type="dxa"/>
            <w:shd w:val="clear" w:color="auto" w:fill="F2F2F2"/>
          </w:tcPr>
          <w:p w14:paraId="38632EAA" w14:textId="1FED4130" w:rsidR="004016CA" w:rsidRPr="00CC2ED3" w:rsidRDefault="004016CA" w:rsidP="00DC4418">
            <w:pPr>
              <w:pStyle w:val="TableParagraph"/>
              <w:jc w:val="right"/>
              <w:rPr>
                <w:rFonts w:eastAsia="Calibri" w:cs="Calibri"/>
                <w:sz w:val="20"/>
                <w:szCs w:val="20"/>
              </w:rPr>
            </w:pPr>
            <w:r w:rsidRPr="00CC2ED3">
              <w:rPr>
                <w:sz w:val="20"/>
                <w:szCs w:val="20"/>
              </w:rPr>
              <w:t>0.</w:t>
            </w:r>
            <w:r w:rsidR="006A0442">
              <w:rPr>
                <w:sz w:val="20"/>
                <w:szCs w:val="20"/>
              </w:rPr>
              <w:t>495</w:t>
            </w:r>
          </w:p>
        </w:tc>
        <w:tc>
          <w:tcPr>
            <w:tcW w:w="1134" w:type="dxa"/>
            <w:shd w:val="clear" w:color="auto" w:fill="F2F2F2"/>
          </w:tcPr>
          <w:p w14:paraId="5001F391" w14:textId="7838D0A2" w:rsidR="004016CA" w:rsidRPr="00CC2ED3" w:rsidRDefault="004016CA" w:rsidP="00DC4418">
            <w:pPr>
              <w:pStyle w:val="TableParagraph"/>
              <w:jc w:val="right"/>
              <w:rPr>
                <w:rFonts w:eastAsia="Calibri" w:cs="Calibri"/>
                <w:sz w:val="20"/>
                <w:szCs w:val="20"/>
              </w:rPr>
            </w:pPr>
            <w:r w:rsidRPr="00CC2ED3">
              <w:rPr>
                <w:sz w:val="20"/>
                <w:szCs w:val="20"/>
              </w:rPr>
              <w:t>0.</w:t>
            </w:r>
            <w:r w:rsidR="006A0442">
              <w:rPr>
                <w:sz w:val="20"/>
                <w:szCs w:val="20"/>
              </w:rPr>
              <w:t>99</w:t>
            </w:r>
          </w:p>
        </w:tc>
        <w:tc>
          <w:tcPr>
            <w:tcW w:w="992" w:type="dxa"/>
            <w:shd w:val="clear" w:color="auto" w:fill="F2F2F2"/>
          </w:tcPr>
          <w:p w14:paraId="75E9EA46" w14:textId="059EF004" w:rsidR="004016CA" w:rsidRPr="00A976EA" w:rsidRDefault="006A0442" w:rsidP="00DC4418">
            <w:pPr>
              <w:pStyle w:val="TableParagraph"/>
              <w:jc w:val="right"/>
              <w:rPr>
                <w:rFonts w:eastAsia="Calibri" w:cs="Calibri"/>
                <w:sz w:val="20"/>
                <w:szCs w:val="20"/>
              </w:rPr>
            </w:pPr>
            <w:r w:rsidRPr="00A976EA">
              <w:rPr>
                <w:sz w:val="20"/>
                <w:szCs w:val="20"/>
              </w:rPr>
              <w:t>2.03</w:t>
            </w:r>
          </w:p>
        </w:tc>
      </w:tr>
      <w:tr w:rsidR="004016CA" w:rsidRPr="00CC2ED3" w14:paraId="729346F7" w14:textId="77777777" w:rsidTr="00D34327">
        <w:trPr>
          <w:trHeight w:hRule="exact" w:val="268"/>
          <w:jc w:val="center"/>
        </w:trPr>
        <w:tc>
          <w:tcPr>
            <w:tcW w:w="1170" w:type="dxa"/>
          </w:tcPr>
          <w:p w14:paraId="492DD80D" w14:textId="3851C036" w:rsidR="004016CA" w:rsidRPr="00CC2ED3" w:rsidRDefault="004016CA" w:rsidP="00DC4418">
            <w:pPr>
              <w:pStyle w:val="TableParagraph"/>
              <w:jc w:val="right"/>
              <w:rPr>
                <w:rFonts w:eastAsia="Calibri" w:cs="Calibri"/>
                <w:sz w:val="20"/>
                <w:szCs w:val="20"/>
              </w:rPr>
            </w:pPr>
            <w:r w:rsidRPr="00CC2ED3">
              <w:rPr>
                <w:sz w:val="20"/>
                <w:szCs w:val="20"/>
              </w:rPr>
              <w:t>(</w:t>
            </w:r>
            <w:r w:rsidR="006A0442">
              <w:rPr>
                <w:sz w:val="20"/>
                <w:szCs w:val="20"/>
              </w:rPr>
              <w:t>2.83</w:t>
            </w:r>
            <w:r w:rsidRPr="00CC2ED3">
              <w:rPr>
                <w:sz w:val="20"/>
                <w:szCs w:val="20"/>
              </w:rPr>
              <w:t>)</w:t>
            </w:r>
          </w:p>
        </w:tc>
        <w:tc>
          <w:tcPr>
            <w:tcW w:w="1134" w:type="dxa"/>
          </w:tcPr>
          <w:p w14:paraId="7EC63CFE" w14:textId="5B052A14" w:rsidR="004016CA" w:rsidRPr="00CC2ED3" w:rsidRDefault="004016CA" w:rsidP="00DC4418">
            <w:pPr>
              <w:pStyle w:val="TableParagraph"/>
              <w:jc w:val="right"/>
              <w:rPr>
                <w:rFonts w:eastAsia="Calibri" w:cs="Calibri"/>
                <w:sz w:val="20"/>
                <w:szCs w:val="20"/>
              </w:rPr>
            </w:pPr>
            <w:r w:rsidRPr="00CC2ED3">
              <w:rPr>
                <w:sz w:val="20"/>
                <w:szCs w:val="20"/>
              </w:rPr>
              <w:t>(</w:t>
            </w:r>
            <w:r w:rsidR="006A0442">
              <w:rPr>
                <w:sz w:val="20"/>
                <w:szCs w:val="20"/>
              </w:rPr>
              <w:t>9.20</w:t>
            </w:r>
            <w:r w:rsidRPr="00CC2ED3">
              <w:rPr>
                <w:sz w:val="20"/>
                <w:szCs w:val="20"/>
              </w:rPr>
              <w:t>)</w:t>
            </w:r>
          </w:p>
        </w:tc>
        <w:tc>
          <w:tcPr>
            <w:tcW w:w="992" w:type="dxa"/>
          </w:tcPr>
          <w:p w14:paraId="161EC70D" w14:textId="646B26D0" w:rsidR="004016CA" w:rsidRPr="00CC2ED3" w:rsidRDefault="004016CA" w:rsidP="00DC4418">
            <w:pPr>
              <w:pStyle w:val="TableParagraph"/>
              <w:jc w:val="right"/>
              <w:rPr>
                <w:rFonts w:eastAsia="Calibri" w:cs="Calibri"/>
                <w:sz w:val="20"/>
                <w:szCs w:val="20"/>
              </w:rPr>
            </w:pPr>
            <w:r w:rsidRPr="00CC2ED3">
              <w:rPr>
                <w:sz w:val="20"/>
                <w:szCs w:val="20"/>
              </w:rPr>
              <w:t>(-1.</w:t>
            </w:r>
            <w:r w:rsidR="006A0442">
              <w:rPr>
                <w:sz w:val="20"/>
                <w:szCs w:val="20"/>
              </w:rPr>
              <w:t>44</w:t>
            </w:r>
            <w:r w:rsidRPr="00CC2ED3">
              <w:rPr>
                <w:sz w:val="20"/>
                <w:szCs w:val="20"/>
              </w:rPr>
              <w:t>)</w:t>
            </w:r>
          </w:p>
        </w:tc>
        <w:tc>
          <w:tcPr>
            <w:tcW w:w="1134" w:type="dxa"/>
          </w:tcPr>
          <w:p w14:paraId="35C6EB0E" w14:textId="6AB8E2F7" w:rsidR="004016CA" w:rsidRPr="00CC2ED3" w:rsidRDefault="004016CA" w:rsidP="00DC4418">
            <w:pPr>
              <w:pStyle w:val="TableParagraph"/>
              <w:jc w:val="right"/>
              <w:rPr>
                <w:rFonts w:eastAsia="Calibri" w:cs="Calibri"/>
                <w:sz w:val="20"/>
                <w:szCs w:val="20"/>
              </w:rPr>
            </w:pPr>
            <w:r w:rsidRPr="00CC2ED3">
              <w:rPr>
                <w:sz w:val="20"/>
                <w:szCs w:val="20"/>
              </w:rPr>
              <w:t>(0.8</w:t>
            </w:r>
            <w:r w:rsidR="006A0442">
              <w:rPr>
                <w:sz w:val="20"/>
                <w:szCs w:val="20"/>
              </w:rPr>
              <w:t>4</w:t>
            </w:r>
            <w:r w:rsidRPr="00CC2ED3">
              <w:rPr>
                <w:sz w:val="20"/>
                <w:szCs w:val="20"/>
              </w:rPr>
              <w:t>)</w:t>
            </w:r>
          </w:p>
        </w:tc>
        <w:tc>
          <w:tcPr>
            <w:tcW w:w="1134" w:type="dxa"/>
          </w:tcPr>
          <w:p w14:paraId="2B344DCE" w14:textId="48EAAA02" w:rsidR="004016CA" w:rsidRPr="00CC2ED3" w:rsidRDefault="004016CA" w:rsidP="00DC4418">
            <w:pPr>
              <w:pStyle w:val="TableParagraph"/>
              <w:jc w:val="right"/>
              <w:rPr>
                <w:rFonts w:eastAsia="Calibri" w:cs="Calibri"/>
                <w:sz w:val="20"/>
                <w:szCs w:val="20"/>
              </w:rPr>
            </w:pPr>
            <w:r w:rsidRPr="00CC2ED3">
              <w:rPr>
                <w:sz w:val="20"/>
                <w:szCs w:val="20"/>
              </w:rPr>
              <w:t>(</w:t>
            </w:r>
            <w:r w:rsidR="006A0442">
              <w:rPr>
                <w:sz w:val="20"/>
                <w:szCs w:val="20"/>
              </w:rPr>
              <w:t>4.63</w:t>
            </w:r>
            <w:r w:rsidRPr="00CC2ED3">
              <w:rPr>
                <w:sz w:val="20"/>
                <w:szCs w:val="20"/>
              </w:rPr>
              <w:t>)</w:t>
            </w:r>
          </w:p>
        </w:tc>
        <w:tc>
          <w:tcPr>
            <w:tcW w:w="992" w:type="dxa"/>
          </w:tcPr>
          <w:p w14:paraId="1099A9E3" w14:textId="2473829A" w:rsidR="004016CA" w:rsidRPr="00CC2ED3" w:rsidRDefault="004016CA" w:rsidP="00DC4418">
            <w:pPr>
              <w:pStyle w:val="TableParagraph"/>
              <w:jc w:val="right"/>
              <w:rPr>
                <w:rFonts w:eastAsia="Calibri" w:cs="Calibri"/>
                <w:sz w:val="20"/>
                <w:szCs w:val="20"/>
              </w:rPr>
            </w:pPr>
            <w:r w:rsidRPr="00CC2ED3">
              <w:rPr>
                <w:sz w:val="20"/>
                <w:szCs w:val="20"/>
              </w:rPr>
              <w:t>(</w:t>
            </w:r>
            <w:r w:rsidR="006A0442">
              <w:rPr>
                <w:sz w:val="20"/>
                <w:szCs w:val="20"/>
              </w:rPr>
              <w:t>3.75</w:t>
            </w:r>
            <w:r w:rsidRPr="00CC2ED3">
              <w:rPr>
                <w:sz w:val="20"/>
                <w:szCs w:val="20"/>
              </w:rPr>
              <w:t>)</w:t>
            </w:r>
          </w:p>
        </w:tc>
        <w:tc>
          <w:tcPr>
            <w:tcW w:w="1134" w:type="dxa"/>
          </w:tcPr>
          <w:p w14:paraId="721718F7" w14:textId="77777777" w:rsidR="004016CA" w:rsidRPr="00CC2ED3" w:rsidRDefault="004016CA" w:rsidP="00DC4418">
            <w:pPr>
              <w:jc w:val="right"/>
              <w:rPr>
                <w:sz w:val="20"/>
                <w:szCs w:val="20"/>
              </w:rPr>
            </w:pPr>
          </w:p>
        </w:tc>
        <w:tc>
          <w:tcPr>
            <w:tcW w:w="992" w:type="dxa"/>
          </w:tcPr>
          <w:p w14:paraId="7B25C213" w14:textId="77777777" w:rsidR="004016CA" w:rsidRPr="00A976EA" w:rsidRDefault="004016CA" w:rsidP="00DC4418">
            <w:pPr>
              <w:jc w:val="right"/>
              <w:rPr>
                <w:sz w:val="20"/>
                <w:szCs w:val="20"/>
              </w:rPr>
            </w:pPr>
          </w:p>
        </w:tc>
      </w:tr>
      <w:tr w:rsidR="004016CA" w:rsidRPr="00CC2ED3" w14:paraId="35241E91" w14:textId="77777777" w:rsidTr="00D34327">
        <w:trPr>
          <w:trHeight w:hRule="exact" w:val="268"/>
          <w:jc w:val="center"/>
        </w:trPr>
        <w:tc>
          <w:tcPr>
            <w:tcW w:w="1170" w:type="dxa"/>
          </w:tcPr>
          <w:p w14:paraId="17165982" w14:textId="77777777" w:rsidR="004016CA" w:rsidRPr="00CC2ED3" w:rsidRDefault="004016CA" w:rsidP="00DC4418">
            <w:pPr>
              <w:pStyle w:val="TableParagraph"/>
              <w:jc w:val="right"/>
              <w:rPr>
                <w:b/>
                <w:sz w:val="20"/>
                <w:szCs w:val="20"/>
              </w:rPr>
            </w:pPr>
          </w:p>
        </w:tc>
        <w:tc>
          <w:tcPr>
            <w:tcW w:w="1134" w:type="dxa"/>
          </w:tcPr>
          <w:p w14:paraId="4F7499BB" w14:textId="77777777" w:rsidR="004016CA" w:rsidRPr="00CC2ED3" w:rsidRDefault="004016CA" w:rsidP="00DC4418">
            <w:pPr>
              <w:pStyle w:val="TableParagraph"/>
              <w:jc w:val="right"/>
              <w:rPr>
                <w:b/>
                <w:sz w:val="20"/>
                <w:szCs w:val="20"/>
              </w:rPr>
            </w:pPr>
          </w:p>
        </w:tc>
        <w:tc>
          <w:tcPr>
            <w:tcW w:w="992" w:type="dxa"/>
          </w:tcPr>
          <w:p w14:paraId="473A7C0A" w14:textId="77777777" w:rsidR="004016CA" w:rsidRPr="00CC2ED3" w:rsidRDefault="004016CA" w:rsidP="00DC4418">
            <w:pPr>
              <w:pStyle w:val="TableParagraph"/>
              <w:jc w:val="right"/>
              <w:rPr>
                <w:b/>
                <w:sz w:val="20"/>
                <w:szCs w:val="20"/>
              </w:rPr>
            </w:pPr>
            <w:r w:rsidRPr="00CC2ED3">
              <w:rPr>
                <w:b/>
                <w:sz w:val="20"/>
                <w:szCs w:val="20"/>
              </w:rPr>
              <w:t>DMLB</w:t>
            </w:r>
          </w:p>
        </w:tc>
        <w:tc>
          <w:tcPr>
            <w:tcW w:w="1134" w:type="dxa"/>
          </w:tcPr>
          <w:p w14:paraId="29B5750F" w14:textId="77777777" w:rsidR="004016CA" w:rsidRPr="00CC2ED3" w:rsidRDefault="004016CA" w:rsidP="00DC4418">
            <w:pPr>
              <w:pStyle w:val="TableParagraph"/>
              <w:jc w:val="right"/>
              <w:rPr>
                <w:b/>
                <w:sz w:val="20"/>
                <w:szCs w:val="20"/>
              </w:rPr>
            </w:pPr>
            <w:proofErr w:type="spellStart"/>
            <w:r w:rsidRPr="00CC2ED3">
              <w:rPr>
                <w:b/>
                <w:sz w:val="20"/>
                <w:szCs w:val="20"/>
              </w:rPr>
              <w:t>DMLBi</w:t>
            </w:r>
            <w:proofErr w:type="spellEnd"/>
          </w:p>
        </w:tc>
        <w:tc>
          <w:tcPr>
            <w:tcW w:w="1134" w:type="dxa"/>
          </w:tcPr>
          <w:p w14:paraId="315889BB" w14:textId="77777777" w:rsidR="004016CA" w:rsidRPr="00CC2ED3" w:rsidRDefault="004016CA" w:rsidP="00DC4418">
            <w:pPr>
              <w:pStyle w:val="TableParagraph"/>
              <w:jc w:val="right"/>
              <w:rPr>
                <w:b/>
                <w:sz w:val="20"/>
                <w:szCs w:val="20"/>
              </w:rPr>
            </w:pPr>
          </w:p>
        </w:tc>
        <w:tc>
          <w:tcPr>
            <w:tcW w:w="992" w:type="dxa"/>
          </w:tcPr>
          <w:p w14:paraId="2CA89723" w14:textId="77777777" w:rsidR="004016CA" w:rsidRPr="00CC2ED3" w:rsidRDefault="004016CA" w:rsidP="00DC4418">
            <w:pPr>
              <w:pStyle w:val="TableParagraph"/>
              <w:jc w:val="right"/>
              <w:rPr>
                <w:b/>
                <w:sz w:val="20"/>
                <w:szCs w:val="20"/>
              </w:rPr>
            </w:pPr>
          </w:p>
        </w:tc>
        <w:tc>
          <w:tcPr>
            <w:tcW w:w="1134" w:type="dxa"/>
          </w:tcPr>
          <w:p w14:paraId="5ABAE923" w14:textId="77777777" w:rsidR="004016CA" w:rsidRPr="00CC2ED3" w:rsidRDefault="004016CA" w:rsidP="00DC4418">
            <w:pPr>
              <w:rPr>
                <w:b/>
                <w:sz w:val="20"/>
                <w:szCs w:val="20"/>
              </w:rPr>
            </w:pPr>
          </w:p>
        </w:tc>
        <w:tc>
          <w:tcPr>
            <w:tcW w:w="992" w:type="dxa"/>
          </w:tcPr>
          <w:p w14:paraId="4F8ED23C" w14:textId="77777777" w:rsidR="004016CA" w:rsidRPr="00A976EA" w:rsidRDefault="004016CA" w:rsidP="00DC4418">
            <w:pPr>
              <w:rPr>
                <w:b/>
                <w:sz w:val="20"/>
                <w:szCs w:val="20"/>
              </w:rPr>
            </w:pPr>
          </w:p>
        </w:tc>
      </w:tr>
      <w:tr w:rsidR="004016CA" w:rsidRPr="00D14C6E" w14:paraId="5B0A7883" w14:textId="77777777" w:rsidTr="00D34327">
        <w:trPr>
          <w:trHeight w:hRule="exact" w:val="268"/>
          <w:jc w:val="center"/>
        </w:trPr>
        <w:tc>
          <w:tcPr>
            <w:tcW w:w="1170" w:type="dxa"/>
            <w:shd w:val="clear" w:color="auto" w:fill="F2F2F2"/>
          </w:tcPr>
          <w:p w14:paraId="45B56130" w14:textId="576B5A64" w:rsidR="004016CA" w:rsidRPr="00BE3780" w:rsidRDefault="00BE3780" w:rsidP="00DC4418">
            <w:pPr>
              <w:pStyle w:val="TableParagraph"/>
              <w:jc w:val="right"/>
              <w:rPr>
                <w:sz w:val="20"/>
                <w:szCs w:val="20"/>
              </w:rPr>
            </w:pPr>
            <w:r>
              <w:rPr>
                <w:sz w:val="20"/>
                <w:szCs w:val="20"/>
              </w:rPr>
              <w:t>80.047</w:t>
            </w:r>
          </w:p>
        </w:tc>
        <w:tc>
          <w:tcPr>
            <w:tcW w:w="1134" w:type="dxa"/>
            <w:shd w:val="clear" w:color="auto" w:fill="F2F2F2"/>
          </w:tcPr>
          <w:p w14:paraId="5A5E5756" w14:textId="258C7E73" w:rsidR="004016CA" w:rsidRPr="00BE3780" w:rsidRDefault="00BE3780" w:rsidP="00DC4418">
            <w:pPr>
              <w:pStyle w:val="TableParagraph"/>
              <w:jc w:val="right"/>
              <w:rPr>
                <w:sz w:val="20"/>
                <w:szCs w:val="20"/>
              </w:rPr>
            </w:pPr>
            <w:r>
              <w:rPr>
                <w:sz w:val="20"/>
                <w:szCs w:val="20"/>
              </w:rPr>
              <w:t>2.625</w:t>
            </w:r>
          </w:p>
        </w:tc>
        <w:tc>
          <w:tcPr>
            <w:tcW w:w="992" w:type="dxa"/>
            <w:shd w:val="clear" w:color="auto" w:fill="F2F2F2"/>
          </w:tcPr>
          <w:p w14:paraId="70496378" w14:textId="63EE821D" w:rsidR="004016CA" w:rsidRPr="00BE3780" w:rsidRDefault="00BE3780" w:rsidP="00DC4418">
            <w:pPr>
              <w:pStyle w:val="TableParagraph"/>
              <w:jc w:val="right"/>
              <w:rPr>
                <w:sz w:val="20"/>
                <w:szCs w:val="20"/>
              </w:rPr>
            </w:pPr>
            <w:r>
              <w:rPr>
                <w:sz w:val="20"/>
                <w:szCs w:val="20"/>
              </w:rPr>
              <w:t>-</w:t>
            </w:r>
            <w:r w:rsidR="004016CA" w:rsidRPr="00BE3780">
              <w:rPr>
                <w:sz w:val="20"/>
                <w:szCs w:val="20"/>
              </w:rPr>
              <w:t>0.</w:t>
            </w:r>
            <w:r>
              <w:rPr>
                <w:sz w:val="20"/>
                <w:szCs w:val="20"/>
              </w:rPr>
              <w:t>121</w:t>
            </w:r>
          </w:p>
        </w:tc>
        <w:tc>
          <w:tcPr>
            <w:tcW w:w="1134" w:type="dxa"/>
            <w:shd w:val="clear" w:color="auto" w:fill="F2F2F2"/>
          </w:tcPr>
          <w:p w14:paraId="4A79DBA5" w14:textId="284D32A3" w:rsidR="004016CA" w:rsidRPr="00BE3780" w:rsidRDefault="004016CA" w:rsidP="00DC4418">
            <w:pPr>
              <w:pStyle w:val="TableParagraph"/>
              <w:jc w:val="right"/>
              <w:rPr>
                <w:sz w:val="20"/>
                <w:szCs w:val="20"/>
              </w:rPr>
            </w:pPr>
            <w:r w:rsidRPr="00BE3780">
              <w:rPr>
                <w:sz w:val="20"/>
                <w:szCs w:val="20"/>
              </w:rPr>
              <w:t>1</w:t>
            </w:r>
            <w:r w:rsidR="00BE3780">
              <w:rPr>
                <w:sz w:val="20"/>
                <w:szCs w:val="20"/>
              </w:rPr>
              <w:t>3.958</w:t>
            </w:r>
          </w:p>
        </w:tc>
        <w:tc>
          <w:tcPr>
            <w:tcW w:w="1134" w:type="dxa"/>
            <w:shd w:val="clear" w:color="auto" w:fill="F2F2F2"/>
          </w:tcPr>
          <w:p w14:paraId="3FEC15E5" w14:textId="44B0961B" w:rsidR="004016CA" w:rsidRPr="00BE3780" w:rsidRDefault="004016CA" w:rsidP="00DC4418">
            <w:pPr>
              <w:pStyle w:val="TableParagraph"/>
              <w:jc w:val="right"/>
              <w:rPr>
                <w:sz w:val="20"/>
                <w:szCs w:val="20"/>
              </w:rPr>
            </w:pPr>
            <w:r w:rsidRPr="00BE3780">
              <w:rPr>
                <w:sz w:val="20"/>
                <w:szCs w:val="20"/>
              </w:rPr>
              <w:t>3.</w:t>
            </w:r>
            <w:r w:rsidR="00BE3780">
              <w:rPr>
                <w:sz w:val="20"/>
                <w:szCs w:val="20"/>
              </w:rPr>
              <w:t>854</w:t>
            </w:r>
          </w:p>
        </w:tc>
        <w:tc>
          <w:tcPr>
            <w:tcW w:w="992" w:type="dxa"/>
            <w:shd w:val="clear" w:color="auto" w:fill="F2F2F2"/>
          </w:tcPr>
          <w:p w14:paraId="5F10BA92" w14:textId="77777777" w:rsidR="004016CA" w:rsidRPr="00BE3780" w:rsidRDefault="004016CA" w:rsidP="00DC4418">
            <w:pPr>
              <w:pStyle w:val="TableParagraph"/>
              <w:jc w:val="right"/>
              <w:rPr>
                <w:sz w:val="20"/>
                <w:szCs w:val="20"/>
              </w:rPr>
            </w:pPr>
            <w:r w:rsidRPr="00BE3780">
              <w:rPr>
                <w:sz w:val="20"/>
                <w:szCs w:val="20"/>
              </w:rPr>
              <w:t>-</w:t>
            </w:r>
          </w:p>
        </w:tc>
        <w:tc>
          <w:tcPr>
            <w:tcW w:w="1134" w:type="dxa"/>
            <w:shd w:val="clear" w:color="auto" w:fill="F2F2F2"/>
          </w:tcPr>
          <w:p w14:paraId="1FD25EB7" w14:textId="572D3BC7" w:rsidR="004016CA" w:rsidRPr="00BE3780" w:rsidRDefault="004016CA" w:rsidP="00DC4418">
            <w:pPr>
              <w:jc w:val="right"/>
              <w:rPr>
                <w:sz w:val="20"/>
                <w:szCs w:val="20"/>
              </w:rPr>
            </w:pPr>
            <w:r w:rsidRPr="00BE3780">
              <w:rPr>
                <w:sz w:val="20"/>
                <w:szCs w:val="20"/>
              </w:rPr>
              <w:t>0.</w:t>
            </w:r>
            <w:r w:rsidR="00BE3780">
              <w:rPr>
                <w:sz w:val="20"/>
                <w:szCs w:val="20"/>
              </w:rPr>
              <w:t>98</w:t>
            </w:r>
          </w:p>
        </w:tc>
        <w:tc>
          <w:tcPr>
            <w:tcW w:w="992" w:type="dxa"/>
            <w:shd w:val="clear" w:color="auto" w:fill="F2F2F2"/>
          </w:tcPr>
          <w:p w14:paraId="648846A1" w14:textId="0FE4F543" w:rsidR="004016CA" w:rsidRPr="00A976EA" w:rsidRDefault="00BE3780" w:rsidP="00DC4418">
            <w:pPr>
              <w:jc w:val="right"/>
              <w:rPr>
                <w:sz w:val="20"/>
                <w:szCs w:val="20"/>
              </w:rPr>
            </w:pPr>
            <w:r w:rsidRPr="00A976EA">
              <w:rPr>
                <w:sz w:val="20"/>
                <w:szCs w:val="20"/>
              </w:rPr>
              <w:t>2.33</w:t>
            </w:r>
          </w:p>
        </w:tc>
      </w:tr>
      <w:tr w:rsidR="004016CA" w:rsidRPr="00CC2ED3" w14:paraId="06D69AC2" w14:textId="77777777" w:rsidTr="00D34327">
        <w:trPr>
          <w:trHeight w:hRule="exact" w:val="268"/>
          <w:jc w:val="center"/>
        </w:trPr>
        <w:tc>
          <w:tcPr>
            <w:tcW w:w="1170" w:type="dxa"/>
          </w:tcPr>
          <w:p w14:paraId="3BBE1441" w14:textId="3DE50B3A" w:rsidR="004016CA" w:rsidRPr="00BE3780" w:rsidRDefault="004016CA" w:rsidP="00DC4418">
            <w:pPr>
              <w:pStyle w:val="TableParagraph"/>
              <w:jc w:val="right"/>
              <w:rPr>
                <w:sz w:val="20"/>
                <w:szCs w:val="20"/>
              </w:rPr>
            </w:pPr>
            <w:r w:rsidRPr="00BE3780">
              <w:rPr>
                <w:sz w:val="20"/>
                <w:szCs w:val="20"/>
              </w:rPr>
              <w:t>(2.</w:t>
            </w:r>
            <w:r w:rsidR="00BE3780">
              <w:rPr>
                <w:sz w:val="20"/>
                <w:szCs w:val="20"/>
              </w:rPr>
              <w:t>65</w:t>
            </w:r>
            <w:r w:rsidRPr="00BE3780">
              <w:rPr>
                <w:sz w:val="20"/>
                <w:szCs w:val="20"/>
              </w:rPr>
              <w:t>)</w:t>
            </w:r>
          </w:p>
        </w:tc>
        <w:tc>
          <w:tcPr>
            <w:tcW w:w="1134" w:type="dxa"/>
          </w:tcPr>
          <w:p w14:paraId="061BD337" w14:textId="4097F53F" w:rsidR="004016CA" w:rsidRPr="00BE3780" w:rsidRDefault="004016CA" w:rsidP="00DC4418">
            <w:pPr>
              <w:pStyle w:val="TableParagraph"/>
              <w:jc w:val="right"/>
              <w:rPr>
                <w:sz w:val="20"/>
                <w:szCs w:val="20"/>
              </w:rPr>
            </w:pPr>
            <w:r w:rsidRPr="00BE3780">
              <w:rPr>
                <w:sz w:val="20"/>
                <w:szCs w:val="20"/>
              </w:rPr>
              <w:t>(</w:t>
            </w:r>
            <w:r w:rsidR="00BE3780">
              <w:rPr>
                <w:sz w:val="20"/>
                <w:szCs w:val="20"/>
              </w:rPr>
              <w:t>14.18</w:t>
            </w:r>
            <w:r w:rsidRPr="00BE3780">
              <w:rPr>
                <w:sz w:val="20"/>
                <w:szCs w:val="20"/>
              </w:rPr>
              <w:t>)</w:t>
            </w:r>
          </w:p>
        </w:tc>
        <w:tc>
          <w:tcPr>
            <w:tcW w:w="992" w:type="dxa"/>
          </w:tcPr>
          <w:p w14:paraId="74829109" w14:textId="5586D7F5" w:rsidR="004016CA" w:rsidRPr="00BE3780" w:rsidRDefault="004016CA" w:rsidP="00DC4418">
            <w:pPr>
              <w:pStyle w:val="TableParagraph"/>
              <w:jc w:val="right"/>
              <w:rPr>
                <w:sz w:val="20"/>
                <w:szCs w:val="20"/>
              </w:rPr>
            </w:pPr>
            <w:r w:rsidRPr="00BE3780">
              <w:rPr>
                <w:sz w:val="20"/>
                <w:szCs w:val="20"/>
              </w:rPr>
              <w:t>(</w:t>
            </w:r>
            <w:r w:rsidR="00BE3780">
              <w:rPr>
                <w:sz w:val="20"/>
                <w:szCs w:val="20"/>
              </w:rPr>
              <w:t>-</w:t>
            </w:r>
            <w:r w:rsidRPr="00BE3780">
              <w:rPr>
                <w:sz w:val="20"/>
                <w:szCs w:val="20"/>
              </w:rPr>
              <w:t>0.</w:t>
            </w:r>
            <w:r w:rsidR="00BE3780">
              <w:rPr>
                <w:sz w:val="20"/>
                <w:szCs w:val="20"/>
              </w:rPr>
              <w:t>39</w:t>
            </w:r>
            <w:r w:rsidRPr="00BE3780">
              <w:rPr>
                <w:sz w:val="20"/>
                <w:szCs w:val="20"/>
              </w:rPr>
              <w:t>)</w:t>
            </w:r>
          </w:p>
        </w:tc>
        <w:tc>
          <w:tcPr>
            <w:tcW w:w="1134" w:type="dxa"/>
          </w:tcPr>
          <w:p w14:paraId="5002FEFA" w14:textId="69BEBB9D" w:rsidR="004016CA" w:rsidRPr="00BE3780" w:rsidRDefault="004016CA" w:rsidP="00DC4418">
            <w:pPr>
              <w:pStyle w:val="TableParagraph"/>
              <w:jc w:val="right"/>
              <w:rPr>
                <w:sz w:val="20"/>
                <w:szCs w:val="20"/>
              </w:rPr>
            </w:pPr>
            <w:r w:rsidRPr="00BE3780">
              <w:rPr>
                <w:sz w:val="20"/>
                <w:szCs w:val="20"/>
              </w:rPr>
              <w:t>(0.</w:t>
            </w:r>
            <w:r w:rsidR="00BE3780">
              <w:rPr>
                <w:sz w:val="20"/>
                <w:szCs w:val="20"/>
              </w:rPr>
              <w:t>47</w:t>
            </w:r>
            <w:r w:rsidRPr="00BE3780">
              <w:rPr>
                <w:sz w:val="20"/>
                <w:szCs w:val="20"/>
              </w:rPr>
              <w:t>)</w:t>
            </w:r>
          </w:p>
        </w:tc>
        <w:tc>
          <w:tcPr>
            <w:tcW w:w="1134" w:type="dxa"/>
          </w:tcPr>
          <w:p w14:paraId="1DFCAEA4" w14:textId="1032BFD7" w:rsidR="004016CA" w:rsidRPr="00BE3780" w:rsidRDefault="004016CA" w:rsidP="00DC4418">
            <w:pPr>
              <w:pStyle w:val="TableParagraph"/>
              <w:jc w:val="right"/>
              <w:rPr>
                <w:sz w:val="20"/>
                <w:szCs w:val="20"/>
              </w:rPr>
            </w:pPr>
            <w:r w:rsidRPr="00BE3780">
              <w:rPr>
                <w:sz w:val="20"/>
                <w:szCs w:val="20"/>
              </w:rPr>
              <w:t>(</w:t>
            </w:r>
            <w:r w:rsidR="00BE3780">
              <w:rPr>
                <w:sz w:val="20"/>
                <w:szCs w:val="20"/>
              </w:rPr>
              <w:t>6.40</w:t>
            </w:r>
            <w:r w:rsidRPr="00BE3780">
              <w:rPr>
                <w:sz w:val="20"/>
                <w:szCs w:val="20"/>
              </w:rPr>
              <w:t>)</w:t>
            </w:r>
          </w:p>
        </w:tc>
        <w:tc>
          <w:tcPr>
            <w:tcW w:w="992" w:type="dxa"/>
          </w:tcPr>
          <w:p w14:paraId="01C479B0" w14:textId="77777777" w:rsidR="004016CA" w:rsidRPr="00BE3780" w:rsidRDefault="004016CA" w:rsidP="00DC4418">
            <w:pPr>
              <w:pStyle w:val="TableParagraph"/>
              <w:rPr>
                <w:sz w:val="20"/>
                <w:szCs w:val="20"/>
              </w:rPr>
            </w:pPr>
          </w:p>
        </w:tc>
        <w:tc>
          <w:tcPr>
            <w:tcW w:w="1134" w:type="dxa"/>
          </w:tcPr>
          <w:p w14:paraId="697CF993" w14:textId="77777777" w:rsidR="004016CA" w:rsidRPr="00BE3780" w:rsidRDefault="004016CA" w:rsidP="00DC4418">
            <w:pPr>
              <w:jc w:val="right"/>
              <w:rPr>
                <w:sz w:val="20"/>
                <w:szCs w:val="20"/>
              </w:rPr>
            </w:pPr>
          </w:p>
        </w:tc>
        <w:tc>
          <w:tcPr>
            <w:tcW w:w="992" w:type="dxa"/>
          </w:tcPr>
          <w:p w14:paraId="7A7F75C9" w14:textId="77777777" w:rsidR="004016CA" w:rsidRPr="00A976EA" w:rsidRDefault="004016CA" w:rsidP="00DC4418">
            <w:pPr>
              <w:jc w:val="right"/>
              <w:rPr>
                <w:sz w:val="20"/>
                <w:szCs w:val="20"/>
              </w:rPr>
            </w:pPr>
          </w:p>
        </w:tc>
      </w:tr>
      <w:tr w:rsidR="004016CA" w:rsidRPr="00D14C6E" w14:paraId="1F7565DC" w14:textId="77777777" w:rsidTr="00D34327">
        <w:trPr>
          <w:trHeight w:hRule="exact" w:val="268"/>
          <w:jc w:val="center"/>
        </w:trPr>
        <w:tc>
          <w:tcPr>
            <w:tcW w:w="1170" w:type="dxa"/>
            <w:shd w:val="clear" w:color="auto" w:fill="F2F2F2"/>
          </w:tcPr>
          <w:p w14:paraId="71FBA5F7" w14:textId="03928A03" w:rsidR="004016CA" w:rsidRPr="00BE3780" w:rsidRDefault="00BE3780" w:rsidP="00DC4418">
            <w:pPr>
              <w:pStyle w:val="TableParagraph"/>
              <w:jc w:val="right"/>
              <w:rPr>
                <w:sz w:val="20"/>
                <w:szCs w:val="20"/>
              </w:rPr>
            </w:pPr>
            <w:r>
              <w:rPr>
                <w:sz w:val="20"/>
                <w:szCs w:val="20"/>
              </w:rPr>
              <w:t>80.495</w:t>
            </w:r>
          </w:p>
        </w:tc>
        <w:tc>
          <w:tcPr>
            <w:tcW w:w="1134" w:type="dxa"/>
            <w:shd w:val="clear" w:color="auto" w:fill="F2F2F2"/>
          </w:tcPr>
          <w:p w14:paraId="5E1AFC59" w14:textId="2BA10AD4" w:rsidR="004016CA" w:rsidRPr="00BE3780" w:rsidRDefault="00BE3780" w:rsidP="00DC4418">
            <w:pPr>
              <w:pStyle w:val="TableParagraph"/>
              <w:jc w:val="right"/>
              <w:rPr>
                <w:sz w:val="20"/>
                <w:szCs w:val="20"/>
              </w:rPr>
            </w:pPr>
            <w:r>
              <w:rPr>
                <w:sz w:val="20"/>
                <w:szCs w:val="20"/>
              </w:rPr>
              <w:t>2.593</w:t>
            </w:r>
          </w:p>
        </w:tc>
        <w:tc>
          <w:tcPr>
            <w:tcW w:w="992" w:type="dxa"/>
            <w:shd w:val="clear" w:color="auto" w:fill="F2F2F2"/>
          </w:tcPr>
          <w:p w14:paraId="4C4FD9D8" w14:textId="17BE7906" w:rsidR="004016CA" w:rsidRPr="00BE3780" w:rsidRDefault="004016CA" w:rsidP="00DC4418">
            <w:pPr>
              <w:pStyle w:val="TableParagraph"/>
              <w:jc w:val="right"/>
              <w:rPr>
                <w:sz w:val="20"/>
                <w:szCs w:val="20"/>
              </w:rPr>
            </w:pPr>
            <w:r w:rsidRPr="00BE3780">
              <w:rPr>
                <w:sz w:val="20"/>
                <w:szCs w:val="20"/>
              </w:rPr>
              <w:t>-0.0</w:t>
            </w:r>
            <w:r w:rsidR="00BE3780">
              <w:rPr>
                <w:sz w:val="20"/>
                <w:szCs w:val="20"/>
              </w:rPr>
              <w:t>68</w:t>
            </w:r>
          </w:p>
        </w:tc>
        <w:tc>
          <w:tcPr>
            <w:tcW w:w="1134" w:type="dxa"/>
            <w:shd w:val="clear" w:color="auto" w:fill="F2F2F2"/>
          </w:tcPr>
          <w:p w14:paraId="2E650272" w14:textId="103FD285" w:rsidR="004016CA" w:rsidRPr="00BE3780" w:rsidRDefault="00BE3780" w:rsidP="00DC4418">
            <w:pPr>
              <w:pStyle w:val="TableParagraph"/>
              <w:jc w:val="right"/>
              <w:rPr>
                <w:sz w:val="20"/>
                <w:szCs w:val="20"/>
              </w:rPr>
            </w:pPr>
            <w:r>
              <w:rPr>
                <w:sz w:val="20"/>
                <w:szCs w:val="20"/>
              </w:rPr>
              <w:t>3.288</w:t>
            </w:r>
          </w:p>
        </w:tc>
        <w:tc>
          <w:tcPr>
            <w:tcW w:w="1134" w:type="dxa"/>
            <w:shd w:val="clear" w:color="auto" w:fill="F2F2F2"/>
          </w:tcPr>
          <w:p w14:paraId="741B941F" w14:textId="36D61B04" w:rsidR="004016CA" w:rsidRPr="00BE3780" w:rsidRDefault="004016CA" w:rsidP="00DC4418">
            <w:pPr>
              <w:pStyle w:val="TableParagraph"/>
              <w:jc w:val="right"/>
              <w:rPr>
                <w:sz w:val="20"/>
                <w:szCs w:val="20"/>
              </w:rPr>
            </w:pPr>
            <w:r w:rsidRPr="00BE3780">
              <w:rPr>
                <w:sz w:val="20"/>
                <w:szCs w:val="20"/>
              </w:rPr>
              <w:t>3.</w:t>
            </w:r>
            <w:r w:rsidR="00BE3780">
              <w:rPr>
                <w:sz w:val="20"/>
                <w:szCs w:val="20"/>
              </w:rPr>
              <w:t>836</w:t>
            </w:r>
          </w:p>
        </w:tc>
        <w:tc>
          <w:tcPr>
            <w:tcW w:w="992" w:type="dxa"/>
            <w:shd w:val="clear" w:color="auto" w:fill="F2F2F2"/>
          </w:tcPr>
          <w:p w14:paraId="610E58C1" w14:textId="3D76C740" w:rsidR="004016CA" w:rsidRPr="00BE3780" w:rsidRDefault="00BE3780" w:rsidP="00DC4418">
            <w:pPr>
              <w:pStyle w:val="TableParagraph"/>
              <w:jc w:val="right"/>
              <w:rPr>
                <w:sz w:val="20"/>
                <w:szCs w:val="20"/>
              </w:rPr>
            </w:pPr>
            <w:r>
              <w:rPr>
                <w:sz w:val="20"/>
                <w:szCs w:val="20"/>
              </w:rPr>
              <w:t>-</w:t>
            </w:r>
            <w:r w:rsidR="004016CA" w:rsidRPr="00BE3780">
              <w:rPr>
                <w:sz w:val="20"/>
                <w:szCs w:val="20"/>
              </w:rPr>
              <w:t>0.</w:t>
            </w:r>
            <w:r>
              <w:rPr>
                <w:sz w:val="20"/>
                <w:szCs w:val="20"/>
              </w:rPr>
              <w:t>207</w:t>
            </w:r>
          </w:p>
        </w:tc>
        <w:tc>
          <w:tcPr>
            <w:tcW w:w="1134" w:type="dxa"/>
            <w:shd w:val="clear" w:color="auto" w:fill="F2F2F2"/>
          </w:tcPr>
          <w:p w14:paraId="7E6FC8BD" w14:textId="0B6D68EB" w:rsidR="004016CA" w:rsidRPr="00BE3780" w:rsidRDefault="004016CA" w:rsidP="00DC4418">
            <w:pPr>
              <w:jc w:val="right"/>
              <w:rPr>
                <w:sz w:val="20"/>
                <w:szCs w:val="20"/>
              </w:rPr>
            </w:pPr>
            <w:r w:rsidRPr="00BE3780">
              <w:rPr>
                <w:sz w:val="20"/>
                <w:szCs w:val="20"/>
              </w:rPr>
              <w:t>0.</w:t>
            </w:r>
            <w:r w:rsidR="00BE3780">
              <w:rPr>
                <w:sz w:val="20"/>
                <w:szCs w:val="20"/>
              </w:rPr>
              <w:t>98</w:t>
            </w:r>
          </w:p>
        </w:tc>
        <w:tc>
          <w:tcPr>
            <w:tcW w:w="992" w:type="dxa"/>
            <w:shd w:val="clear" w:color="auto" w:fill="F2F2F2"/>
          </w:tcPr>
          <w:p w14:paraId="2174F8B1" w14:textId="08B3B96D" w:rsidR="004016CA" w:rsidRPr="00A976EA" w:rsidRDefault="004016CA" w:rsidP="00DC4418">
            <w:pPr>
              <w:jc w:val="right"/>
              <w:rPr>
                <w:sz w:val="20"/>
                <w:szCs w:val="20"/>
              </w:rPr>
            </w:pPr>
            <w:r w:rsidRPr="00A976EA">
              <w:rPr>
                <w:sz w:val="20"/>
                <w:szCs w:val="20"/>
              </w:rPr>
              <w:t>1.</w:t>
            </w:r>
            <w:r w:rsidR="00F07D8E" w:rsidRPr="00A976EA">
              <w:rPr>
                <w:sz w:val="20"/>
                <w:szCs w:val="20"/>
              </w:rPr>
              <w:t>83</w:t>
            </w:r>
          </w:p>
        </w:tc>
      </w:tr>
      <w:tr w:rsidR="004016CA" w:rsidRPr="00CC2ED3" w14:paraId="16A0C714" w14:textId="77777777" w:rsidTr="00D34327">
        <w:trPr>
          <w:trHeight w:hRule="exact" w:val="268"/>
          <w:jc w:val="center"/>
        </w:trPr>
        <w:tc>
          <w:tcPr>
            <w:tcW w:w="1170" w:type="dxa"/>
          </w:tcPr>
          <w:p w14:paraId="75D16E4D" w14:textId="43E23DAA" w:rsidR="004016CA" w:rsidRPr="00BE3780" w:rsidRDefault="004016CA" w:rsidP="00DC4418">
            <w:pPr>
              <w:pStyle w:val="TableParagraph"/>
              <w:jc w:val="right"/>
              <w:rPr>
                <w:sz w:val="20"/>
                <w:szCs w:val="20"/>
              </w:rPr>
            </w:pPr>
            <w:r w:rsidRPr="00BE3780">
              <w:rPr>
                <w:sz w:val="20"/>
                <w:szCs w:val="20"/>
              </w:rPr>
              <w:t>(</w:t>
            </w:r>
            <w:r w:rsidR="00F07D8E">
              <w:rPr>
                <w:sz w:val="20"/>
                <w:szCs w:val="20"/>
              </w:rPr>
              <w:t>3.19</w:t>
            </w:r>
            <w:r w:rsidRPr="00BE3780">
              <w:rPr>
                <w:sz w:val="20"/>
                <w:szCs w:val="20"/>
              </w:rPr>
              <w:t>)</w:t>
            </w:r>
          </w:p>
        </w:tc>
        <w:tc>
          <w:tcPr>
            <w:tcW w:w="1134" w:type="dxa"/>
          </w:tcPr>
          <w:p w14:paraId="7E8187D0" w14:textId="3F6EB555" w:rsidR="004016CA" w:rsidRPr="00BE3780" w:rsidRDefault="004016CA" w:rsidP="00DC4418">
            <w:pPr>
              <w:pStyle w:val="TableParagraph"/>
              <w:jc w:val="right"/>
              <w:rPr>
                <w:sz w:val="20"/>
                <w:szCs w:val="20"/>
              </w:rPr>
            </w:pPr>
            <w:r w:rsidRPr="00BE3780">
              <w:rPr>
                <w:sz w:val="20"/>
                <w:szCs w:val="20"/>
              </w:rPr>
              <w:t>(</w:t>
            </w:r>
            <w:r w:rsidR="00F07D8E">
              <w:rPr>
                <w:sz w:val="20"/>
                <w:szCs w:val="20"/>
              </w:rPr>
              <w:t>15.38</w:t>
            </w:r>
            <w:r w:rsidRPr="00BE3780">
              <w:rPr>
                <w:sz w:val="20"/>
                <w:szCs w:val="20"/>
              </w:rPr>
              <w:t>)</w:t>
            </w:r>
          </w:p>
        </w:tc>
        <w:tc>
          <w:tcPr>
            <w:tcW w:w="992" w:type="dxa"/>
          </w:tcPr>
          <w:p w14:paraId="4A4442E7" w14:textId="54F53566" w:rsidR="004016CA" w:rsidRPr="00BE3780" w:rsidRDefault="004016CA" w:rsidP="00DC4418">
            <w:pPr>
              <w:pStyle w:val="TableParagraph"/>
              <w:jc w:val="right"/>
              <w:rPr>
                <w:sz w:val="20"/>
                <w:szCs w:val="20"/>
              </w:rPr>
            </w:pPr>
            <w:r w:rsidRPr="00BE3780">
              <w:rPr>
                <w:sz w:val="20"/>
                <w:szCs w:val="20"/>
              </w:rPr>
              <w:t>(-0.</w:t>
            </w:r>
            <w:r w:rsidR="00F07D8E">
              <w:rPr>
                <w:sz w:val="20"/>
                <w:szCs w:val="20"/>
              </w:rPr>
              <w:t>24</w:t>
            </w:r>
            <w:r w:rsidRPr="00BE3780">
              <w:rPr>
                <w:sz w:val="20"/>
                <w:szCs w:val="20"/>
              </w:rPr>
              <w:t>)</w:t>
            </w:r>
          </w:p>
        </w:tc>
        <w:tc>
          <w:tcPr>
            <w:tcW w:w="1134" w:type="dxa"/>
          </w:tcPr>
          <w:p w14:paraId="37C77A00" w14:textId="64323C7E" w:rsidR="004016CA" w:rsidRPr="00BE3780" w:rsidRDefault="004016CA" w:rsidP="00DC4418">
            <w:pPr>
              <w:pStyle w:val="TableParagraph"/>
              <w:jc w:val="right"/>
              <w:rPr>
                <w:sz w:val="20"/>
                <w:szCs w:val="20"/>
              </w:rPr>
            </w:pPr>
            <w:r w:rsidRPr="00BE3780">
              <w:rPr>
                <w:sz w:val="20"/>
                <w:szCs w:val="20"/>
              </w:rPr>
              <w:t>(0.</w:t>
            </w:r>
            <w:r w:rsidR="00F07D8E">
              <w:rPr>
                <w:sz w:val="20"/>
                <w:szCs w:val="20"/>
              </w:rPr>
              <w:t>09</w:t>
            </w:r>
            <w:r w:rsidRPr="00BE3780">
              <w:rPr>
                <w:sz w:val="20"/>
                <w:szCs w:val="20"/>
              </w:rPr>
              <w:t>)</w:t>
            </w:r>
          </w:p>
        </w:tc>
        <w:tc>
          <w:tcPr>
            <w:tcW w:w="1134" w:type="dxa"/>
          </w:tcPr>
          <w:p w14:paraId="7AA022EB" w14:textId="5501876B" w:rsidR="004016CA" w:rsidRPr="00BE3780" w:rsidRDefault="004016CA" w:rsidP="00DC4418">
            <w:pPr>
              <w:pStyle w:val="TableParagraph"/>
              <w:jc w:val="right"/>
              <w:rPr>
                <w:sz w:val="20"/>
                <w:szCs w:val="20"/>
              </w:rPr>
            </w:pPr>
            <w:r w:rsidRPr="00BE3780">
              <w:rPr>
                <w:sz w:val="20"/>
                <w:szCs w:val="20"/>
              </w:rPr>
              <w:t>(</w:t>
            </w:r>
            <w:r w:rsidR="00F07D8E">
              <w:rPr>
                <w:sz w:val="20"/>
                <w:szCs w:val="20"/>
              </w:rPr>
              <w:t>7.97</w:t>
            </w:r>
            <w:r w:rsidRPr="00BE3780">
              <w:rPr>
                <w:sz w:val="20"/>
                <w:szCs w:val="20"/>
              </w:rPr>
              <w:t>)</w:t>
            </w:r>
          </w:p>
        </w:tc>
        <w:tc>
          <w:tcPr>
            <w:tcW w:w="992" w:type="dxa"/>
          </w:tcPr>
          <w:p w14:paraId="6C68982A" w14:textId="00AE83E7" w:rsidR="004016CA" w:rsidRPr="00BE3780" w:rsidRDefault="004016CA" w:rsidP="00DC4418">
            <w:pPr>
              <w:pStyle w:val="TableParagraph"/>
              <w:jc w:val="right"/>
              <w:rPr>
                <w:sz w:val="20"/>
                <w:szCs w:val="20"/>
              </w:rPr>
            </w:pPr>
            <w:r w:rsidRPr="00BE3780">
              <w:rPr>
                <w:sz w:val="20"/>
                <w:szCs w:val="20"/>
              </w:rPr>
              <w:t>(</w:t>
            </w:r>
            <w:r w:rsidR="00F07D8E">
              <w:rPr>
                <w:sz w:val="20"/>
                <w:szCs w:val="20"/>
              </w:rPr>
              <w:t>-1</w:t>
            </w:r>
            <w:r w:rsidRPr="00BE3780">
              <w:rPr>
                <w:sz w:val="20"/>
                <w:szCs w:val="20"/>
              </w:rPr>
              <w:t>.</w:t>
            </w:r>
            <w:r w:rsidR="00F07D8E">
              <w:rPr>
                <w:sz w:val="20"/>
                <w:szCs w:val="20"/>
              </w:rPr>
              <w:t>32)</w:t>
            </w:r>
          </w:p>
        </w:tc>
        <w:tc>
          <w:tcPr>
            <w:tcW w:w="1134" w:type="dxa"/>
          </w:tcPr>
          <w:p w14:paraId="03A27AC6" w14:textId="77777777" w:rsidR="004016CA" w:rsidRPr="00BE3780" w:rsidRDefault="004016CA" w:rsidP="00DC4418">
            <w:pPr>
              <w:jc w:val="right"/>
              <w:rPr>
                <w:sz w:val="20"/>
                <w:szCs w:val="20"/>
              </w:rPr>
            </w:pPr>
          </w:p>
        </w:tc>
        <w:tc>
          <w:tcPr>
            <w:tcW w:w="992" w:type="dxa"/>
          </w:tcPr>
          <w:p w14:paraId="0B4CA69F" w14:textId="77777777" w:rsidR="004016CA" w:rsidRPr="00A976EA" w:rsidRDefault="004016CA" w:rsidP="00DC4418">
            <w:pPr>
              <w:jc w:val="right"/>
              <w:rPr>
                <w:sz w:val="20"/>
                <w:szCs w:val="20"/>
              </w:rPr>
            </w:pPr>
          </w:p>
        </w:tc>
      </w:tr>
      <w:tr w:rsidR="004016CA" w:rsidRPr="00CC2ED3" w14:paraId="6C5BB59B" w14:textId="77777777" w:rsidTr="00D34327">
        <w:trPr>
          <w:trHeight w:hRule="exact" w:val="268"/>
          <w:jc w:val="center"/>
        </w:trPr>
        <w:tc>
          <w:tcPr>
            <w:tcW w:w="1170" w:type="dxa"/>
          </w:tcPr>
          <w:p w14:paraId="31020F47" w14:textId="77777777" w:rsidR="004016CA" w:rsidRPr="006A0442" w:rsidRDefault="004016CA" w:rsidP="00DC4418">
            <w:pPr>
              <w:pStyle w:val="TableParagraph"/>
              <w:jc w:val="right"/>
              <w:rPr>
                <w:b/>
                <w:sz w:val="20"/>
                <w:szCs w:val="20"/>
                <w:highlight w:val="yellow"/>
              </w:rPr>
            </w:pPr>
          </w:p>
        </w:tc>
        <w:tc>
          <w:tcPr>
            <w:tcW w:w="1134" w:type="dxa"/>
          </w:tcPr>
          <w:p w14:paraId="3710D56F" w14:textId="77777777" w:rsidR="004016CA" w:rsidRPr="006A0442" w:rsidRDefault="004016CA" w:rsidP="00DC4418">
            <w:pPr>
              <w:pStyle w:val="TableParagraph"/>
              <w:jc w:val="right"/>
              <w:rPr>
                <w:b/>
                <w:sz w:val="20"/>
                <w:szCs w:val="20"/>
                <w:highlight w:val="yellow"/>
              </w:rPr>
            </w:pPr>
          </w:p>
        </w:tc>
        <w:tc>
          <w:tcPr>
            <w:tcW w:w="992" w:type="dxa"/>
          </w:tcPr>
          <w:p w14:paraId="1BD8D779" w14:textId="77777777" w:rsidR="004016CA" w:rsidRPr="00AF2782" w:rsidRDefault="004016CA" w:rsidP="00DC4418">
            <w:pPr>
              <w:pStyle w:val="TableParagraph"/>
              <w:jc w:val="right"/>
              <w:rPr>
                <w:b/>
                <w:sz w:val="20"/>
                <w:szCs w:val="20"/>
              </w:rPr>
            </w:pPr>
            <w:r w:rsidRPr="00AF2782">
              <w:rPr>
                <w:b/>
                <w:sz w:val="20"/>
                <w:szCs w:val="20"/>
              </w:rPr>
              <w:t>DMPK</w:t>
            </w:r>
          </w:p>
        </w:tc>
        <w:tc>
          <w:tcPr>
            <w:tcW w:w="1134" w:type="dxa"/>
          </w:tcPr>
          <w:p w14:paraId="68CEEFC2" w14:textId="77777777" w:rsidR="004016CA" w:rsidRPr="00AF2782" w:rsidRDefault="004016CA" w:rsidP="00DC4418">
            <w:pPr>
              <w:pStyle w:val="TableParagraph"/>
              <w:jc w:val="right"/>
              <w:rPr>
                <w:b/>
                <w:sz w:val="20"/>
                <w:szCs w:val="20"/>
              </w:rPr>
            </w:pPr>
            <w:proofErr w:type="spellStart"/>
            <w:r w:rsidRPr="00AF2782">
              <w:rPr>
                <w:b/>
                <w:sz w:val="20"/>
                <w:szCs w:val="20"/>
              </w:rPr>
              <w:t>DMPKi</w:t>
            </w:r>
            <w:proofErr w:type="spellEnd"/>
          </w:p>
        </w:tc>
        <w:tc>
          <w:tcPr>
            <w:tcW w:w="1134" w:type="dxa"/>
          </w:tcPr>
          <w:p w14:paraId="65D0C528" w14:textId="77777777" w:rsidR="004016CA" w:rsidRPr="00AF2782" w:rsidRDefault="004016CA" w:rsidP="00DC4418">
            <w:pPr>
              <w:pStyle w:val="TableParagraph"/>
              <w:jc w:val="right"/>
              <w:rPr>
                <w:b/>
                <w:sz w:val="20"/>
                <w:szCs w:val="20"/>
              </w:rPr>
            </w:pPr>
          </w:p>
        </w:tc>
        <w:tc>
          <w:tcPr>
            <w:tcW w:w="992" w:type="dxa"/>
          </w:tcPr>
          <w:p w14:paraId="15288E03" w14:textId="77777777" w:rsidR="004016CA" w:rsidRPr="00AF2782" w:rsidRDefault="004016CA" w:rsidP="00DC4418">
            <w:pPr>
              <w:pStyle w:val="TableParagraph"/>
              <w:jc w:val="right"/>
              <w:rPr>
                <w:b/>
                <w:sz w:val="20"/>
                <w:szCs w:val="20"/>
              </w:rPr>
            </w:pPr>
          </w:p>
        </w:tc>
        <w:tc>
          <w:tcPr>
            <w:tcW w:w="1134" w:type="dxa"/>
          </w:tcPr>
          <w:p w14:paraId="4FDCD3F1" w14:textId="77777777" w:rsidR="004016CA" w:rsidRPr="00AF2782" w:rsidRDefault="004016CA" w:rsidP="00DC4418">
            <w:pPr>
              <w:jc w:val="right"/>
              <w:rPr>
                <w:b/>
                <w:sz w:val="20"/>
                <w:szCs w:val="20"/>
              </w:rPr>
            </w:pPr>
          </w:p>
        </w:tc>
        <w:tc>
          <w:tcPr>
            <w:tcW w:w="992" w:type="dxa"/>
          </w:tcPr>
          <w:p w14:paraId="65BBAFFF" w14:textId="77777777" w:rsidR="004016CA" w:rsidRPr="00A976EA" w:rsidRDefault="004016CA" w:rsidP="00DC4418">
            <w:pPr>
              <w:jc w:val="right"/>
              <w:rPr>
                <w:b/>
                <w:sz w:val="20"/>
                <w:szCs w:val="20"/>
              </w:rPr>
            </w:pPr>
          </w:p>
        </w:tc>
      </w:tr>
      <w:tr w:rsidR="004016CA" w:rsidRPr="00AF2782" w14:paraId="34E55A98" w14:textId="77777777" w:rsidTr="00D34327">
        <w:trPr>
          <w:trHeight w:hRule="exact" w:val="268"/>
          <w:jc w:val="center"/>
        </w:trPr>
        <w:tc>
          <w:tcPr>
            <w:tcW w:w="1170" w:type="dxa"/>
            <w:shd w:val="clear" w:color="auto" w:fill="F2F2F2"/>
          </w:tcPr>
          <w:p w14:paraId="1552F1B3" w14:textId="4BE99267" w:rsidR="004016CA" w:rsidRPr="00AF2782" w:rsidRDefault="00AF2782" w:rsidP="00DC4418">
            <w:pPr>
              <w:pStyle w:val="TableParagraph"/>
              <w:jc w:val="right"/>
              <w:rPr>
                <w:sz w:val="20"/>
                <w:szCs w:val="20"/>
              </w:rPr>
            </w:pPr>
            <w:r>
              <w:rPr>
                <w:sz w:val="20"/>
                <w:szCs w:val="20"/>
              </w:rPr>
              <w:t>86.428</w:t>
            </w:r>
          </w:p>
        </w:tc>
        <w:tc>
          <w:tcPr>
            <w:tcW w:w="1134" w:type="dxa"/>
            <w:shd w:val="clear" w:color="auto" w:fill="F2F2F2"/>
          </w:tcPr>
          <w:p w14:paraId="2A0F1334" w14:textId="53ED3DC1" w:rsidR="004016CA" w:rsidRPr="00AF2782" w:rsidRDefault="00AF2782" w:rsidP="00DC4418">
            <w:pPr>
              <w:pStyle w:val="TableParagraph"/>
              <w:jc w:val="right"/>
              <w:rPr>
                <w:sz w:val="20"/>
                <w:szCs w:val="20"/>
              </w:rPr>
            </w:pPr>
            <w:r>
              <w:rPr>
                <w:sz w:val="20"/>
                <w:szCs w:val="20"/>
              </w:rPr>
              <w:t>3.020</w:t>
            </w:r>
          </w:p>
        </w:tc>
        <w:tc>
          <w:tcPr>
            <w:tcW w:w="992" w:type="dxa"/>
            <w:shd w:val="clear" w:color="auto" w:fill="F2F2F2"/>
          </w:tcPr>
          <w:p w14:paraId="1F608E0E" w14:textId="6E1CEFD5" w:rsidR="004016CA" w:rsidRPr="00AF2782" w:rsidRDefault="004016CA" w:rsidP="00DC4418">
            <w:pPr>
              <w:pStyle w:val="TableParagraph"/>
              <w:jc w:val="right"/>
              <w:rPr>
                <w:sz w:val="20"/>
                <w:szCs w:val="20"/>
              </w:rPr>
            </w:pPr>
            <w:r w:rsidRPr="00AF2782">
              <w:rPr>
                <w:sz w:val="20"/>
                <w:szCs w:val="20"/>
              </w:rPr>
              <w:t>0.</w:t>
            </w:r>
            <w:r w:rsidR="00AF2782">
              <w:rPr>
                <w:sz w:val="20"/>
                <w:szCs w:val="20"/>
              </w:rPr>
              <w:t>862</w:t>
            </w:r>
          </w:p>
        </w:tc>
        <w:tc>
          <w:tcPr>
            <w:tcW w:w="1134" w:type="dxa"/>
            <w:shd w:val="clear" w:color="auto" w:fill="F2F2F2"/>
          </w:tcPr>
          <w:p w14:paraId="56367298" w14:textId="4842838F" w:rsidR="004016CA" w:rsidRPr="00AF2782" w:rsidRDefault="00AF2782" w:rsidP="00DC4418">
            <w:pPr>
              <w:pStyle w:val="TableParagraph"/>
              <w:jc w:val="right"/>
              <w:rPr>
                <w:sz w:val="20"/>
                <w:szCs w:val="20"/>
              </w:rPr>
            </w:pPr>
            <w:r>
              <w:rPr>
                <w:sz w:val="20"/>
                <w:szCs w:val="20"/>
              </w:rPr>
              <w:t>62.358</w:t>
            </w:r>
          </w:p>
        </w:tc>
        <w:tc>
          <w:tcPr>
            <w:tcW w:w="1134" w:type="dxa"/>
            <w:shd w:val="clear" w:color="auto" w:fill="F2F2F2"/>
          </w:tcPr>
          <w:p w14:paraId="01D72450" w14:textId="66A41FCC" w:rsidR="004016CA" w:rsidRPr="00AF2782" w:rsidRDefault="00AF2782" w:rsidP="00DC4418">
            <w:pPr>
              <w:pStyle w:val="TableParagraph"/>
              <w:jc w:val="right"/>
              <w:rPr>
                <w:sz w:val="20"/>
                <w:szCs w:val="20"/>
              </w:rPr>
            </w:pPr>
            <w:r>
              <w:rPr>
                <w:sz w:val="20"/>
                <w:szCs w:val="20"/>
              </w:rPr>
              <w:t>-5.321</w:t>
            </w:r>
          </w:p>
        </w:tc>
        <w:tc>
          <w:tcPr>
            <w:tcW w:w="992" w:type="dxa"/>
            <w:shd w:val="clear" w:color="auto" w:fill="F2F2F2"/>
          </w:tcPr>
          <w:p w14:paraId="3598C48A" w14:textId="77777777" w:rsidR="004016CA" w:rsidRPr="00AF2782" w:rsidRDefault="004016CA" w:rsidP="00DC4418">
            <w:pPr>
              <w:pStyle w:val="TableParagraph"/>
              <w:jc w:val="right"/>
              <w:rPr>
                <w:sz w:val="20"/>
                <w:szCs w:val="20"/>
              </w:rPr>
            </w:pPr>
            <w:r w:rsidRPr="00AF2782">
              <w:rPr>
                <w:sz w:val="20"/>
                <w:szCs w:val="20"/>
              </w:rPr>
              <w:t>-</w:t>
            </w:r>
          </w:p>
        </w:tc>
        <w:tc>
          <w:tcPr>
            <w:tcW w:w="1134" w:type="dxa"/>
            <w:shd w:val="clear" w:color="auto" w:fill="F2F2F2"/>
          </w:tcPr>
          <w:p w14:paraId="40B8B3CF" w14:textId="68814E95" w:rsidR="004016CA" w:rsidRPr="00AF2782" w:rsidRDefault="004016CA" w:rsidP="00DC4418">
            <w:pPr>
              <w:jc w:val="right"/>
              <w:rPr>
                <w:sz w:val="20"/>
                <w:szCs w:val="20"/>
              </w:rPr>
            </w:pPr>
            <w:r w:rsidRPr="00AF2782">
              <w:rPr>
                <w:sz w:val="20"/>
                <w:szCs w:val="20"/>
              </w:rPr>
              <w:t>0.</w:t>
            </w:r>
            <w:r w:rsidR="00AF2782">
              <w:rPr>
                <w:sz w:val="20"/>
                <w:szCs w:val="20"/>
              </w:rPr>
              <w:t>98</w:t>
            </w:r>
          </w:p>
        </w:tc>
        <w:tc>
          <w:tcPr>
            <w:tcW w:w="992" w:type="dxa"/>
            <w:shd w:val="clear" w:color="auto" w:fill="F2F2F2"/>
          </w:tcPr>
          <w:p w14:paraId="08D6D63B" w14:textId="45A836EB" w:rsidR="004016CA" w:rsidRPr="00A976EA" w:rsidRDefault="00AF2782" w:rsidP="00DC4418">
            <w:pPr>
              <w:jc w:val="right"/>
              <w:rPr>
                <w:sz w:val="20"/>
                <w:szCs w:val="20"/>
              </w:rPr>
            </w:pPr>
            <w:r w:rsidRPr="00A976EA">
              <w:rPr>
                <w:sz w:val="20"/>
                <w:szCs w:val="20"/>
              </w:rPr>
              <w:t>3.01</w:t>
            </w:r>
          </w:p>
        </w:tc>
      </w:tr>
      <w:tr w:rsidR="004016CA" w:rsidRPr="00CC2ED3" w14:paraId="65C0C6A4" w14:textId="77777777" w:rsidTr="00D34327">
        <w:trPr>
          <w:trHeight w:hRule="exact" w:val="268"/>
          <w:jc w:val="center"/>
        </w:trPr>
        <w:tc>
          <w:tcPr>
            <w:tcW w:w="1170" w:type="dxa"/>
          </w:tcPr>
          <w:p w14:paraId="5DD145CB" w14:textId="4DA2D564" w:rsidR="004016CA" w:rsidRPr="00AF2782" w:rsidRDefault="004016CA" w:rsidP="00DC4418">
            <w:pPr>
              <w:pStyle w:val="TableParagraph"/>
              <w:jc w:val="right"/>
              <w:rPr>
                <w:sz w:val="20"/>
                <w:szCs w:val="20"/>
              </w:rPr>
            </w:pPr>
            <w:r w:rsidRPr="00AF2782">
              <w:rPr>
                <w:sz w:val="20"/>
                <w:szCs w:val="20"/>
              </w:rPr>
              <w:t>(</w:t>
            </w:r>
            <w:r w:rsidR="00AF2782">
              <w:rPr>
                <w:sz w:val="20"/>
                <w:szCs w:val="20"/>
              </w:rPr>
              <w:t>2.73</w:t>
            </w:r>
            <w:r w:rsidRPr="00AF2782">
              <w:rPr>
                <w:sz w:val="20"/>
                <w:szCs w:val="20"/>
              </w:rPr>
              <w:t>)</w:t>
            </w:r>
          </w:p>
        </w:tc>
        <w:tc>
          <w:tcPr>
            <w:tcW w:w="1134" w:type="dxa"/>
          </w:tcPr>
          <w:p w14:paraId="406F6F03" w14:textId="65DB5C6A" w:rsidR="004016CA" w:rsidRPr="00AF2782" w:rsidRDefault="004016CA" w:rsidP="00DC4418">
            <w:pPr>
              <w:pStyle w:val="TableParagraph"/>
              <w:jc w:val="right"/>
              <w:rPr>
                <w:sz w:val="20"/>
                <w:szCs w:val="20"/>
              </w:rPr>
            </w:pPr>
            <w:r w:rsidRPr="00AF2782">
              <w:rPr>
                <w:sz w:val="20"/>
                <w:szCs w:val="20"/>
              </w:rPr>
              <w:t>(1</w:t>
            </w:r>
            <w:r w:rsidR="00AF2782">
              <w:rPr>
                <w:sz w:val="20"/>
                <w:szCs w:val="20"/>
              </w:rPr>
              <w:t>0.21</w:t>
            </w:r>
            <w:r w:rsidRPr="00AF2782">
              <w:rPr>
                <w:sz w:val="20"/>
                <w:szCs w:val="20"/>
              </w:rPr>
              <w:t>)</w:t>
            </w:r>
          </w:p>
        </w:tc>
        <w:tc>
          <w:tcPr>
            <w:tcW w:w="992" w:type="dxa"/>
          </w:tcPr>
          <w:p w14:paraId="0E02A002" w14:textId="5F5734F0" w:rsidR="004016CA" w:rsidRPr="00AF2782" w:rsidRDefault="004016CA" w:rsidP="00DC4418">
            <w:pPr>
              <w:pStyle w:val="TableParagraph"/>
              <w:jc w:val="right"/>
              <w:rPr>
                <w:sz w:val="20"/>
                <w:szCs w:val="20"/>
              </w:rPr>
            </w:pPr>
            <w:r w:rsidRPr="00AF2782">
              <w:rPr>
                <w:sz w:val="20"/>
                <w:szCs w:val="20"/>
              </w:rPr>
              <w:t>(</w:t>
            </w:r>
            <w:r w:rsidR="00AF2782">
              <w:rPr>
                <w:sz w:val="20"/>
                <w:szCs w:val="20"/>
              </w:rPr>
              <w:t>1.70</w:t>
            </w:r>
            <w:r w:rsidRPr="00AF2782">
              <w:rPr>
                <w:sz w:val="20"/>
                <w:szCs w:val="20"/>
              </w:rPr>
              <w:t>)</w:t>
            </w:r>
          </w:p>
        </w:tc>
        <w:tc>
          <w:tcPr>
            <w:tcW w:w="1134" w:type="dxa"/>
          </w:tcPr>
          <w:p w14:paraId="15C11F02" w14:textId="418207D1" w:rsidR="004016CA" w:rsidRPr="00AF2782" w:rsidRDefault="004016CA" w:rsidP="00DC4418">
            <w:pPr>
              <w:pStyle w:val="TableParagraph"/>
              <w:jc w:val="right"/>
              <w:rPr>
                <w:sz w:val="20"/>
                <w:szCs w:val="20"/>
              </w:rPr>
            </w:pPr>
            <w:r w:rsidRPr="00AF2782">
              <w:rPr>
                <w:sz w:val="20"/>
                <w:szCs w:val="20"/>
              </w:rPr>
              <w:t>(0.</w:t>
            </w:r>
            <w:r w:rsidR="00AF2782">
              <w:rPr>
                <w:sz w:val="20"/>
                <w:szCs w:val="20"/>
              </w:rPr>
              <w:t>79</w:t>
            </w:r>
            <w:r w:rsidRPr="00AF2782">
              <w:rPr>
                <w:sz w:val="20"/>
                <w:szCs w:val="20"/>
              </w:rPr>
              <w:t>)</w:t>
            </w:r>
          </w:p>
        </w:tc>
        <w:tc>
          <w:tcPr>
            <w:tcW w:w="1134" w:type="dxa"/>
          </w:tcPr>
          <w:p w14:paraId="2CCF3EA2" w14:textId="434180B5" w:rsidR="004016CA" w:rsidRPr="00AF2782" w:rsidRDefault="004016CA" w:rsidP="00DC4418">
            <w:pPr>
              <w:pStyle w:val="TableParagraph"/>
              <w:jc w:val="right"/>
              <w:rPr>
                <w:sz w:val="20"/>
                <w:szCs w:val="20"/>
              </w:rPr>
            </w:pPr>
            <w:r w:rsidRPr="00AF2782">
              <w:rPr>
                <w:sz w:val="20"/>
                <w:szCs w:val="20"/>
              </w:rPr>
              <w:t>(</w:t>
            </w:r>
            <w:r w:rsidR="00AF2782">
              <w:rPr>
                <w:sz w:val="20"/>
                <w:szCs w:val="20"/>
              </w:rPr>
              <w:t>-2.06</w:t>
            </w:r>
            <w:r w:rsidRPr="00AF2782">
              <w:rPr>
                <w:sz w:val="20"/>
                <w:szCs w:val="20"/>
              </w:rPr>
              <w:t>)</w:t>
            </w:r>
          </w:p>
        </w:tc>
        <w:tc>
          <w:tcPr>
            <w:tcW w:w="992" w:type="dxa"/>
          </w:tcPr>
          <w:p w14:paraId="25A29B74" w14:textId="77777777" w:rsidR="004016CA" w:rsidRPr="00AF2782" w:rsidRDefault="004016CA" w:rsidP="00DC4418">
            <w:pPr>
              <w:pStyle w:val="TableParagraph"/>
              <w:rPr>
                <w:sz w:val="20"/>
                <w:szCs w:val="20"/>
              </w:rPr>
            </w:pPr>
          </w:p>
        </w:tc>
        <w:tc>
          <w:tcPr>
            <w:tcW w:w="1134" w:type="dxa"/>
          </w:tcPr>
          <w:p w14:paraId="6A32795F" w14:textId="77777777" w:rsidR="004016CA" w:rsidRPr="00AF2782" w:rsidRDefault="004016CA" w:rsidP="00DC4418">
            <w:pPr>
              <w:jc w:val="right"/>
              <w:rPr>
                <w:sz w:val="20"/>
                <w:szCs w:val="20"/>
              </w:rPr>
            </w:pPr>
          </w:p>
        </w:tc>
        <w:tc>
          <w:tcPr>
            <w:tcW w:w="992" w:type="dxa"/>
          </w:tcPr>
          <w:p w14:paraId="2D670F40" w14:textId="77777777" w:rsidR="004016CA" w:rsidRPr="00A976EA" w:rsidRDefault="004016CA" w:rsidP="00DC4418">
            <w:pPr>
              <w:jc w:val="right"/>
              <w:rPr>
                <w:sz w:val="20"/>
                <w:szCs w:val="20"/>
              </w:rPr>
            </w:pPr>
          </w:p>
        </w:tc>
      </w:tr>
      <w:tr w:rsidR="004016CA" w:rsidRPr="00CC2ED3" w14:paraId="0C3821DF" w14:textId="77777777" w:rsidTr="00D34327">
        <w:trPr>
          <w:trHeight w:hRule="exact" w:val="268"/>
          <w:jc w:val="center"/>
        </w:trPr>
        <w:tc>
          <w:tcPr>
            <w:tcW w:w="1170" w:type="dxa"/>
            <w:shd w:val="clear" w:color="auto" w:fill="F2F2F2"/>
          </w:tcPr>
          <w:p w14:paraId="2F916ADB" w14:textId="2D9E44B5" w:rsidR="004016CA" w:rsidRPr="00AF2782" w:rsidRDefault="00AF2782" w:rsidP="00DC4418">
            <w:pPr>
              <w:pStyle w:val="TableParagraph"/>
              <w:jc w:val="right"/>
              <w:rPr>
                <w:sz w:val="20"/>
                <w:szCs w:val="20"/>
              </w:rPr>
            </w:pPr>
            <w:r>
              <w:rPr>
                <w:sz w:val="20"/>
                <w:szCs w:val="20"/>
              </w:rPr>
              <w:t>271.49</w:t>
            </w:r>
          </w:p>
        </w:tc>
        <w:tc>
          <w:tcPr>
            <w:tcW w:w="1134" w:type="dxa"/>
            <w:shd w:val="clear" w:color="auto" w:fill="F2F2F2"/>
          </w:tcPr>
          <w:p w14:paraId="78BD0EE6" w14:textId="2C536B9A" w:rsidR="004016CA" w:rsidRPr="00AF2782" w:rsidRDefault="00AF2782" w:rsidP="00DC4418">
            <w:pPr>
              <w:pStyle w:val="TableParagraph"/>
              <w:jc w:val="right"/>
              <w:rPr>
                <w:sz w:val="20"/>
                <w:szCs w:val="20"/>
              </w:rPr>
            </w:pPr>
            <w:r>
              <w:rPr>
                <w:sz w:val="20"/>
                <w:szCs w:val="20"/>
              </w:rPr>
              <w:t>1.590</w:t>
            </w:r>
          </w:p>
        </w:tc>
        <w:tc>
          <w:tcPr>
            <w:tcW w:w="992" w:type="dxa"/>
            <w:shd w:val="clear" w:color="auto" w:fill="F2F2F2"/>
          </w:tcPr>
          <w:p w14:paraId="07F1885E" w14:textId="7C64CBA2" w:rsidR="004016CA" w:rsidRPr="00AF2782" w:rsidRDefault="004016CA" w:rsidP="00DC4418">
            <w:pPr>
              <w:pStyle w:val="TableParagraph"/>
              <w:jc w:val="right"/>
              <w:rPr>
                <w:sz w:val="20"/>
                <w:szCs w:val="20"/>
              </w:rPr>
            </w:pPr>
            <w:r w:rsidRPr="00AF2782">
              <w:rPr>
                <w:sz w:val="20"/>
                <w:szCs w:val="20"/>
              </w:rPr>
              <w:t>-0.2</w:t>
            </w:r>
            <w:r w:rsidR="00AF2782">
              <w:rPr>
                <w:sz w:val="20"/>
                <w:szCs w:val="20"/>
              </w:rPr>
              <w:t>77</w:t>
            </w:r>
          </w:p>
        </w:tc>
        <w:tc>
          <w:tcPr>
            <w:tcW w:w="1134" w:type="dxa"/>
            <w:shd w:val="clear" w:color="auto" w:fill="F2F2F2"/>
          </w:tcPr>
          <w:p w14:paraId="58092689" w14:textId="6446DC08" w:rsidR="004016CA" w:rsidRPr="00A21649" w:rsidRDefault="00AF2782" w:rsidP="00DC4418">
            <w:pPr>
              <w:pStyle w:val="TableParagraph"/>
              <w:jc w:val="right"/>
              <w:rPr>
                <w:b/>
                <w:bCs/>
                <w:sz w:val="20"/>
                <w:szCs w:val="20"/>
              </w:rPr>
            </w:pPr>
            <w:r w:rsidRPr="00A21649">
              <w:rPr>
                <w:b/>
                <w:bCs/>
                <w:sz w:val="20"/>
                <w:szCs w:val="20"/>
              </w:rPr>
              <w:t>84.434</w:t>
            </w:r>
          </w:p>
        </w:tc>
        <w:tc>
          <w:tcPr>
            <w:tcW w:w="1134" w:type="dxa"/>
            <w:shd w:val="clear" w:color="auto" w:fill="F2F2F2"/>
          </w:tcPr>
          <w:p w14:paraId="72182BEF" w14:textId="3C286F1C" w:rsidR="004016CA" w:rsidRPr="00AF2782" w:rsidRDefault="004016CA" w:rsidP="00DC4418">
            <w:pPr>
              <w:pStyle w:val="TableParagraph"/>
              <w:jc w:val="right"/>
              <w:rPr>
                <w:sz w:val="20"/>
                <w:szCs w:val="20"/>
              </w:rPr>
            </w:pPr>
            <w:r w:rsidRPr="00AF2782">
              <w:rPr>
                <w:sz w:val="20"/>
                <w:szCs w:val="20"/>
              </w:rPr>
              <w:t>0.</w:t>
            </w:r>
            <w:r w:rsidR="00AF2782">
              <w:rPr>
                <w:sz w:val="20"/>
                <w:szCs w:val="20"/>
              </w:rPr>
              <w:t>092</w:t>
            </w:r>
          </w:p>
        </w:tc>
        <w:tc>
          <w:tcPr>
            <w:tcW w:w="992" w:type="dxa"/>
            <w:shd w:val="clear" w:color="auto" w:fill="F2F2F2"/>
          </w:tcPr>
          <w:p w14:paraId="245A6BAF" w14:textId="3F26A2E5" w:rsidR="004016CA" w:rsidRPr="00AF2782" w:rsidRDefault="00AF2782" w:rsidP="00DC4418">
            <w:pPr>
              <w:pStyle w:val="TableParagraph"/>
              <w:jc w:val="right"/>
              <w:rPr>
                <w:sz w:val="20"/>
                <w:szCs w:val="20"/>
              </w:rPr>
            </w:pPr>
            <w:r>
              <w:rPr>
                <w:sz w:val="20"/>
                <w:szCs w:val="20"/>
              </w:rPr>
              <w:t>-</w:t>
            </w:r>
            <w:r w:rsidR="004016CA" w:rsidRPr="00AF2782">
              <w:rPr>
                <w:sz w:val="20"/>
                <w:szCs w:val="20"/>
              </w:rPr>
              <w:t>0.9</w:t>
            </w:r>
            <w:r>
              <w:rPr>
                <w:sz w:val="20"/>
                <w:szCs w:val="20"/>
              </w:rPr>
              <w:t>92</w:t>
            </w:r>
          </w:p>
        </w:tc>
        <w:tc>
          <w:tcPr>
            <w:tcW w:w="1134" w:type="dxa"/>
            <w:shd w:val="clear" w:color="auto" w:fill="F2F2F2"/>
          </w:tcPr>
          <w:p w14:paraId="3BE1D5CB" w14:textId="0435871B" w:rsidR="004016CA" w:rsidRPr="00AF2782" w:rsidRDefault="004016CA" w:rsidP="00DC4418">
            <w:pPr>
              <w:jc w:val="right"/>
              <w:rPr>
                <w:sz w:val="20"/>
                <w:szCs w:val="20"/>
              </w:rPr>
            </w:pPr>
            <w:r w:rsidRPr="00AF2782">
              <w:rPr>
                <w:sz w:val="20"/>
                <w:szCs w:val="20"/>
              </w:rPr>
              <w:t>0.</w:t>
            </w:r>
            <w:r w:rsidR="00AF2782">
              <w:rPr>
                <w:sz w:val="20"/>
                <w:szCs w:val="20"/>
              </w:rPr>
              <w:t>99</w:t>
            </w:r>
          </w:p>
        </w:tc>
        <w:tc>
          <w:tcPr>
            <w:tcW w:w="992" w:type="dxa"/>
            <w:shd w:val="clear" w:color="auto" w:fill="F2F2F2"/>
          </w:tcPr>
          <w:p w14:paraId="61D38F95" w14:textId="4A6DFF77" w:rsidR="004016CA" w:rsidRPr="00A976EA" w:rsidRDefault="00AF2782" w:rsidP="00DC4418">
            <w:pPr>
              <w:jc w:val="right"/>
              <w:rPr>
                <w:sz w:val="20"/>
                <w:szCs w:val="20"/>
              </w:rPr>
            </w:pPr>
            <w:r w:rsidRPr="00A976EA">
              <w:rPr>
                <w:sz w:val="20"/>
                <w:szCs w:val="20"/>
              </w:rPr>
              <w:t>0.84</w:t>
            </w:r>
          </w:p>
        </w:tc>
      </w:tr>
      <w:tr w:rsidR="004016CA" w:rsidRPr="00CC2ED3" w14:paraId="040F437A" w14:textId="77777777" w:rsidTr="00D34327">
        <w:trPr>
          <w:trHeight w:hRule="exact" w:val="268"/>
          <w:jc w:val="center"/>
        </w:trPr>
        <w:tc>
          <w:tcPr>
            <w:tcW w:w="1170" w:type="dxa"/>
          </w:tcPr>
          <w:p w14:paraId="60781A36" w14:textId="3F84E7F1" w:rsidR="004016CA" w:rsidRPr="00AF2782" w:rsidRDefault="004016CA" w:rsidP="00DC4418">
            <w:pPr>
              <w:pStyle w:val="TableParagraph"/>
              <w:jc w:val="right"/>
              <w:rPr>
                <w:sz w:val="20"/>
                <w:szCs w:val="20"/>
              </w:rPr>
            </w:pPr>
            <w:r w:rsidRPr="00AF2782">
              <w:rPr>
                <w:sz w:val="20"/>
                <w:szCs w:val="20"/>
              </w:rPr>
              <w:t>(</w:t>
            </w:r>
            <w:r w:rsidR="00AF2782">
              <w:rPr>
                <w:sz w:val="20"/>
                <w:szCs w:val="20"/>
              </w:rPr>
              <w:t>8.04</w:t>
            </w:r>
            <w:r w:rsidRPr="00AF2782">
              <w:rPr>
                <w:sz w:val="20"/>
                <w:szCs w:val="20"/>
              </w:rPr>
              <w:t>)</w:t>
            </w:r>
          </w:p>
        </w:tc>
        <w:tc>
          <w:tcPr>
            <w:tcW w:w="1134" w:type="dxa"/>
          </w:tcPr>
          <w:p w14:paraId="7A927E47" w14:textId="37C77CDB" w:rsidR="004016CA" w:rsidRPr="00AF2782" w:rsidRDefault="004016CA" w:rsidP="00DC4418">
            <w:pPr>
              <w:pStyle w:val="TableParagraph"/>
              <w:jc w:val="right"/>
              <w:rPr>
                <w:sz w:val="20"/>
                <w:szCs w:val="20"/>
              </w:rPr>
            </w:pPr>
            <w:r w:rsidRPr="00AF2782">
              <w:rPr>
                <w:sz w:val="20"/>
                <w:szCs w:val="20"/>
              </w:rPr>
              <w:t>(</w:t>
            </w:r>
            <w:r w:rsidR="00AF2782">
              <w:rPr>
                <w:sz w:val="20"/>
                <w:szCs w:val="20"/>
              </w:rPr>
              <w:t>4.28</w:t>
            </w:r>
            <w:r w:rsidRPr="00AF2782">
              <w:rPr>
                <w:sz w:val="20"/>
                <w:szCs w:val="20"/>
              </w:rPr>
              <w:t>)</w:t>
            </w:r>
          </w:p>
        </w:tc>
        <w:tc>
          <w:tcPr>
            <w:tcW w:w="992" w:type="dxa"/>
          </w:tcPr>
          <w:p w14:paraId="610362E0" w14:textId="5552EAF4" w:rsidR="004016CA" w:rsidRPr="00AF2782" w:rsidRDefault="004016CA" w:rsidP="00DC4418">
            <w:pPr>
              <w:pStyle w:val="TableParagraph"/>
              <w:jc w:val="right"/>
              <w:rPr>
                <w:sz w:val="20"/>
                <w:szCs w:val="20"/>
              </w:rPr>
            </w:pPr>
            <w:r w:rsidRPr="00AF2782">
              <w:rPr>
                <w:sz w:val="20"/>
                <w:szCs w:val="20"/>
              </w:rPr>
              <w:t>(-</w:t>
            </w:r>
            <w:r w:rsidR="00AF2782">
              <w:rPr>
                <w:sz w:val="20"/>
                <w:szCs w:val="20"/>
              </w:rPr>
              <w:t>0.94</w:t>
            </w:r>
            <w:r w:rsidRPr="00AF2782">
              <w:rPr>
                <w:sz w:val="20"/>
                <w:szCs w:val="20"/>
              </w:rPr>
              <w:t>)</w:t>
            </w:r>
          </w:p>
        </w:tc>
        <w:tc>
          <w:tcPr>
            <w:tcW w:w="1134" w:type="dxa"/>
          </w:tcPr>
          <w:p w14:paraId="59F51998" w14:textId="629B0BEB" w:rsidR="004016CA" w:rsidRPr="00A21649" w:rsidRDefault="004016CA" w:rsidP="00DC4418">
            <w:pPr>
              <w:pStyle w:val="TableParagraph"/>
              <w:jc w:val="right"/>
              <w:rPr>
                <w:b/>
                <w:bCs/>
                <w:sz w:val="20"/>
                <w:szCs w:val="20"/>
              </w:rPr>
            </w:pPr>
            <w:r w:rsidRPr="00A21649">
              <w:rPr>
                <w:b/>
                <w:bCs/>
                <w:sz w:val="20"/>
                <w:szCs w:val="20"/>
              </w:rPr>
              <w:t>(2.</w:t>
            </w:r>
            <w:r w:rsidR="00AF2782" w:rsidRPr="00A21649">
              <w:rPr>
                <w:b/>
                <w:bCs/>
                <w:sz w:val="20"/>
                <w:szCs w:val="20"/>
              </w:rPr>
              <w:t>07</w:t>
            </w:r>
            <w:r w:rsidRPr="00A21649">
              <w:rPr>
                <w:b/>
                <w:bCs/>
                <w:sz w:val="20"/>
                <w:szCs w:val="20"/>
              </w:rPr>
              <w:t>)</w:t>
            </w:r>
          </w:p>
        </w:tc>
        <w:tc>
          <w:tcPr>
            <w:tcW w:w="1134" w:type="dxa"/>
          </w:tcPr>
          <w:p w14:paraId="2AE3BD7A" w14:textId="7218C4CD" w:rsidR="004016CA" w:rsidRPr="00AF2782" w:rsidRDefault="004016CA" w:rsidP="00DC4418">
            <w:pPr>
              <w:pStyle w:val="TableParagraph"/>
              <w:jc w:val="right"/>
              <w:rPr>
                <w:sz w:val="20"/>
                <w:szCs w:val="20"/>
              </w:rPr>
            </w:pPr>
            <w:r w:rsidRPr="00AF2782">
              <w:rPr>
                <w:sz w:val="20"/>
                <w:szCs w:val="20"/>
              </w:rPr>
              <w:t>(0.</w:t>
            </w:r>
            <w:r w:rsidR="00AF2782">
              <w:rPr>
                <w:sz w:val="20"/>
                <w:szCs w:val="20"/>
              </w:rPr>
              <w:t>05</w:t>
            </w:r>
            <w:r w:rsidRPr="00AF2782">
              <w:rPr>
                <w:sz w:val="20"/>
                <w:szCs w:val="20"/>
              </w:rPr>
              <w:t>)</w:t>
            </w:r>
          </w:p>
        </w:tc>
        <w:tc>
          <w:tcPr>
            <w:tcW w:w="992" w:type="dxa"/>
          </w:tcPr>
          <w:p w14:paraId="7DE8C250" w14:textId="16366998" w:rsidR="004016CA" w:rsidRPr="00AF2782" w:rsidRDefault="004016CA" w:rsidP="00DC4418">
            <w:pPr>
              <w:pStyle w:val="TableParagraph"/>
              <w:jc w:val="right"/>
              <w:rPr>
                <w:sz w:val="20"/>
                <w:szCs w:val="20"/>
              </w:rPr>
            </w:pPr>
            <w:r w:rsidRPr="00AF2782">
              <w:rPr>
                <w:sz w:val="20"/>
                <w:szCs w:val="20"/>
              </w:rPr>
              <w:t>(</w:t>
            </w:r>
            <w:r w:rsidR="00AF2782">
              <w:rPr>
                <w:sz w:val="20"/>
                <w:szCs w:val="20"/>
              </w:rPr>
              <w:t>-101.30</w:t>
            </w:r>
            <w:r w:rsidRPr="00AF2782">
              <w:rPr>
                <w:sz w:val="20"/>
                <w:szCs w:val="20"/>
              </w:rPr>
              <w:t>)</w:t>
            </w:r>
          </w:p>
        </w:tc>
        <w:tc>
          <w:tcPr>
            <w:tcW w:w="1134" w:type="dxa"/>
          </w:tcPr>
          <w:p w14:paraId="657384D3" w14:textId="77777777" w:rsidR="004016CA" w:rsidRPr="00AF2782" w:rsidRDefault="004016CA" w:rsidP="00DC4418">
            <w:pPr>
              <w:jc w:val="right"/>
              <w:rPr>
                <w:sz w:val="20"/>
                <w:szCs w:val="20"/>
              </w:rPr>
            </w:pPr>
          </w:p>
        </w:tc>
        <w:tc>
          <w:tcPr>
            <w:tcW w:w="992" w:type="dxa"/>
          </w:tcPr>
          <w:p w14:paraId="1BBB85F8" w14:textId="77777777" w:rsidR="004016CA" w:rsidRPr="00A976EA" w:rsidRDefault="004016CA" w:rsidP="00DC4418">
            <w:pPr>
              <w:jc w:val="right"/>
              <w:rPr>
                <w:sz w:val="20"/>
                <w:szCs w:val="20"/>
              </w:rPr>
            </w:pPr>
          </w:p>
        </w:tc>
      </w:tr>
      <w:tr w:rsidR="00247304" w:rsidRPr="00CC2ED3" w14:paraId="05F32A7D" w14:textId="77777777" w:rsidTr="00D34327">
        <w:trPr>
          <w:trHeight w:hRule="exact" w:val="268"/>
          <w:jc w:val="center"/>
        </w:trPr>
        <w:tc>
          <w:tcPr>
            <w:tcW w:w="1170" w:type="dxa"/>
          </w:tcPr>
          <w:p w14:paraId="42DB4410" w14:textId="77777777" w:rsidR="00247304" w:rsidRPr="006A0442" w:rsidRDefault="00247304" w:rsidP="00247304">
            <w:pPr>
              <w:pStyle w:val="TableParagraph"/>
              <w:jc w:val="right"/>
              <w:rPr>
                <w:sz w:val="20"/>
                <w:szCs w:val="20"/>
                <w:highlight w:val="yellow"/>
              </w:rPr>
            </w:pPr>
          </w:p>
        </w:tc>
        <w:tc>
          <w:tcPr>
            <w:tcW w:w="1134" w:type="dxa"/>
          </w:tcPr>
          <w:p w14:paraId="70CEE69D" w14:textId="19DB745B" w:rsidR="00247304" w:rsidRPr="006A0442" w:rsidRDefault="00247304" w:rsidP="00247304">
            <w:pPr>
              <w:pStyle w:val="TableParagraph"/>
              <w:jc w:val="right"/>
              <w:rPr>
                <w:sz w:val="20"/>
                <w:szCs w:val="20"/>
                <w:highlight w:val="yellow"/>
              </w:rPr>
            </w:pPr>
          </w:p>
        </w:tc>
        <w:tc>
          <w:tcPr>
            <w:tcW w:w="992" w:type="dxa"/>
          </w:tcPr>
          <w:p w14:paraId="4C71F5D8" w14:textId="32C059D7" w:rsidR="00247304" w:rsidRPr="00A21649" w:rsidRDefault="00247304" w:rsidP="00247304">
            <w:pPr>
              <w:pStyle w:val="TableParagraph"/>
              <w:jc w:val="right"/>
              <w:rPr>
                <w:sz w:val="20"/>
                <w:szCs w:val="20"/>
              </w:rPr>
            </w:pPr>
            <w:r w:rsidRPr="00A21649">
              <w:rPr>
                <w:b/>
                <w:sz w:val="20"/>
                <w:szCs w:val="20"/>
              </w:rPr>
              <w:t>DMCK</w:t>
            </w:r>
          </w:p>
        </w:tc>
        <w:tc>
          <w:tcPr>
            <w:tcW w:w="1134" w:type="dxa"/>
          </w:tcPr>
          <w:p w14:paraId="4AF12D05" w14:textId="6DE5172B" w:rsidR="00247304" w:rsidRPr="00A21649" w:rsidRDefault="00247304" w:rsidP="00247304">
            <w:pPr>
              <w:pStyle w:val="TableParagraph"/>
              <w:jc w:val="right"/>
              <w:rPr>
                <w:sz w:val="20"/>
                <w:szCs w:val="20"/>
              </w:rPr>
            </w:pPr>
            <w:proofErr w:type="spellStart"/>
            <w:r w:rsidRPr="00A21649">
              <w:rPr>
                <w:b/>
                <w:sz w:val="20"/>
                <w:szCs w:val="20"/>
              </w:rPr>
              <w:t>DMCKi</w:t>
            </w:r>
            <w:proofErr w:type="spellEnd"/>
          </w:p>
        </w:tc>
        <w:tc>
          <w:tcPr>
            <w:tcW w:w="1134" w:type="dxa"/>
          </w:tcPr>
          <w:p w14:paraId="2158F295" w14:textId="77777777" w:rsidR="00247304" w:rsidRPr="006A0442" w:rsidRDefault="00247304" w:rsidP="00247304">
            <w:pPr>
              <w:pStyle w:val="TableParagraph"/>
              <w:jc w:val="right"/>
              <w:rPr>
                <w:sz w:val="20"/>
                <w:szCs w:val="20"/>
                <w:highlight w:val="yellow"/>
              </w:rPr>
            </w:pPr>
          </w:p>
        </w:tc>
        <w:tc>
          <w:tcPr>
            <w:tcW w:w="992" w:type="dxa"/>
          </w:tcPr>
          <w:p w14:paraId="6C5F08D4" w14:textId="77777777" w:rsidR="00247304" w:rsidRPr="006A0442" w:rsidRDefault="00247304" w:rsidP="00247304">
            <w:pPr>
              <w:pStyle w:val="TableParagraph"/>
              <w:jc w:val="right"/>
              <w:rPr>
                <w:sz w:val="20"/>
                <w:szCs w:val="20"/>
                <w:highlight w:val="yellow"/>
              </w:rPr>
            </w:pPr>
          </w:p>
        </w:tc>
        <w:tc>
          <w:tcPr>
            <w:tcW w:w="1134" w:type="dxa"/>
          </w:tcPr>
          <w:p w14:paraId="14E2B0E4" w14:textId="77777777" w:rsidR="00247304" w:rsidRPr="006A0442" w:rsidRDefault="00247304" w:rsidP="00247304">
            <w:pPr>
              <w:jc w:val="right"/>
              <w:rPr>
                <w:sz w:val="20"/>
                <w:szCs w:val="20"/>
                <w:highlight w:val="yellow"/>
              </w:rPr>
            </w:pPr>
          </w:p>
        </w:tc>
        <w:tc>
          <w:tcPr>
            <w:tcW w:w="992" w:type="dxa"/>
          </w:tcPr>
          <w:p w14:paraId="57A8E8AD" w14:textId="77777777" w:rsidR="00247304" w:rsidRPr="00A976EA" w:rsidRDefault="00247304" w:rsidP="00247304">
            <w:pPr>
              <w:jc w:val="right"/>
              <w:rPr>
                <w:sz w:val="20"/>
                <w:szCs w:val="20"/>
              </w:rPr>
            </w:pPr>
          </w:p>
        </w:tc>
      </w:tr>
      <w:tr w:rsidR="00247304" w:rsidRPr="00A21649" w14:paraId="3D83E88A" w14:textId="77777777" w:rsidTr="00D34327">
        <w:trPr>
          <w:trHeight w:hRule="exact" w:val="268"/>
          <w:jc w:val="center"/>
        </w:trPr>
        <w:tc>
          <w:tcPr>
            <w:tcW w:w="1170" w:type="dxa"/>
          </w:tcPr>
          <w:p w14:paraId="1D6FB762" w14:textId="0F49A229" w:rsidR="00247304" w:rsidRPr="00A21649" w:rsidRDefault="00A21649" w:rsidP="00247304">
            <w:pPr>
              <w:pStyle w:val="TableParagraph"/>
              <w:jc w:val="right"/>
              <w:rPr>
                <w:sz w:val="20"/>
                <w:szCs w:val="20"/>
              </w:rPr>
            </w:pPr>
            <w:r>
              <w:rPr>
                <w:rFonts w:cstheme="minorHAnsi"/>
                <w:sz w:val="20"/>
                <w:szCs w:val="20"/>
              </w:rPr>
              <w:t>11.929</w:t>
            </w:r>
          </w:p>
        </w:tc>
        <w:tc>
          <w:tcPr>
            <w:tcW w:w="1134" w:type="dxa"/>
          </w:tcPr>
          <w:p w14:paraId="61DAEE69" w14:textId="0BD94CD3" w:rsidR="00247304" w:rsidRPr="00A21649" w:rsidRDefault="00247304" w:rsidP="00247304">
            <w:pPr>
              <w:pStyle w:val="TableParagraph"/>
              <w:jc w:val="right"/>
              <w:rPr>
                <w:sz w:val="20"/>
                <w:szCs w:val="20"/>
              </w:rPr>
            </w:pPr>
            <w:r w:rsidRPr="00A21649">
              <w:rPr>
                <w:rFonts w:cstheme="minorHAnsi"/>
                <w:sz w:val="20"/>
                <w:szCs w:val="20"/>
              </w:rPr>
              <w:t>0.</w:t>
            </w:r>
            <w:r w:rsidR="00A21649">
              <w:rPr>
                <w:rFonts w:cstheme="minorHAnsi"/>
                <w:sz w:val="20"/>
                <w:szCs w:val="20"/>
              </w:rPr>
              <w:t>870</w:t>
            </w:r>
          </w:p>
        </w:tc>
        <w:tc>
          <w:tcPr>
            <w:tcW w:w="992" w:type="dxa"/>
          </w:tcPr>
          <w:p w14:paraId="26F9263F" w14:textId="11D6E71F" w:rsidR="00247304" w:rsidRPr="00A21649" w:rsidRDefault="00247304" w:rsidP="00247304">
            <w:pPr>
              <w:pStyle w:val="TableParagraph"/>
              <w:jc w:val="right"/>
              <w:rPr>
                <w:sz w:val="20"/>
                <w:szCs w:val="20"/>
              </w:rPr>
            </w:pPr>
            <w:r w:rsidRPr="00A21649">
              <w:rPr>
                <w:rFonts w:cstheme="minorHAnsi"/>
                <w:sz w:val="20"/>
                <w:szCs w:val="20"/>
              </w:rPr>
              <w:t>-0.</w:t>
            </w:r>
            <w:r w:rsidR="00A21649">
              <w:rPr>
                <w:rFonts w:cstheme="minorHAnsi"/>
                <w:sz w:val="20"/>
                <w:szCs w:val="20"/>
              </w:rPr>
              <w:t>300</w:t>
            </w:r>
          </w:p>
        </w:tc>
        <w:tc>
          <w:tcPr>
            <w:tcW w:w="1134" w:type="dxa"/>
          </w:tcPr>
          <w:p w14:paraId="3F3D16DA" w14:textId="610E18B8" w:rsidR="00247304" w:rsidRPr="00A21649" w:rsidRDefault="00A21649" w:rsidP="00247304">
            <w:pPr>
              <w:pStyle w:val="TableParagraph"/>
              <w:jc w:val="right"/>
              <w:rPr>
                <w:sz w:val="20"/>
                <w:szCs w:val="20"/>
              </w:rPr>
            </w:pPr>
            <w:r>
              <w:rPr>
                <w:rFonts w:cstheme="minorHAnsi"/>
                <w:b/>
                <w:bCs/>
                <w:sz w:val="20"/>
                <w:szCs w:val="20"/>
              </w:rPr>
              <w:t>37.829</w:t>
            </w:r>
          </w:p>
        </w:tc>
        <w:tc>
          <w:tcPr>
            <w:tcW w:w="1134" w:type="dxa"/>
          </w:tcPr>
          <w:p w14:paraId="25A28C7A" w14:textId="7C2F32C0" w:rsidR="00247304" w:rsidRPr="00A21649" w:rsidRDefault="00A21649" w:rsidP="00247304">
            <w:pPr>
              <w:pStyle w:val="TableParagraph"/>
              <w:jc w:val="right"/>
              <w:rPr>
                <w:sz w:val="20"/>
                <w:szCs w:val="20"/>
              </w:rPr>
            </w:pPr>
            <w:r>
              <w:rPr>
                <w:rFonts w:cstheme="minorHAnsi"/>
                <w:sz w:val="20"/>
                <w:szCs w:val="20"/>
              </w:rPr>
              <w:t>0.585</w:t>
            </w:r>
          </w:p>
        </w:tc>
        <w:tc>
          <w:tcPr>
            <w:tcW w:w="992" w:type="dxa"/>
          </w:tcPr>
          <w:p w14:paraId="67F3F1A5" w14:textId="7936B2F2" w:rsidR="00247304" w:rsidRPr="00A21649" w:rsidRDefault="00247304" w:rsidP="00247304">
            <w:pPr>
              <w:pStyle w:val="TableParagraph"/>
              <w:jc w:val="right"/>
              <w:rPr>
                <w:sz w:val="20"/>
                <w:szCs w:val="20"/>
              </w:rPr>
            </w:pPr>
            <w:r w:rsidRPr="00A21649">
              <w:rPr>
                <w:sz w:val="20"/>
                <w:szCs w:val="20"/>
              </w:rPr>
              <w:t>-</w:t>
            </w:r>
          </w:p>
        </w:tc>
        <w:tc>
          <w:tcPr>
            <w:tcW w:w="1134" w:type="dxa"/>
          </w:tcPr>
          <w:p w14:paraId="148A322B" w14:textId="5132D0CE" w:rsidR="00247304" w:rsidRPr="00A21649" w:rsidRDefault="00247304" w:rsidP="00247304">
            <w:pPr>
              <w:jc w:val="right"/>
              <w:rPr>
                <w:sz w:val="20"/>
                <w:szCs w:val="20"/>
              </w:rPr>
            </w:pPr>
            <w:r w:rsidRPr="00A21649">
              <w:rPr>
                <w:sz w:val="20"/>
                <w:szCs w:val="20"/>
              </w:rPr>
              <w:t>0.9</w:t>
            </w:r>
            <w:r w:rsidR="00A21649">
              <w:rPr>
                <w:sz w:val="20"/>
                <w:szCs w:val="20"/>
              </w:rPr>
              <w:t>8</w:t>
            </w:r>
          </w:p>
        </w:tc>
        <w:tc>
          <w:tcPr>
            <w:tcW w:w="992" w:type="dxa"/>
          </w:tcPr>
          <w:p w14:paraId="14B34C54" w14:textId="5DB1EFD3" w:rsidR="00247304" w:rsidRPr="00A976EA" w:rsidRDefault="00A21649" w:rsidP="00247304">
            <w:pPr>
              <w:jc w:val="right"/>
              <w:rPr>
                <w:sz w:val="20"/>
                <w:szCs w:val="20"/>
              </w:rPr>
            </w:pPr>
            <w:r w:rsidRPr="00A976EA">
              <w:rPr>
                <w:sz w:val="20"/>
                <w:szCs w:val="20"/>
              </w:rPr>
              <w:t>1.38</w:t>
            </w:r>
          </w:p>
        </w:tc>
      </w:tr>
      <w:tr w:rsidR="00247304" w:rsidRPr="00CC2ED3" w14:paraId="31225ED9" w14:textId="77777777" w:rsidTr="00D34327">
        <w:trPr>
          <w:trHeight w:hRule="exact" w:val="268"/>
          <w:jc w:val="center"/>
        </w:trPr>
        <w:tc>
          <w:tcPr>
            <w:tcW w:w="1170" w:type="dxa"/>
          </w:tcPr>
          <w:p w14:paraId="4050713C" w14:textId="3184115E" w:rsidR="00247304" w:rsidRPr="00A21649" w:rsidRDefault="00247304" w:rsidP="00247304">
            <w:pPr>
              <w:pStyle w:val="TableParagraph"/>
              <w:jc w:val="right"/>
              <w:rPr>
                <w:sz w:val="20"/>
                <w:szCs w:val="20"/>
              </w:rPr>
            </w:pPr>
            <w:r w:rsidRPr="00A21649">
              <w:rPr>
                <w:rFonts w:cstheme="minorHAnsi"/>
                <w:sz w:val="20"/>
                <w:szCs w:val="20"/>
              </w:rPr>
              <w:t>(</w:t>
            </w:r>
            <w:r w:rsidR="00A21649">
              <w:rPr>
                <w:rFonts w:cstheme="minorHAnsi"/>
                <w:sz w:val="20"/>
                <w:szCs w:val="20"/>
              </w:rPr>
              <w:t>1.04</w:t>
            </w:r>
            <w:r w:rsidRPr="00A21649">
              <w:rPr>
                <w:rFonts w:cstheme="minorHAnsi"/>
                <w:sz w:val="20"/>
                <w:szCs w:val="20"/>
              </w:rPr>
              <w:t>)</w:t>
            </w:r>
          </w:p>
        </w:tc>
        <w:tc>
          <w:tcPr>
            <w:tcW w:w="1134" w:type="dxa"/>
          </w:tcPr>
          <w:p w14:paraId="6914CF21" w14:textId="0E159AD6" w:rsidR="00247304" w:rsidRPr="00A21649" w:rsidRDefault="00247304" w:rsidP="00247304">
            <w:pPr>
              <w:pStyle w:val="TableParagraph"/>
              <w:jc w:val="right"/>
              <w:rPr>
                <w:sz w:val="20"/>
                <w:szCs w:val="20"/>
              </w:rPr>
            </w:pPr>
            <w:r w:rsidRPr="00A21649">
              <w:rPr>
                <w:rFonts w:cstheme="minorHAnsi"/>
                <w:sz w:val="20"/>
                <w:szCs w:val="20"/>
              </w:rPr>
              <w:t>(4</w:t>
            </w:r>
            <w:r w:rsidR="00A21649">
              <w:rPr>
                <w:rFonts w:cstheme="minorHAnsi"/>
                <w:sz w:val="20"/>
                <w:szCs w:val="20"/>
              </w:rPr>
              <w:t>4</w:t>
            </w:r>
            <w:r w:rsidRPr="00A21649">
              <w:rPr>
                <w:rFonts w:cstheme="minorHAnsi"/>
                <w:sz w:val="20"/>
                <w:szCs w:val="20"/>
              </w:rPr>
              <w:t>.7</w:t>
            </w:r>
            <w:r w:rsidR="00A21649">
              <w:rPr>
                <w:rFonts w:cstheme="minorHAnsi"/>
                <w:sz w:val="20"/>
                <w:szCs w:val="20"/>
              </w:rPr>
              <w:t>8</w:t>
            </w:r>
            <w:r w:rsidRPr="00A21649">
              <w:rPr>
                <w:rFonts w:cstheme="minorHAnsi"/>
                <w:sz w:val="20"/>
                <w:szCs w:val="20"/>
              </w:rPr>
              <w:t>)</w:t>
            </w:r>
          </w:p>
        </w:tc>
        <w:tc>
          <w:tcPr>
            <w:tcW w:w="992" w:type="dxa"/>
          </w:tcPr>
          <w:p w14:paraId="5E5B1800" w14:textId="2AD2ACD5" w:rsidR="00247304" w:rsidRPr="00A21649" w:rsidRDefault="00247304" w:rsidP="00247304">
            <w:pPr>
              <w:pStyle w:val="TableParagraph"/>
              <w:jc w:val="right"/>
              <w:rPr>
                <w:sz w:val="20"/>
                <w:szCs w:val="20"/>
              </w:rPr>
            </w:pPr>
            <w:r w:rsidRPr="00A21649">
              <w:rPr>
                <w:rFonts w:cstheme="minorHAnsi"/>
                <w:sz w:val="20"/>
                <w:szCs w:val="20"/>
              </w:rPr>
              <w:t>(-</w:t>
            </w:r>
            <w:r w:rsidR="00A21649">
              <w:rPr>
                <w:rFonts w:cstheme="minorHAnsi"/>
                <w:sz w:val="20"/>
                <w:szCs w:val="20"/>
              </w:rPr>
              <w:t>3.83</w:t>
            </w:r>
            <w:r w:rsidRPr="00A21649">
              <w:rPr>
                <w:rFonts w:cstheme="minorHAnsi"/>
                <w:sz w:val="20"/>
                <w:szCs w:val="20"/>
              </w:rPr>
              <w:t>)</w:t>
            </w:r>
          </w:p>
        </w:tc>
        <w:tc>
          <w:tcPr>
            <w:tcW w:w="1134" w:type="dxa"/>
          </w:tcPr>
          <w:p w14:paraId="67B4B13B" w14:textId="70045C94" w:rsidR="00247304" w:rsidRPr="00A21649" w:rsidRDefault="00247304" w:rsidP="00247304">
            <w:pPr>
              <w:pStyle w:val="TableParagraph"/>
              <w:jc w:val="right"/>
              <w:rPr>
                <w:sz w:val="20"/>
                <w:szCs w:val="20"/>
              </w:rPr>
            </w:pPr>
            <w:r w:rsidRPr="00A21649">
              <w:rPr>
                <w:rFonts w:cstheme="minorHAnsi"/>
                <w:b/>
                <w:bCs/>
                <w:sz w:val="20"/>
                <w:szCs w:val="20"/>
              </w:rPr>
              <w:t>(</w:t>
            </w:r>
            <w:r w:rsidR="00A21649">
              <w:rPr>
                <w:rFonts w:cstheme="minorHAnsi"/>
                <w:b/>
                <w:bCs/>
                <w:sz w:val="20"/>
                <w:szCs w:val="20"/>
              </w:rPr>
              <w:t>2.66</w:t>
            </w:r>
            <w:r w:rsidRPr="00A21649">
              <w:rPr>
                <w:rFonts w:cstheme="minorHAnsi"/>
                <w:b/>
                <w:bCs/>
                <w:sz w:val="20"/>
                <w:szCs w:val="20"/>
              </w:rPr>
              <w:t>)</w:t>
            </w:r>
          </w:p>
        </w:tc>
        <w:tc>
          <w:tcPr>
            <w:tcW w:w="1134" w:type="dxa"/>
          </w:tcPr>
          <w:p w14:paraId="1A002098" w14:textId="6C43221E" w:rsidR="00247304" w:rsidRPr="00A21649" w:rsidRDefault="00247304" w:rsidP="00247304">
            <w:pPr>
              <w:pStyle w:val="TableParagraph"/>
              <w:jc w:val="right"/>
              <w:rPr>
                <w:sz w:val="20"/>
                <w:szCs w:val="20"/>
              </w:rPr>
            </w:pPr>
            <w:r w:rsidRPr="00A21649">
              <w:rPr>
                <w:rFonts w:cstheme="minorHAnsi"/>
                <w:sz w:val="20"/>
                <w:szCs w:val="20"/>
              </w:rPr>
              <w:t>(</w:t>
            </w:r>
            <w:r w:rsidR="00A21649">
              <w:rPr>
                <w:rFonts w:cstheme="minorHAnsi"/>
                <w:sz w:val="20"/>
                <w:szCs w:val="20"/>
              </w:rPr>
              <w:t>1.07</w:t>
            </w:r>
            <w:r w:rsidRPr="00A21649">
              <w:rPr>
                <w:rFonts w:cstheme="minorHAnsi"/>
                <w:sz w:val="20"/>
                <w:szCs w:val="20"/>
              </w:rPr>
              <w:t>)</w:t>
            </w:r>
          </w:p>
        </w:tc>
        <w:tc>
          <w:tcPr>
            <w:tcW w:w="992" w:type="dxa"/>
          </w:tcPr>
          <w:p w14:paraId="11EF19E0" w14:textId="77777777" w:rsidR="00247304" w:rsidRPr="00A21649" w:rsidRDefault="00247304" w:rsidP="00247304">
            <w:pPr>
              <w:pStyle w:val="TableParagraph"/>
              <w:jc w:val="right"/>
              <w:rPr>
                <w:sz w:val="20"/>
                <w:szCs w:val="20"/>
              </w:rPr>
            </w:pPr>
          </w:p>
        </w:tc>
        <w:tc>
          <w:tcPr>
            <w:tcW w:w="1134" w:type="dxa"/>
          </w:tcPr>
          <w:p w14:paraId="1CC051C3" w14:textId="77777777" w:rsidR="00247304" w:rsidRPr="00A21649" w:rsidRDefault="00247304" w:rsidP="00247304">
            <w:pPr>
              <w:jc w:val="right"/>
              <w:rPr>
                <w:sz w:val="20"/>
                <w:szCs w:val="20"/>
              </w:rPr>
            </w:pPr>
          </w:p>
        </w:tc>
        <w:tc>
          <w:tcPr>
            <w:tcW w:w="992" w:type="dxa"/>
          </w:tcPr>
          <w:p w14:paraId="190D5FD6" w14:textId="77777777" w:rsidR="00247304" w:rsidRPr="00A976EA" w:rsidRDefault="00247304" w:rsidP="00247304">
            <w:pPr>
              <w:jc w:val="right"/>
              <w:rPr>
                <w:sz w:val="20"/>
                <w:szCs w:val="20"/>
              </w:rPr>
            </w:pPr>
          </w:p>
        </w:tc>
      </w:tr>
      <w:tr w:rsidR="00247304" w:rsidRPr="00A21649" w14:paraId="393BD619" w14:textId="77777777" w:rsidTr="00D34327">
        <w:trPr>
          <w:trHeight w:hRule="exact" w:val="268"/>
          <w:jc w:val="center"/>
        </w:trPr>
        <w:tc>
          <w:tcPr>
            <w:tcW w:w="1170" w:type="dxa"/>
          </w:tcPr>
          <w:p w14:paraId="10700F99" w14:textId="5358584B" w:rsidR="00247304" w:rsidRPr="00A21649" w:rsidRDefault="00A21649" w:rsidP="00247304">
            <w:pPr>
              <w:pStyle w:val="TableParagraph"/>
              <w:jc w:val="right"/>
              <w:rPr>
                <w:sz w:val="20"/>
                <w:szCs w:val="20"/>
              </w:rPr>
            </w:pPr>
            <w:r>
              <w:rPr>
                <w:rFonts w:cstheme="minorHAnsi"/>
                <w:sz w:val="20"/>
                <w:szCs w:val="20"/>
              </w:rPr>
              <w:t>6.025</w:t>
            </w:r>
          </w:p>
        </w:tc>
        <w:tc>
          <w:tcPr>
            <w:tcW w:w="1134" w:type="dxa"/>
          </w:tcPr>
          <w:p w14:paraId="361311A9" w14:textId="6418CB2B" w:rsidR="00247304" w:rsidRPr="00A21649" w:rsidRDefault="00247304" w:rsidP="00247304">
            <w:pPr>
              <w:pStyle w:val="TableParagraph"/>
              <w:jc w:val="right"/>
              <w:rPr>
                <w:sz w:val="20"/>
                <w:szCs w:val="20"/>
              </w:rPr>
            </w:pPr>
            <w:r w:rsidRPr="00A21649">
              <w:rPr>
                <w:rFonts w:cstheme="minorHAnsi"/>
                <w:sz w:val="20"/>
                <w:szCs w:val="20"/>
              </w:rPr>
              <w:t>0.</w:t>
            </w:r>
            <w:r w:rsidR="00A21649">
              <w:rPr>
                <w:rFonts w:cstheme="minorHAnsi"/>
                <w:sz w:val="20"/>
                <w:szCs w:val="20"/>
              </w:rPr>
              <w:t>869</w:t>
            </w:r>
          </w:p>
        </w:tc>
        <w:tc>
          <w:tcPr>
            <w:tcW w:w="992" w:type="dxa"/>
          </w:tcPr>
          <w:p w14:paraId="14995943" w14:textId="42F0CEFC" w:rsidR="00247304" w:rsidRPr="00A21649" w:rsidRDefault="00247304" w:rsidP="00247304">
            <w:pPr>
              <w:pStyle w:val="TableParagraph"/>
              <w:jc w:val="right"/>
              <w:rPr>
                <w:sz w:val="20"/>
                <w:szCs w:val="20"/>
              </w:rPr>
            </w:pPr>
            <w:r w:rsidRPr="00A21649">
              <w:rPr>
                <w:rFonts w:cstheme="minorHAnsi"/>
                <w:sz w:val="20"/>
                <w:szCs w:val="20"/>
              </w:rPr>
              <w:t>-0.1</w:t>
            </w:r>
            <w:r w:rsidR="00A21649">
              <w:rPr>
                <w:rFonts w:cstheme="minorHAnsi"/>
                <w:sz w:val="20"/>
                <w:szCs w:val="20"/>
              </w:rPr>
              <w:t>97</w:t>
            </w:r>
          </w:p>
        </w:tc>
        <w:tc>
          <w:tcPr>
            <w:tcW w:w="1134" w:type="dxa"/>
          </w:tcPr>
          <w:p w14:paraId="5A022326" w14:textId="2691CB31" w:rsidR="00247304" w:rsidRPr="00A21649" w:rsidRDefault="00A21649" w:rsidP="00247304">
            <w:pPr>
              <w:pStyle w:val="TableParagraph"/>
              <w:jc w:val="right"/>
              <w:rPr>
                <w:sz w:val="20"/>
                <w:szCs w:val="20"/>
              </w:rPr>
            </w:pPr>
            <w:r w:rsidRPr="00A21649">
              <w:rPr>
                <w:rFonts w:cstheme="minorHAnsi"/>
                <w:sz w:val="20"/>
                <w:szCs w:val="20"/>
              </w:rPr>
              <w:t>22.564</w:t>
            </w:r>
          </w:p>
        </w:tc>
        <w:tc>
          <w:tcPr>
            <w:tcW w:w="1134" w:type="dxa"/>
          </w:tcPr>
          <w:p w14:paraId="1F0B5168" w14:textId="711A455D" w:rsidR="00247304" w:rsidRPr="00A21649" w:rsidRDefault="00A21649" w:rsidP="00247304">
            <w:pPr>
              <w:pStyle w:val="TableParagraph"/>
              <w:jc w:val="right"/>
              <w:rPr>
                <w:sz w:val="20"/>
                <w:szCs w:val="20"/>
              </w:rPr>
            </w:pPr>
            <w:r>
              <w:rPr>
                <w:rFonts w:cstheme="minorHAnsi"/>
                <w:sz w:val="20"/>
                <w:szCs w:val="20"/>
              </w:rPr>
              <w:t>0.447</w:t>
            </w:r>
          </w:p>
        </w:tc>
        <w:tc>
          <w:tcPr>
            <w:tcW w:w="992" w:type="dxa"/>
          </w:tcPr>
          <w:p w14:paraId="103ECC24" w14:textId="67FD3AD3" w:rsidR="00247304" w:rsidRPr="00A21649" w:rsidRDefault="00247304" w:rsidP="00247304">
            <w:pPr>
              <w:pStyle w:val="TableParagraph"/>
              <w:jc w:val="right"/>
              <w:rPr>
                <w:sz w:val="20"/>
                <w:szCs w:val="20"/>
              </w:rPr>
            </w:pPr>
            <w:r w:rsidRPr="00A21649">
              <w:rPr>
                <w:rFonts w:cstheme="minorHAnsi"/>
                <w:sz w:val="20"/>
                <w:szCs w:val="20"/>
              </w:rPr>
              <w:t>0.</w:t>
            </w:r>
            <w:r w:rsidR="00A21649">
              <w:rPr>
                <w:rFonts w:cstheme="minorHAnsi"/>
                <w:sz w:val="20"/>
                <w:szCs w:val="20"/>
              </w:rPr>
              <w:t>412</w:t>
            </w:r>
          </w:p>
        </w:tc>
        <w:tc>
          <w:tcPr>
            <w:tcW w:w="1134" w:type="dxa"/>
          </w:tcPr>
          <w:p w14:paraId="542A2DE2" w14:textId="149F04B3" w:rsidR="00247304" w:rsidRPr="00A21649" w:rsidRDefault="00247304" w:rsidP="00247304">
            <w:pPr>
              <w:jc w:val="right"/>
              <w:rPr>
                <w:sz w:val="20"/>
                <w:szCs w:val="20"/>
              </w:rPr>
            </w:pPr>
            <w:r w:rsidRPr="00A21649">
              <w:rPr>
                <w:sz w:val="20"/>
                <w:szCs w:val="20"/>
              </w:rPr>
              <w:t>0.98</w:t>
            </w:r>
          </w:p>
        </w:tc>
        <w:tc>
          <w:tcPr>
            <w:tcW w:w="992" w:type="dxa"/>
          </w:tcPr>
          <w:p w14:paraId="712F28C4" w14:textId="78E0F0A7" w:rsidR="00247304" w:rsidRPr="00A976EA" w:rsidRDefault="00A21649" w:rsidP="00247304">
            <w:pPr>
              <w:jc w:val="right"/>
              <w:rPr>
                <w:sz w:val="20"/>
                <w:szCs w:val="20"/>
              </w:rPr>
            </w:pPr>
            <w:r w:rsidRPr="00A976EA">
              <w:rPr>
                <w:sz w:val="20"/>
                <w:szCs w:val="20"/>
              </w:rPr>
              <w:t>2.20</w:t>
            </w:r>
          </w:p>
        </w:tc>
      </w:tr>
      <w:tr w:rsidR="00247304" w:rsidRPr="00CC2ED3" w14:paraId="2DDDF504" w14:textId="77777777" w:rsidTr="00D34327">
        <w:trPr>
          <w:trHeight w:hRule="exact" w:val="268"/>
          <w:jc w:val="center"/>
        </w:trPr>
        <w:tc>
          <w:tcPr>
            <w:tcW w:w="1170" w:type="dxa"/>
          </w:tcPr>
          <w:p w14:paraId="7DE97081" w14:textId="61BE6916" w:rsidR="00247304" w:rsidRPr="00A21649" w:rsidRDefault="00247304" w:rsidP="00247304">
            <w:pPr>
              <w:pStyle w:val="TableParagraph"/>
              <w:jc w:val="right"/>
              <w:rPr>
                <w:sz w:val="20"/>
                <w:szCs w:val="20"/>
              </w:rPr>
            </w:pPr>
            <w:r w:rsidRPr="00A21649">
              <w:rPr>
                <w:rFonts w:cstheme="minorHAnsi"/>
                <w:sz w:val="20"/>
                <w:szCs w:val="20"/>
              </w:rPr>
              <w:t>(</w:t>
            </w:r>
            <w:r w:rsidR="00A21649">
              <w:rPr>
                <w:rFonts w:cstheme="minorHAnsi"/>
                <w:sz w:val="20"/>
                <w:szCs w:val="20"/>
              </w:rPr>
              <w:t>0.44</w:t>
            </w:r>
            <w:r w:rsidRPr="00A21649">
              <w:rPr>
                <w:rFonts w:cstheme="minorHAnsi"/>
                <w:sz w:val="20"/>
                <w:szCs w:val="20"/>
              </w:rPr>
              <w:t>)</w:t>
            </w:r>
          </w:p>
        </w:tc>
        <w:tc>
          <w:tcPr>
            <w:tcW w:w="1134" w:type="dxa"/>
          </w:tcPr>
          <w:p w14:paraId="7F8E05F6" w14:textId="5D47CBE6" w:rsidR="00247304" w:rsidRPr="00A21649" w:rsidRDefault="00247304" w:rsidP="00247304">
            <w:pPr>
              <w:pStyle w:val="TableParagraph"/>
              <w:jc w:val="right"/>
              <w:rPr>
                <w:sz w:val="20"/>
                <w:szCs w:val="20"/>
              </w:rPr>
            </w:pPr>
            <w:r w:rsidRPr="00A21649">
              <w:rPr>
                <w:rFonts w:cstheme="minorHAnsi"/>
                <w:sz w:val="20"/>
                <w:szCs w:val="20"/>
              </w:rPr>
              <w:t>(</w:t>
            </w:r>
            <w:r w:rsidR="00A21649">
              <w:rPr>
                <w:rFonts w:cstheme="minorHAnsi"/>
                <w:sz w:val="20"/>
                <w:szCs w:val="20"/>
              </w:rPr>
              <w:t>61.83</w:t>
            </w:r>
            <w:r w:rsidRPr="00A21649">
              <w:rPr>
                <w:rFonts w:cstheme="minorHAnsi"/>
                <w:sz w:val="20"/>
                <w:szCs w:val="20"/>
              </w:rPr>
              <w:t>)</w:t>
            </w:r>
          </w:p>
        </w:tc>
        <w:tc>
          <w:tcPr>
            <w:tcW w:w="992" w:type="dxa"/>
          </w:tcPr>
          <w:p w14:paraId="0687AD60" w14:textId="6E923B3F" w:rsidR="00247304" w:rsidRPr="00A21649" w:rsidRDefault="00247304" w:rsidP="00247304">
            <w:pPr>
              <w:pStyle w:val="TableParagraph"/>
              <w:jc w:val="right"/>
              <w:rPr>
                <w:sz w:val="20"/>
                <w:szCs w:val="20"/>
              </w:rPr>
            </w:pPr>
            <w:r w:rsidRPr="00A21649">
              <w:rPr>
                <w:rFonts w:cstheme="minorHAnsi"/>
                <w:sz w:val="20"/>
                <w:szCs w:val="20"/>
              </w:rPr>
              <w:t>(-2.</w:t>
            </w:r>
            <w:r w:rsidR="00A21649">
              <w:rPr>
                <w:rFonts w:cstheme="minorHAnsi"/>
                <w:sz w:val="20"/>
                <w:szCs w:val="20"/>
              </w:rPr>
              <w:t>27</w:t>
            </w:r>
            <w:r w:rsidRPr="00A21649">
              <w:rPr>
                <w:rFonts w:cstheme="minorHAnsi"/>
                <w:sz w:val="20"/>
                <w:szCs w:val="20"/>
              </w:rPr>
              <w:t>)</w:t>
            </w:r>
          </w:p>
        </w:tc>
        <w:tc>
          <w:tcPr>
            <w:tcW w:w="1134" w:type="dxa"/>
          </w:tcPr>
          <w:p w14:paraId="1E12EADC" w14:textId="51CFC157" w:rsidR="00247304" w:rsidRPr="00A21649" w:rsidRDefault="00247304" w:rsidP="00247304">
            <w:pPr>
              <w:pStyle w:val="TableParagraph"/>
              <w:jc w:val="right"/>
              <w:rPr>
                <w:sz w:val="20"/>
                <w:szCs w:val="20"/>
              </w:rPr>
            </w:pPr>
            <w:r w:rsidRPr="00A21649">
              <w:rPr>
                <w:rFonts w:cstheme="minorHAnsi"/>
                <w:sz w:val="20"/>
                <w:szCs w:val="20"/>
              </w:rPr>
              <w:t>(</w:t>
            </w:r>
            <w:r w:rsidR="00A21649" w:rsidRPr="00A21649">
              <w:rPr>
                <w:rFonts w:cstheme="minorHAnsi"/>
                <w:sz w:val="20"/>
                <w:szCs w:val="20"/>
              </w:rPr>
              <w:t>1.35</w:t>
            </w:r>
            <w:r w:rsidRPr="00A21649">
              <w:rPr>
                <w:rFonts w:cstheme="minorHAnsi"/>
                <w:sz w:val="20"/>
                <w:szCs w:val="20"/>
              </w:rPr>
              <w:t>)</w:t>
            </w:r>
          </w:p>
        </w:tc>
        <w:tc>
          <w:tcPr>
            <w:tcW w:w="1134" w:type="dxa"/>
          </w:tcPr>
          <w:p w14:paraId="56C8A920" w14:textId="0B11A602" w:rsidR="00247304" w:rsidRPr="00A21649" w:rsidRDefault="00247304" w:rsidP="00247304">
            <w:pPr>
              <w:pStyle w:val="TableParagraph"/>
              <w:jc w:val="right"/>
              <w:rPr>
                <w:sz w:val="20"/>
                <w:szCs w:val="20"/>
              </w:rPr>
            </w:pPr>
            <w:r w:rsidRPr="00A21649">
              <w:rPr>
                <w:rFonts w:cstheme="minorHAnsi"/>
                <w:sz w:val="20"/>
                <w:szCs w:val="20"/>
              </w:rPr>
              <w:t>(</w:t>
            </w:r>
            <w:r w:rsidR="00A21649">
              <w:rPr>
                <w:rFonts w:cstheme="minorHAnsi"/>
                <w:sz w:val="20"/>
                <w:szCs w:val="20"/>
              </w:rPr>
              <w:t>0.87</w:t>
            </w:r>
            <w:r w:rsidRPr="00A21649">
              <w:rPr>
                <w:rFonts w:cstheme="minorHAnsi"/>
                <w:sz w:val="20"/>
                <w:szCs w:val="20"/>
              </w:rPr>
              <w:t>)</w:t>
            </w:r>
          </w:p>
        </w:tc>
        <w:tc>
          <w:tcPr>
            <w:tcW w:w="992" w:type="dxa"/>
          </w:tcPr>
          <w:p w14:paraId="6B0D1B19" w14:textId="6A59475A" w:rsidR="00247304" w:rsidRPr="00A21649" w:rsidRDefault="00247304" w:rsidP="00247304">
            <w:pPr>
              <w:pStyle w:val="TableParagraph"/>
              <w:jc w:val="right"/>
              <w:rPr>
                <w:sz w:val="20"/>
                <w:szCs w:val="20"/>
              </w:rPr>
            </w:pPr>
            <w:r w:rsidRPr="00A21649">
              <w:rPr>
                <w:rFonts w:cstheme="minorHAnsi"/>
                <w:sz w:val="20"/>
                <w:szCs w:val="20"/>
              </w:rPr>
              <w:t>(</w:t>
            </w:r>
            <w:r w:rsidR="00A21649">
              <w:rPr>
                <w:rFonts w:cstheme="minorHAnsi"/>
                <w:sz w:val="20"/>
                <w:szCs w:val="20"/>
              </w:rPr>
              <w:t>2.42</w:t>
            </w:r>
            <w:r w:rsidRPr="00A21649">
              <w:rPr>
                <w:rFonts w:cstheme="minorHAnsi"/>
                <w:sz w:val="20"/>
                <w:szCs w:val="20"/>
              </w:rPr>
              <w:t>)</w:t>
            </w:r>
          </w:p>
        </w:tc>
        <w:tc>
          <w:tcPr>
            <w:tcW w:w="1134" w:type="dxa"/>
          </w:tcPr>
          <w:p w14:paraId="70D56C30" w14:textId="77777777" w:rsidR="00247304" w:rsidRPr="00A21649" w:rsidRDefault="00247304" w:rsidP="00247304">
            <w:pPr>
              <w:jc w:val="right"/>
              <w:rPr>
                <w:sz w:val="20"/>
                <w:szCs w:val="20"/>
              </w:rPr>
            </w:pPr>
          </w:p>
        </w:tc>
        <w:tc>
          <w:tcPr>
            <w:tcW w:w="992" w:type="dxa"/>
          </w:tcPr>
          <w:p w14:paraId="46A47309" w14:textId="77777777" w:rsidR="00247304" w:rsidRPr="00A21649" w:rsidRDefault="00247304" w:rsidP="00247304">
            <w:pPr>
              <w:jc w:val="right"/>
              <w:rPr>
                <w:sz w:val="20"/>
                <w:szCs w:val="20"/>
              </w:rPr>
            </w:pPr>
          </w:p>
        </w:tc>
      </w:tr>
    </w:tbl>
    <w:tbl>
      <w:tblPr>
        <w:tblStyle w:val="TableGrid"/>
        <w:tblW w:w="919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9"/>
        <w:gridCol w:w="108"/>
        <w:gridCol w:w="931"/>
        <w:gridCol w:w="108"/>
        <w:gridCol w:w="760"/>
        <w:gridCol w:w="108"/>
        <w:gridCol w:w="744"/>
        <w:gridCol w:w="108"/>
        <w:gridCol w:w="1013"/>
        <w:gridCol w:w="108"/>
        <w:gridCol w:w="744"/>
        <w:gridCol w:w="719"/>
        <w:gridCol w:w="719"/>
        <w:gridCol w:w="1795"/>
      </w:tblGrid>
      <w:tr w:rsidR="00247304" w:rsidRPr="004B3351" w14:paraId="14A03550" w14:textId="77777777" w:rsidTr="00A21649">
        <w:trPr>
          <w:gridAfter w:val="4"/>
          <w:wAfter w:w="3977" w:type="dxa"/>
          <w:trHeight w:val="260"/>
          <w:jc w:val="center"/>
        </w:trPr>
        <w:tc>
          <w:tcPr>
            <w:tcW w:w="1337" w:type="dxa"/>
            <w:gridSpan w:val="2"/>
          </w:tcPr>
          <w:p w14:paraId="7E9BFF0E" w14:textId="56184AA1" w:rsidR="00247304" w:rsidRPr="004B3351" w:rsidRDefault="00247304" w:rsidP="00A75BD5">
            <w:pPr>
              <w:jc w:val="both"/>
              <w:rPr>
                <w:rFonts w:cstheme="minorHAnsi"/>
                <w:sz w:val="20"/>
                <w:szCs w:val="20"/>
              </w:rPr>
            </w:pPr>
          </w:p>
        </w:tc>
        <w:tc>
          <w:tcPr>
            <w:tcW w:w="1039" w:type="dxa"/>
            <w:gridSpan w:val="2"/>
          </w:tcPr>
          <w:p w14:paraId="4194A669" w14:textId="000B8C76" w:rsidR="00247304" w:rsidRPr="004B3351" w:rsidRDefault="00247304" w:rsidP="00A75BD5">
            <w:pPr>
              <w:jc w:val="both"/>
              <w:rPr>
                <w:rFonts w:cstheme="minorHAnsi"/>
                <w:sz w:val="20"/>
                <w:szCs w:val="20"/>
              </w:rPr>
            </w:pPr>
          </w:p>
        </w:tc>
        <w:tc>
          <w:tcPr>
            <w:tcW w:w="868" w:type="dxa"/>
            <w:gridSpan w:val="2"/>
          </w:tcPr>
          <w:p w14:paraId="7EC0DA64" w14:textId="3E8B460F" w:rsidR="00247304" w:rsidRPr="004B3351" w:rsidRDefault="00247304" w:rsidP="00A75BD5">
            <w:pPr>
              <w:jc w:val="both"/>
              <w:rPr>
                <w:rFonts w:cstheme="minorHAnsi"/>
                <w:sz w:val="20"/>
                <w:szCs w:val="20"/>
              </w:rPr>
            </w:pPr>
          </w:p>
        </w:tc>
        <w:tc>
          <w:tcPr>
            <w:tcW w:w="852" w:type="dxa"/>
            <w:gridSpan w:val="2"/>
          </w:tcPr>
          <w:p w14:paraId="47871CC6" w14:textId="53CB6FC2" w:rsidR="00247304" w:rsidRPr="004B3351" w:rsidRDefault="00247304" w:rsidP="00A75BD5">
            <w:pPr>
              <w:jc w:val="both"/>
              <w:rPr>
                <w:rFonts w:cstheme="minorHAnsi"/>
                <w:b/>
                <w:bCs/>
                <w:sz w:val="20"/>
                <w:szCs w:val="20"/>
              </w:rPr>
            </w:pPr>
          </w:p>
        </w:tc>
        <w:tc>
          <w:tcPr>
            <w:tcW w:w="1121" w:type="dxa"/>
            <w:gridSpan w:val="2"/>
          </w:tcPr>
          <w:p w14:paraId="2567A7E1" w14:textId="7CCCB1BC" w:rsidR="00247304" w:rsidRPr="004B3351" w:rsidRDefault="00247304" w:rsidP="00A75BD5">
            <w:pPr>
              <w:jc w:val="both"/>
              <w:rPr>
                <w:rFonts w:cstheme="minorHAnsi"/>
                <w:sz w:val="20"/>
                <w:szCs w:val="20"/>
              </w:rPr>
            </w:pPr>
          </w:p>
        </w:tc>
      </w:tr>
      <w:tr w:rsidR="004B3351" w:rsidRPr="003711B1" w14:paraId="533791E4" w14:textId="77777777" w:rsidTr="00A21649">
        <w:trPr>
          <w:trHeight w:val="284"/>
          <w:jc w:val="center"/>
        </w:trPr>
        <w:tc>
          <w:tcPr>
            <w:tcW w:w="1229" w:type="dxa"/>
            <w:tcBorders>
              <w:top w:val="single" w:sz="4" w:space="0" w:color="auto"/>
            </w:tcBorders>
          </w:tcPr>
          <w:p w14:paraId="7D4D7E06" w14:textId="43326AFB" w:rsidR="004B3351" w:rsidRPr="004B3351" w:rsidRDefault="004B3351" w:rsidP="00A75BD5">
            <w:pPr>
              <w:jc w:val="both"/>
              <w:rPr>
                <w:rFonts w:cstheme="minorHAnsi"/>
                <w:sz w:val="20"/>
                <w:szCs w:val="20"/>
              </w:rPr>
            </w:pPr>
          </w:p>
        </w:tc>
        <w:tc>
          <w:tcPr>
            <w:tcW w:w="1039" w:type="dxa"/>
            <w:gridSpan w:val="2"/>
            <w:tcBorders>
              <w:top w:val="single" w:sz="4" w:space="0" w:color="auto"/>
            </w:tcBorders>
          </w:tcPr>
          <w:p w14:paraId="20E8B90C" w14:textId="7A98639D" w:rsidR="004B3351" w:rsidRPr="004B3351" w:rsidRDefault="004B3351" w:rsidP="00A75BD5">
            <w:pPr>
              <w:jc w:val="both"/>
              <w:rPr>
                <w:rFonts w:cstheme="minorHAnsi"/>
                <w:sz w:val="20"/>
                <w:szCs w:val="20"/>
              </w:rPr>
            </w:pPr>
          </w:p>
        </w:tc>
        <w:tc>
          <w:tcPr>
            <w:tcW w:w="868" w:type="dxa"/>
            <w:gridSpan w:val="2"/>
            <w:tcBorders>
              <w:top w:val="single" w:sz="4" w:space="0" w:color="auto"/>
            </w:tcBorders>
          </w:tcPr>
          <w:p w14:paraId="1B0FC76B" w14:textId="2F235C4B" w:rsidR="004B3351" w:rsidRPr="004B3351" w:rsidRDefault="004B3351" w:rsidP="00A75BD5">
            <w:pPr>
              <w:jc w:val="both"/>
              <w:rPr>
                <w:rFonts w:cstheme="minorHAnsi"/>
                <w:sz w:val="20"/>
                <w:szCs w:val="20"/>
              </w:rPr>
            </w:pPr>
          </w:p>
        </w:tc>
        <w:tc>
          <w:tcPr>
            <w:tcW w:w="852" w:type="dxa"/>
            <w:gridSpan w:val="2"/>
            <w:tcBorders>
              <w:top w:val="single" w:sz="4" w:space="0" w:color="auto"/>
            </w:tcBorders>
          </w:tcPr>
          <w:p w14:paraId="47622757" w14:textId="6DD568D3" w:rsidR="004B3351" w:rsidRPr="004B3351" w:rsidRDefault="004B3351" w:rsidP="00A75BD5">
            <w:pPr>
              <w:jc w:val="both"/>
              <w:rPr>
                <w:rFonts w:cstheme="minorHAnsi"/>
                <w:b/>
                <w:bCs/>
                <w:sz w:val="20"/>
                <w:szCs w:val="20"/>
              </w:rPr>
            </w:pPr>
          </w:p>
        </w:tc>
        <w:tc>
          <w:tcPr>
            <w:tcW w:w="1121" w:type="dxa"/>
            <w:gridSpan w:val="2"/>
            <w:tcBorders>
              <w:top w:val="single" w:sz="4" w:space="0" w:color="auto"/>
            </w:tcBorders>
          </w:tcPr>
          <w:p w14:paraId="1B8C1BC9" w14:textId="2B802342" w:rsidR="004B3351" w:rsidRPr="004B3351" w:rsidRDefault="004B3351" w:rsidP="00A75BD5">
            <w:pPr>
              <w:jc w:val="both"/>
              <w:rPr>
                <w:rFonts w:cstheme="minorHAnsi"/>
                <w:sz w:val="20"/>
                <w:szCs w:val="20"/>
              </w:rPr>
            </w:pPr>
          </w:p>
        </w:tc>
        <w:tc>
          <w:tcPr>
            <w:tcW w:w="852" w:type="dxa"/>
            <w:gridSpan w:val="2"/>
            <w:tcBorders>
              <w:top w:val="single" w:sz="4" w:space="0" w:color="auto"/>
            </w:tcBorders>
          </w:tcPr>
          <w:p w14:paraId="6912A610" w14:textId="77777777" w:rsidR="004B3351" w:rsidRPr="004B3351" w:rsidRDefault="004B3351" w:rsidP="00A75BD5">
            <w:pPr>
              <w:jc w:val="both"/>
              <w:rPr>
                <w:rFonts w:cstheme="minorHAnsi"/>
                <w:sz w:val="20"/>
                <w:szCs w:val="20"/>
              </w:rPr>
            </w:pPr>
          </w:p>
        </w:tc>
        <w:tc>
          <w:tcPr>
            <w:tcW w:w="719" w:type="dxa"/>
            <w:tcBorders>
              <w:top w:val="single" w:sz="4" w:space="0" w:color="auto"/>
            </w:tcBorders>
          </w:tcPr>
          <w:p w14:paraId="0B79AEEC" w14:textId="6AE332B7" w:rsidR="004B3351" w:rsidRPr="004B3351" w:rsidRDefault="004B3351" w:rsidP="00A75BD5">
            <w:pPr>
              <w:jc w:val="both"/>
              <w:rPr>
                <w:rFonts w:cstheme="minorHAnsi"/>
                <w:sz w:val="20"/>
                <w:szCs w:val="20"/>
              </w:rPr>
            </w:pPr>
          </w:p>
        </w:tc>
        <w:tc>
          <w:tcPr>
            <w:tcW w:w="719" w:type="dxa"/>
            <w:tcBorders>
              <w:top w:val="single" w:sz="4" w:space="0" w:color="auto"/>
            </w:tcBorders>
          </w:tcPr>
          <w:p w14:paraId="563857EB" w14:textId="69B6E1BE" w:rsidR="004B3351" w:rsidRPr="004B3351" w:rsidRDefault="004B3351" w:rsidP="00A75BD5">
            <w:pPr>
              <w:jc w:val="both"/>
              <w:rPr>
                <w:rFonts w:cstheme="minorHAnsi"/>
                <w:sz w:val="20"/>
                <w:szCs w:val="20"/>
              </w:rPr>
            </w:pPr>
          </w:p>
        </w:tc>
        <w:tc>
          <w:tcPr>
            <w:tcW w:w="1795" w:type="dxa"/>
            <w:tcBorders>
              <w:top w:val="single" w:sz="4" w:space="0" w:color="auto"/>
            </w:tcBorders>
          </w:tcPr>
          <w:p w14:paraId="4A91B773" w14:textId="494FDAF1" w:rsidR="004B3351" w:rsidRPr="004B3351" w:rsidRDefault="004B3351" w:rsidP="00A75BD5">
            <w:pPr>
              <w:jc w:val="both"/>
              <w:rPr>
                <w:rFonts w:cstheme="minorHAnsi"/>
                <w:sz w:val="20"/>
                <w:szCs w:val="20"/>
              </w:rPr>
            </w:pPr>
          </w:p>
        </w:tc>
      </w:tr>
      <w:tr w:rsidR="004B3351" w:rsidRPr="003711B1" w14:paraId="51E3C4FC" w14:textId="77777777" w:rsidTr="00A21649">
        <w:trPr>
          <w:trHeight w:val="260"/>
          <w:jc w:val="center"/>
        </w:trPr>
        <w:tc>
          <w:tcPr>
            <w:tcW w:w="1229" w:type="dxa"/>
          </w:tcPr>
          <w:p w14:paraId="15E4ACE0" w14:textId="5305AE74" w:rsidR="004B3351" w:rsidRPr="004B3351" w:rsidRDefault="004B3351" w:rsidP="00A75BD5">
            <w:pPr>
              <w:jc w:val="both"/>
              <w:rPr>
                <w:rFonts w:cstheme="minorHAnsi"/>
                <w:sz w:val="20"/>
                <w:szCs w:val="20"/>
              </w:rPr>
            </w:pPr>
          </w:p>
        </w:tc>
        <w:tc>
          <w:tcPr>
            <w:tcW w:w="1039" w:type="dxa"/>
            <w:gridSpan w:val="2"/>
          </w:tcPr>
          <w:p w14:paraId="00C8C713" w14:textId="4A986273" w:rsidR="004B3351" w:rsidRPr="004B3351" w:rsidRDefault="004B3351" w:rsidP="00A75BD5">
            <w:pPr>
              <w:jc w:val="both"/>
              <w:rPr>
                <w:rFonts w:cstheme="minorHAnsi"/>
                <w:sz w:val="20"/>
                <w:szCs w:val="20"/>
              </w:rPr>
            </w:pPr>
          </w:p>
        </w:tc>
        <w:tc>
          <w:tcPr>
            <w:tcW w:w="868" w:type="dxa"/>
            <w:gridSpan w:val="2"/>
          </w:tcPr>
          <w:p w14:paraId="3189D222" w14:textId="0E00AA77" w:rsidR="004B3351" w:rsidRPr="004B3351" w:rsidRDefault="004B3351" w:rsidP="00A75BD5">
            <w:pPr>
              <w:jc w:val="both"/>
              <w:rPr>
                <w:rFonts w:cstheme="minorHAnsi"/>
                <w:sz w:val="20"/>
                <w:szCs w:val="20"/>
              </w:rPr>
            </w:pPr>
          </w:p>
        </w:tc>
        <w:tc>
          <w:tcPr>
            <w:tcW w:w="852" w:type="dxa"/>
            <w:gridSpan w:val="2"/>
          </w:tcPr>
          <w:p w14:paraId="0F4F3EF8" w14:textId="0B85259D" w:rsidR="004B3351" w:rsidRPr="004B3351" w:rsidRDefault="004B3351" w:rsidP="00A75BD5">
            <w:pPr>
              <w:jc w:val="both"/>
              <w:rPr>
                <w:rFonts w:cstheme="minorHAnsi"/>
                <w:b/>
                <w:bCs/>
                <w:sz w:val="20"/>
                <w:szCs w:val="20"/>
              </w:rPr>
            </w:pPr>
          </w:p>
        </w:tc>
        <w:tc>
          <w:tcPr>
            <w:tcW w:w="1121" w:type="dxa"/>
            <w:gridSpan w:val="2"/>
          </w:tcPr>
          <w:p w14:paraId="6E2F5C30" w14:textId="003EFD39" w:rsidR="004B3351" w:rsidRPr="004B3351" w:rsidRDefault="004B3351" w:rsidP="00A75BD5">
            <w:pPr>
              <w:jc w:val="both"/>
              <w:rPr>
                <w:rFonts w:cstheme="minorHAnsi"/>
                <w:sz w:val="20"/>
                <w:szCs w:val="20"/>
              </w:rPr>
            </w:pPr>
          </w:p>
        </w:tc>
        <w:tc>
          <w:tcPr>
            <w:tcW w:w="852" w:type="dxa"/>
            <w:gridSpan w:val="2"/>
          </w:tcPr>
          <w:p w14:paraId="29F08674" w14:textId="77777777" w:rsidR="004B3351" w:rsidRPr="004B3351" w:rsidRDefault="004B3351" w:rsidP="00A75BD5">
            <w:pPr>
              <w:jc w:val="both"/>
              <w:rPr>
                <w:rFonts w:cstheme="minorHAnsi"/>
                <w:sz w:val="20"/>
                <w:szCs w:val="20"/>
              </w:rPr>
            </w:pPr>
          </w:p>
        </w:tc>
        <w:tc>
          <w:tcPr>
            <w:tcW w:w="719" w:type="dxa"/>
          </w:tcPr>
          <w:p w14:paraId="0B62C651" w14:textId="77777777" w:rsidR="004B3351" w:rsidRPr="004B3351" w:rsidRDefault="004B3351" w:rsidP="00A75BD5">
            <w:pPr>
              <w:jc w:val="both"/>
              <w:rPr>
                <w:rFonts w:cstheme="minorHAnsi"/>
                <w:sz w:val="20"/>
                <w:szCs w:val="20"/>
              </w:rPr>
            </w:pPr>
          </w:p>
        </w:tc>
        <w:tc>
          <w:tcPr>
            <w:tcW w:w="719" w:type="dxa"/>
          </w:tcPr>
          <w:p w14:paraId="675ED16A" w14:textId="77777777" w:rsidR="004B3351" w:rsidRPr="004B3351" w:rsidRDefault="004B3351" w:rsidP="00A75BD5">
            <w:pPr>
              <w:jc w:val="both"/>
              <w:rPr>
                <w:rFonts w:cstheme="minorHAnsi"/>
                <w:sz w:val="20"/>
                <w:szCs w:val="20"/>
              </w:rPr>
            </w:pPr>
          </w:p>
        </w:tc>
        <w:tc>
          <w:tcPr>
            <w:tcW w:w="1795" w:type="dxa"/>
          </w:tcPr>
          <w:p w14:paraId="3B94ADFE" w14:textId="77777777" w:rsidR="004B3351" w:rsidRPr="004B3351" w:rsidRDefault="004B3351" w:rsidP="00A75BD5">
            <w:pPr>
              <w:jc w:val="both"/>
              <w:rPr>
                <w:rFonts w:cstheme="minorHAnsi"/>
                <w:sz w:val="20"/>
                <w:szCs w:val="20"/>
              </w:rPr>
            </w:pPr>
          </w:p>
        </w:tc>
      </w:tr>
      <w:tr w:rsidR="004B3351" w:rsidRPr="003711B1" w14:paraId="176BB176" w14:textId="77777777" w:rsidTr="00A21649">
        <w:trPr>
          <w:trHeight w:val="251"/>
          <w:jc w:val="center"/>
        </w:trPr>
        <w:tc>
          <w:tcPr>
            <w:tcW w:w="1229" w:type="dxa"/>
          </w:tcPr>
          <w:p w14:paraId="2A08DDFA" w14:textId="4554A494" w:rsidR="004B3351" w:rsidRPr="004B3351" w:rsidRDefault="004B3351" w:rsidP="00A75BD5">
            <w:pPr>
              <w:jc w:val="both"/>
              <w:rPr>
                <w:rFonts w:cstheme="minorHAnsi"/>
                <w:sz w:val="20"/>
                <w:szCs w:val="20"/>
              </w:rPr>
            </w:pPr>
          </w:p>
        </w:tc>
        <w:tc>
          <w:tcPr>
            <w:tcW w:w="1039" w:type="dxa"/>
            <w:gridSpan w:val="2"/>
          </w:tcPr>
          <w:p w14:paraId="31387EE9" w14:textId="4A30986F" w:rsidR="004B3351" w:rsidRPr="004B3351" w:rsidRDefault="004B3351" w:rsidP="00A75BD5">
            <w:pPr>
              <w:jc w:val="both"/>
              <w:rPr>
                <w:rFonts w:cstheme="minorHAnsi"/>
                <w:sz w:val="20"/>
                <w:szCs w:val="20"/>
              </w:rPr>
            </w:pPr>
          </w:p>
        </w:tc>
        <w:tc>
          <w:tcPr>
            <w:tcW w:w="868" w:type="dxa"/>
            <w:gridSpan w:val="2"/>
          </w:tcPr>
          <w:p w14:paraId="5F69883C" w14:textId="2B1E730E" w:rsidR="004B3351" w:rsidRPr="004B3351" w:rsidRDefault="004B3351" w:rsidP="00A75BD5">
            <w:pPr>
              <w:jc w:val="both"/>
              <w:rPr>
                <w:rFonts w:cstheme="minorHAnsi"/>
                <w:sz w:val="20"/>
                <w:szCs w:val="20"/>
              </w:rPr>
            </w:pPr>
          </w:p>
        </w:tc>
        <w:tc>
          <w:tcPr>
            <w:tcW w:w="852" w:type="dxa"/>
            <w:gridSpan w:val="2"/>
          </w:tcPr>
          <w:p w14:paraId="6E9C4C99" w14:textId="2313011D" w:rsidR="004B3351" w:rsidRPr="004B3351" w:rsidRDefault="004B3351" w:rsidP="00A75BD5">
            <w:pPr>
              <w:jc w:val="both"/>
              <w:rPr>
                <w:rFonts w:cstheme="minorHAnsi"/>
                <w:b/>
                <w:bCs/>
                <w:sz w:val="20"/>
                <w:szCs w:val="20"/>
              </w:rPr>
            </w:pPr>
          </w:p>
        </w:tc>
        <w:tc>
          <w:tcPr>
            <w:tcW w:w="1121" w:type="dxa"/>
            <w:gridSpan w:val="2"/>
          </w:tcPr>
          <w:p w14:paraId="7D336B83" w14:textId="413ED8E1" w:rsidR="004B3351" w:rsidRPr="004B3351" w:rsidRDefault="004B3351" w:rsidP="00A75BD5">
            <w:pPr>
              <w:jc w:val="both"/>
              <w:rPr>
                <w:rFonts w:cstheme="minorHAnsi"/>
                <w:sz w:val="20"/>
                <w:szCs w:val="20"/>
              </w:rPr>
            </w:pPr>
          </w:p>
        </w:tc>
        <w:tc>
          <w:tcPr>
            <w:tcW w:w="852" w:type="dxa"/>
            <w:gridSpan w:val="2"/>
          </w:tcPr>
          <w:p w14:paraId="38B06A04" w14:textId="1026F2D7" w:rsidR="004B3351" w:rsidRPr="004B3351" w:rsidRDefault="004B3351" w:rsidP="00A75BD5">
            <w:pPr>
              <w:jc w:val="both"/>
              <w:rPr>
                <w:rFonts w:cstheme="minorHAnsi"/>
                <w:sz w:val="20"/>
                <w:szCs w:val="20"/>
              </w:rPr>
            </w:pPr>
          </w:p>
        </w:tc>
        <w:tc>
          <w:tcPr>
            <w:tcW w:w="719" w:type="dxa"/>
          </w:tcPr>
          <w:p w14:paraId="62DFE4CE" w14:textId="6524D3EC" w:rsidR="004B3351" w:rsidRPr="004B3351" w:rsidRDefault="004B3351" w:rsidP="00A75BD5">
            <w:pPr>
              <w:jc w:val="both"/>
              <w:rPr>
                <w:rFonts w:cstheme="minorHAnsi"/>
                <w:sz w:val="20"/>
                <w:szCs w:val="20"/>
              </w:rPr>
            </w:pPr>
          </w:p>
        </w:tc>
        <w:tc>
          <w:tcPr>
            <w:tcW w:w="719" w:type="dxa"/>
          </w:tcPr>
          <w:p w14:paraId="4259AC5F" w14:textId="235C976B" w:rsidR="004B3351" w:rsidRPr="004B3351" w:rsidRDefault="004B3351" w:rsidP="00A75BD5">
            <w:pPr>
              <w:jc w:val="both"/>
              <w:rPr>
                <w:rFonts w:cstheme="minorHAnsi"/>
                <w:sz w:val="20"/>
                <w:szCs w:val="20"/>
              </w:rPr>
            </w:pPr>
          </w:p>
        </w:tc>
        <w:tc>
          <w:tcPr>
            <w:tcW w:w="1795" w:type="dxa"/>
          </w:tcPr>
          <w:p w14:paraId="053683D2" w14:textId="0C56E5C9" w:rsidR="004B3351" w:rsidRPr="004B3351" w:rsidRDefault="004B3351" w:rsidP="00A75BD5">
            <w:pPr>
              <w:jc w:val="both"/>
              <w:rPr>
                <w:rFonts w:cstheme="minorHAnsi"/>
                <w:sz w:val="20"/>
                <w:szCs w:val="20"/>
              </w:rPr>
            </w:pPr>
          </w:p>
        </w:tc>
      </w:tr>
      <w:tr w:rsidR="004B3351" w:rsidRPr="003711B1" w14:paraId="52A513F8" w14:textId="77777777" w:rsidTr="00A21649">
        <w:trPr>
          <w:trHeight w:val="251"/>
          <w:jc w:val="center"/>
        </w:trPr>
        <w:tc>
          <w:tcPr>
            <w:tcW w:w="1229" w:type="dxa"/>
          </w:tcPr>
          <w:p w14:paraId="1983A8C0" w14:textId="5470A05E" w:rsidR="004B3351" w:rsidRPr="004B3351" w:rsidRDefault="004B3351" w:rsidP="00A75BD5">
            <w:pPr>
              <w:jc w:val="both"/>
              <w:rPr>
                <w:rFonts w:cstheme="minorHAnsi"/>
                <w:sz w:val="20"/>
                <w:szCs w:val="20"/>
              </w:rPr>
            </w:pPr>
          </w:p>
        </w:tc>
        <w:tc>
          <w:tcPr>
            <w:tcW w:w="1039" w:type="dxa"/>
            <w:gridSpan w:val="2"/>
          </w:tcPr>
          <w:p w14:paraId="6AEDA005" w14:textId="0C8B3B5A" w:rsidR="004B3351" w:rsidRPr="004B3351" w:rsidRDefault="004B3351" w:rsidP="00A75BD5">
            <w:pPr>
              <w:jc w:val="both"/>
              <w:rPr>
                <w:rFonts w:cstheme="minorHAnsi"/>
                <w:sz w:val="20"/>
                <w:szCs w:val="20"/>
              </w:rPr>
            </w:pPr>
          </w:p>
        </w:tc>
        <w:tc>
          <w:tcPr>
            <w:tcW w:w="868" w:type="dxa"/>
            <w:gridSpan w:val="2"/>
          </w:tcPr>
          <w:p w14:paraId="3920CA97" w14:textId="76894E3C" w:rsidR="004B3351" w:rsidRPr="004B3351" w:rsidRDefault="004B3351" w:rsidP="00A75BD5">
            <w:pPr>
              <w:jc w:val="both"/>
              <w:rPr>
                <w:rFonts w:cstheme="minorHAnsi"/>
                <w:sz w:val="20"/>
                <w:szCs w:val="20"/>
              </w:rPr>
            </w:pPr>
          </w:p>
        </w:tc>
        <w:tc>
          <w:tcPr>
            <w:tcW w:w="852" w:type="dxa"/>
            <w:gridSpan w:val="2"/>
          </w:tcPr>
          <w:p w14:paraId="3A08D68D" w14:textId="2632663F" w:rsidR="004B3351" w:rsidRPr="004B3351" w:rsidRDefault="004B3351" w:rsidP="00A75BD5">
            <w:pPr>
              <w:jc w:val="both"/>
              <w:rPr>
                <w:rFonts w:cstheme="minorHAnsi"/>
                <w:b/>
                <w:bCs/>
                <w:sz w:val="20"/>
                <w:szCs w:val="20"/>
              </w:rPr>
            </w:pPr>
          </w:p>
        </w:tc>
        <w:tc>
          <w:tcPr>
            <w:tcW w:w="1121" w:type="dxa"/>
            <w:gridSpan w:val="2"/>
          </w:tcPr>
          <w:p w14:paraId="001BB4F2" w14:textId="7278FA97" w:rsidR="004B3351" w:rsidRPr="004B3351" w:rsidRDefault="004B3351" w:rsidP="00A75BD5">
            <w:pPr>
              <w:jc w:val="both"/>
              <w:rPr>
                <w:rFonts w:cstheme="minorHAnsi"/>
                <w:sz w:val="20"/>
                <w:szCs w:val="20"/>
              </w:rPr>
            </w:pPr>
          </w:p>
        </w:tc>
        <w:tc>
          <w:tcPr>
            <w:tcW w:w="852" w:type="dxa"/>
            <w:gridSpan w:val="2"/>
          </w:tcPr>
          <w:p w14:paraId="41F95399" w14:textId="5B3A9BD4" w:rsidR="004B3351" w:rsidRPr="004B3351" w:rsidRDefault="004B3351" w:rsidP="00A75BD5">
            <w:pPr>
              <w:jc w:val="both"/>
              <w:rPr>
                <w:rFonts w:cstheme="minorHAnsi"/>
                <w:sz w:val="20"/>
                <w:szCs w:val="20"/>
              </w:rPr>
            </w:pPr>
          </w:p>
        </w:tc>
        <w:tc>
          <w:tcPr>
            <w:tcW w:w="719" w:type="dxa"/>
          </w:tcPr>
          <w:p w14:paraId="1508EA74" w14:textId="77777777" w:rsidR="004B3351" w:rsidRPr="004B3351" w:rsidRDefault="004B3351" w:rsidP="00A75BD5">
            <w:pPr>
              <w:jc w:val="both"/>
              <w:rPr>
                <w:rFonts w:cstheme="minorHAnsi"/>
                <w:sz w:val="20"/>
                <w:szCs w:val="20"/>
              </w:rPr>
            </w:pPr>
          </w:p>
        </w:tc>
        <w:tc>
          <w:tcPr>
            <w:tcW w:w="719" w:type="dxa"/>
          </w:tcPr>
          <w:p w14:paraId="12172C26" w14:textId="77777777" w:rsidR="004B3351" w:rsidRPr="004B3351" w:rsidRDefault="004B3351" w:rsidP="00A75BD5">
            <w:pPr>
              <w:jc w:val="both"/>
              <w:rPr>
                <w:rFonts w:cstheme="minorHAnsi"/>
                <w:sz w:val="20"/>
                <w:szCs w:val="20"/>
              </w:rPr>
            </w:pPr>
          </w:p>
        </w:tc>
        <w:tc>
          <w:tcPr>
            <w:tcW w:w="1795" w:type="dxa"/>
          </w:tcPr>
          <w:p w14:paraId="1E0576A3" w14:textId="77777777" w:rsidR="004B3351" w:rsidRPr="004B3351" w:rsidRDefault="004B3351" w:rsidP="00A75BD5">
            <w:pPr>
              <w:jc w:val="both"/>
              <w:rPr>
                <w:rFonts w:cstheme="minorHAnsi"/>
                <w:sz w:val="20"/>
                <w:szCs w:val="20"/>
              </w:rPr>
            </w:pPr>
          </w:p>
        </w:tc>
      </w:tr>
    </w:tbl>
    <w:p w14:paraId="0BB1E997" w14:textId="77777777" w:rsidR="004B3351" w:rsidRPr="00661BD2" w:rsidRDefault="004B3351" w:rsidP="00661BD2">
      <w:pPr>
        <w:jc w:val="both"/>
        <w:rPr>
          <w:rFonts w:eastAsia="Calibri" w:cs="Calibri"/>
        </w:rPr>
        <w:sectPr w:rsidR="004B3351" w:rsidRPr="00661BD2" w:rsidSect="00D34327">
          <w:headerReference w:type="default" r:id="rId29"/>
          <w:pgSz w:w="16840" w:h="11900" w:orient="landscape" w:code="9"/>
          <w:pgMar w:top="1440" w:right="1440" w:bottom="1440" w:left="1440" w:header="709" w:footer="680" w:gutter="0"/>
          <w:cols w:space="720"/>
          <w:docGrid w:linePitch="299"/>
        </w:sectPr>
      </w:pPr>
    </w:p>
    <w:p w14:paraId="0DA96778" w14:textId="0F08AEDF" w:rsidR="00415DD1" w:rsidRDefault="005E31C2" w:rsidP="00415DD1">
      <w:pPr>
        <w:jc w:val="center"/>
        <w:rPr>
          <w:rFonts w:eastAsia="Calibri" w:cs="Calibri"/>
          <w:b/>
        </w:rPr>
      </w:pPr>
      <w:r>
        <w:rPr>
          <w:rFonts w:eastAsia="Calibri" w:cs="Calibri"/>
          <w:b/>
        </w:rPr>
        <w:lastRenderedPageBreak/>
        <w:t xml:space="preserve">Appendix </w:t>
      </w:r>
      <w:r w:rsidR="00415DD1" w:rsidRPr="006B14FA">
        <w:rPr>
          <w:rFonts w:eastAsia="Calibri" w:cs="Calibri"/>
          <w:b/>
        </w:rPr>
        <w:t>Table</w:t>
      </w:r>
      <w:r w:rsidR="00415DD1" w:rsidRPr="006B14FA">
        <w:rPr>
          <w:rFonts w:eastAsia="Calibri" w:cs="Calibri"/>
          <w:b/>
          <w:spacing w:val="-4"/>
        </w:rPr>
        <w:t xml:space="preserve"> </w:t>
      </w:r>
      <w:r w:rsidR="001E698B">
        <w:rPr>
          <w:rFonts w:eastAsia="Calibri" w:cs="Calibri"/>
          <w:b/>
          <w:spacing w:val="-4"/>
        </w:rPr>
        <w:t>3</w:t>
      </w:r>
      <w:r w:rsidR="00415DD1" w:rsidRPr="006B14FA">
        <w:rPr>
          <w:rFonts w:eastAsia="Calibri" w:cs="Calibri"/>
          <w:b/>
        </w:rPr>
        <w:t>.</w:t>
      </w:r>
      <w:r w:rsidR="00415DD1" w:rsidRPr="006B14FA">
        <w:rPr>
          <w:rFonts w:eastAsia="Calibri" w:cs="Calibri"/>
          <w:b/>
          <w:spacing w:val="-4"/>
        </w:rPr>
        <w:t xml:space="preserve"> </w:t>
      </w:r>
      <w:r w:rsidR="001E698B">
        <w:rPr>
          <w:rFonts w:eastAsia="Calibri" w:cs="Calibri"/>
          <w:b/>
          <w:spacing w:val="-4"/>
        </w:rPr>
        <w:t>AR1</w:t>
      </w:r>
      <w:r w:rsidR="00415DD1" w:rsidRPr="006B14FA">
        <w:rPr>
          <w:rFonts w:eastAsia="Calibri" w:cs="Calibri"/>
          <w:b/>
          <w:spacing w:val="-4"/>
        </w:rPr>
        <w:t xml:space="preserve"> </w:t>
      </w:r>
      <w:r w:rsidR="00BF249C">
        <w:rPr>
          <w:rFonts w:eastAsia="Calibri" w:cs="Calibri"/>
          <w:b/>
          <w:spacing w:val="-4"/>
        </w:rPr>
        <w:t>e</w:t>
      </w:r>
      <w:r w:rsidR="00415DD1" w:rsidRPr="006B14FA">
        <w:rPr>
          <w:rFonts w:eastAsia="Calibri" w:cs="Calibri"/>
          <w:b/>
        </w:rPr>
        <w:t>stimates</w:t>
      </w:r>
      <w:r w:rsidR="00415DD1" w:rsidRPr="006B14FA">
        <w:rPr>
          <w:rFonts w:eastAsia="Calibri" w:cs="Calibri"/>
          <w:b/>
          <w:spacing w:val="-4"/>
        </w:rPr>
        <w:t xml:space="preserve"> </w:t>
      </w:r>
      <w:r w:rsidR="00415DD1" w:rsidRPr="006B14FA">
        <w:rPr>
          <w:rFonts w:eastAsia="Calibri" w:cs="Calibri"/>
          <w:b/>
        </w:rPr>
        <w:t>for</w:t>
      </w:r>
      <w:r w:rsidR="00415DD1" w:rsidRPr="006B14FA">
        <w:rPr>
          <w:rFonts w:eastAsia="Calibri" w:cs="Calibri"/>
          <w:b/>
          <w:spacing w:val="-4"/>
        </w:rPr>
        <w:t xml:space="preserve"> </w:t>
      </w:r>
      <w:r w:rsidR="00BF249C">
        <w:rPr>
          <w:rFonts w:eastAsia="Calibri" w:cs="Calibri"/>
          <w:b/>
          <w:spacing w:val="-4"/>
        </w:rPr>
        <w:t>r</w:t>
      </w:r>
      <w:r w:rsidR="00415DD1" w:rsidRPr="006B14FA">
        <w:rPr>
          <w:rFonts w:eastAsia="Calibri" w:cs="Calibri"/>
          <w:b/>
        </w:rPr>
        <w:t>eal</w:t>
      </w:r>
      <w:r w:rsidR="00415DD1" w:rsidRPr="006B14FA">
        <w:rPr>
          <w:rFonts w:eastAsia="Calibri" w:cs="Calibri"/>
          <w:b/>
          <w:spacing w:val="-4"/>
        </w:rPr>
        <w:t xml:space="preserve"> </w:t>
      </w:r>
      <w:r w:rsidR="005413C1">
        <w:rPr>
          <w:rFonts w:eastAsia="Calibri" w:cs="Calibri"/>
          <w:b/>
          <w:spacing w:val="-4"/>
        </w:rPr>
        <w:t xml:space="preserve">domestic </w:t>
      </w:r>
      <w:r w:rsidR="00BF249C">
        <w:rPr>
          <w:rFonts w:eastAsia="Calibri" w:cs="Calibri"/>
          <w:b/>
          <w:spacing w:val="-4"/>
        </w:rPr>
        <w:t>b</w:t>
      </w:r>
      <w:r w:rsidR="00415DD1" w:rsidRPr="006B14FA">
        <w:rPr>
          <w:rFonts w:eastAsia="Calibri" w:cs="Calibri"/>
          <w:b/>
        </w:rPr>
        <w:t>eef</w:t>
      </w:r>
      <w:r w:rsidR="00415DD1" w:rsidRPr="006B14FA">
        <w:rPr>
          <w:rFonts w:eastAsia="Calibri" w:cs="Calibri"/>
          <w:b/>
          <w:spacing w:val="-4"/>
        </w:rPr>
        <w:t xml:space="preserve"> </w:t>
      </w:r>
      <w:r w:rsidR="00BF249C">
        <w:rPr>
          <w:rFonts w:eastAsia="Calibri" w:cs="Calibri"/>
          <w:b/>
          <w:spacing w:val="-4"/>
        </w:rPr>
        <w:t>m</w:t>
      </w:r>
      <w:r w:rsidR="00415DD1" w:rsidRPr="006B14FA">
        <w:rPr>
          <w:rFonts w:eastAsia="Calibri" w:cs="Calibri"/>
          <w:b/>
        </w:rPr>
        <w:t>argin</w:t>
      </w:r>
      <w:r w:rsidR="00415DD1" w:rsidRPr="006B14FA">
        <w:rPr>
          <w:rFonts w:eastAsia="Calibri" w:cs="Calibri"/>
          <w:b/>
          <w:spacing w:val="-4"/>
        </w:rPr>
        <w:t xml:space="preserve"> </w:t>
      </w:r>
      <w:r w:rsidR="00BF249C">
        <w:rPr>
          <w:rFonts w:eastAsia="Calibri" w:cs="Calibri"/>
          <w:b/>
          <w:spacing w:val="-4"/>
        </w:rPr>
        <w:t>e</w:t>
      </w:r>
      <w:r w:rsidR="00415DD1" w:rsidRPr="006B14FA">
        <w:rPr>
          <w:rFonts w:eastAsia="Calibri" w:cs="Calibri"/>
          <w:b/>
        </w:rPr>
        <w:t>quations</w:t>
      </w:r>
      <w:r w:rsidR="00415DD1" w:rsidRPr="006B14FA">
        <w:rPr>
          <w:rFonts w:eastAsia="Calibri" w:cs="Calibri"/>
          <w:b/>
          <w:spacing w:val="-4"/>
        </w:rPr>
        <w:t xml:space="preserve"> </w:t>
      </w:r>
      <w:r w:rsidR="00415DD1" w:rsidRPr="006B14FA">
        <w:rPr>
          <w:rFonts w:eastAsia="Calibri" w:cs="Calibri"/>
          <w:b/>
        </w:rPr>
        <w:t>197</w:t>
      </w:r>
      <w:r w:rsidR="0069707D">
        <w:rPr>
          <w:rFonts w:eastAsia="Calibri" w:cs="Calibri"/>
          <w:b/>
        </w:rPr>
        <w:t>6</w:t>
      </w:r>
      <w:r w:rsidR="00415DD1" w:rsidRPr="006B14FA">
        <w:rPr>
          <w:rFonts w:eastAsia="Calibri" w:cs="Calibri"/>
          <w:b/>
          <w:spacing w:val="-4"/>
        </w:rPr>
        <w:t xml:space="preserve"> </w:t>
      </w:r>
      <w:r w:rsidR="00415DD1" w:rsidRPr="006B14FA">
        <w:rPr>
          <w:rFonts w:eastAsia="Calibri" w:cs="Calibri"/>
          <w:b/>
        </w:rPr>
        <w:t>–</w:t>
      </w:r>
      <w:r w:rsidR="00415DD1" w:rsidRPr="006B14FA">
        <w:rPr>
          <w:rFonts w:eastAsia="Calibri" w:cs="Calibri"/>
          <w:b/>
          <w:spacing w:val="-4"/>
        </w:rPr>
        <w:t xml:space="preserve"> </w:t>
      </w:r>
      <w:r w:rsidR="00415DD1" w:rsidRPr="006B14FA">
        <w:rPr>
          <w:rFonts w:eastAsia="Calibri" w:cs="Calibri"/>
          <w:b/>
        </w:rPr>
        <w:t>20</w:t>
      </w:r>
      <w:r w:rsidR="0069707D">
        <w:rPr>
          <w:rFonts w:eastAsia="Calibri" w:cs="Calibri"/>
          <w:b/>
        </w:rPr>
        <w:t>21</w:t>
      </w:r>
    </w:p>
    <w:p w14:paraId="4FACA4F3" w14:textId="77777777" w:rsidR="00031498" w:rsidRPr="00661BD2" w:rsidRDefault="00031498" w:rsidP="00415DD1">
      <w:pPr>
        <w:jc w:val="center"/>
        <w:rPr>
          <w:rFonts w:eastAsia="Calibri" w:cs="Calibri"/>
        </w:rPr>
      </w:pPr>
    </w:p>
    <w:tbl>
      <w:tblPr>
        <w:tblW w:w="13786" w:type="dxa"/>
        <w:jc w:val="center"/>
        <w:tblBorders>
          <w:top w:val="single" w:sz="4" w:space="0" w:color="BFBFBF"/>
          <w:bottom w:val="single" w:sz="4" w:space="0" w:color="BFBFBF"/>
          <w:insideH w:val="single" w:sz="4" w:space="0" w:color="BFBFBF"/>
        </w:tblBorders>
        <w:tblLayout w:type="fixed"/>
        <w:tblCellMar>
          <w:left w:w="0" w:type="dxa"/>
          <w:right w:w="0" w:type="dxa"/>
        </w:tblCellMar>
        <w:tblLook w:val="01E0" w:firstRow="1" w:lastRow="1" w:firstColumn="1" w:lastColumn="1" w:noHBand="0" w:noVBand="0"/>
      </w:tblPr>
      <w:tblGrid>
        <w:gridCol w:w="1148"/>
        <w:gridCol w:w="1149"/>
        <w:gridCol w:w="1149"/>
        <w:gridCol w:w="1149"/>
        <w:gridCol w:w="1149"/>
        <w:gridCol w:w="1149"/>
        <w:gridCol w:w="1148"/>
        <w:gridCol w:w="1149"/>
        <w:gridCol w:w="1149"/>
        <w:gridCol w:w="1149"/>
        <w:gridCol w:w="1149"/>
        <w:gridCol w:w="1149"/>
      </w:tblGrid>
      <w:tr w:rsidR="00374E2E" w:rsidRPr="00CC2ED3" w14:paraId="7A5709EC" w14:textId="77777777" w:rsidTr="00CC2ED3">
        <w:trPr>
          <w:trHeight w:hRule="exact" w:val="271"/>
          <w:jc w:val="center"/>
        </w:trPr>
        <w:tc>
          <w:tcPr>
            <w:tcW w:w="1148" w:type="dxa"/>
          </w:tcPr>
          <w:p w14:paraId="36F314AD" w14:textId="77777777" w:rsidR="00374E2E" w:rsidRPr="00CC2ED3" w:rsidRDefault="00374E2E" w:rsidP="00B437CB">
            <w:pPr>
              <w:pStyle w:val="TableParagraph"/>
              <w:jc w:val="center"/>
              <w:rPr>
                <w:rFonts w:eastAsia="Calibri" w:cs="Calibri"/>
                <w:sz w:val="20"/>
                <w:szCs w:val="20"/>
              </w:rPr>
            </w:pPr>
            <w:r w:rsidRPr="00CC2ED3">
              <w:rPr>
                <w:b/>
                <w:sz w:val="20"/>
                <w:szCs w:val="20"/>
              </w:rPr>
              <w:t>Constant</w:t>
            </w:r>
          </w:p>
        </w:tc>
        <w:tc>
          <w:tcPr>
            <w:tcW w:w="1149" w:type="dxa"/>
          </w:tcPr>
          <w:p w14:paraId="266CFF86" w14:textId="77777777" w:rsidR="00374E2E" w:rsidRPr="00CC2ED3" w:rsidRDefault="00374E2E" w:rsidP="00B437CB">
            <w:pPr>
              <w:pStyle w:val="TableParagraph"/>
              <w:jc w:val="center"/>
              <w:rPr>
                <w:rFonts w:eastAsia="Calibri" w:cs="Calibri"/>
                <w:sz w:val="20"/>
                <w:szCs w:val="20"/>
              </w:rPr>
            </w:pPr>
            <w:r w:rsidRPr="00CC2ED3">
              <w:rPr>
                <w:b/>
                <w:sz w:val="20"/>
                <w:szCs w:val="20"/>
              </w:rPr>
              <w:t>COSTIND</w:t>
            </w:r>
          </w:p>
        </w:tc>
        <w:tc>
          <w:tcPr>
            <w:tcW w:w="1149" w:type="dxa"/>
          </w:tcPr>
          <w:p w14:paraId="3E9386E1" w14:textId="77777777" w:rsidR="00374E2E" w:rsidRPr="00CC2ED3" w:rsidRDefault="00374E2E" w:rsidP="00B437CB">
            <w:pPr>
              <w:pStyle w:val="TableParagraph"/>
              <w:jc w:val="center"/>
              <w:rPr>
                <w:rFonts w:eastAsia="Calibri" w:cs="Calibri"/>
                <w:sz w:val="20"/>
                <w:szCs w:val="20"/>
              </w:rPr>
            </w:pPr>
            <w:r w:rsidRPr="00CC2ED3">
              <w:rPr>
                <w:b/>
                <w:sz w:val="20"/>
                <w:szCs w:val="20"/>
              </w:rPr>
              <w:t>DMBF</w:t>
            </w:r>
          </w:p>
        </w:tc>
        <w:tc>
          <w:tcPr>
            <w:tcW w:w="1149" w:type="dxa"/>
          </w:tcPr>
          <w:p w14:paraId="3CAA3F5A" w14:textId="77777777" w:rsidR="00374E2E" w:rsidRPr="00CC2ED3" w:rsidRDefault="00374E2E" w:rsidP="00B437CB">
            <w:pPr>
              <w:pStyle w:val="TableParagraph"/>
              <w:jc w:val="center"/>
              <w:rPr>
                <w:rFonts w:eastAsia="Calibri" w:cs="Calibri"/>
                <w:sz w:val="20"/>
                <w:szCs w:val="20"/>
              </w:rPr>
            </w:pPr>
            <w:proofErr w:type="spellStart"/>
            <w:r w:rsidRPr="00CC2ED3">
              <w:rPr>
                <w:b/>
                <w:sz w:val="20"/>
                <w:szCs w:val="20"/>
              </w:rPr>
              <w:t>DMBFi</w:t>
            </w:r>
            <w:proofErr w:type="spellEnd"/>
          </w:p>
        </w:tc>
        <w:tc>
          <w:tcPr>
            <w:tcW w:w="1149" w:type="dxa"/>
          </w:tcPr>
          <w:p w14:paraId="6A4D42D3" w14:textId="77777777" w:rsidR="00374E2E" w:rsidRPr="00CC2ED3" w:rsidRDefault="00374E2E" w:rsidP="00B437CB">
            <w:pPr>
              <w:pStyle w:val="TableParagraph"/>
              <w:jc w:val="center"/>
              <w:rPr>
                <w:rFonts w:eastAsia="Calibri" w:cs="Calibri"/>
                <w:sz w:val="20"/>
                <w:szCs w:val="20"/>
              </w:rPr>
            </w:pPr>
            <w:r w:rsidRPr="00CC2ED3">
              <w:rPr>
                <w:b/>
                <w:sz w:val="20"/>
                <w:szCs w:val="20"/>
              </w:rPr>
              <w:t>TIME</w:t>
            </w:r>
          </w:p>
        </w:tc>
        <w:tc>
          <w:tcPr>
            <w:tcW w:w="1149" w:type="dxa"/>
          </w:tcPr>
          <w:p w14:paraId="31097E68" w14:textId="5A540435" w:rsidR="00374E2E" w:rsidRPr="00CC2ED3" w:rsidRDefault="00374E2E" w:rsidP="00B437CB">
            <w:pPr>
              <w:pStyle w:val="TableParagraph"/>
              <w:jc w:val="center"/>
              <w:rPr>
                <w:rFonts w:eastAsia="Calibri" w:cs="Calibri"/>
                <w:b/>
                <w:sz w:val="20"/>
                <w:szCs w:val="20"/>
              </w:rPr>
            </w:pPr>
            <w:r w:rsidRPr="00CC2ED3">
              <w:rPr>
                <w:rFonts w:eastAsia="Calibri" w:cs="Calibri"/>
                <w:b/>
                <w:sz w:val="20"/>
                <w:szCs w:val="20"/>
              </w:rPr>
              <w:t>DUM75</w:t>
            </w:r>
          </w:p>
        </w:tc>
        <w:tc>
          <w:tcPr>
            <w:tcW w:w="1148" w:type="dxa"/>
          </w:tcPr>
          <w:p w14:paraId="3BE02BE3" w14:textId="47F3D676" w:rsidR="00374E2E" w:rsidRPr="00CC2ED3" w:rsidRDefault="00374E2E" w:rsidP="00B437CB">
            <w:pPr>
              <w:pStyle w:val="TableParagraph"/>
              <w:jc w:val="center"/>
              <w:rPr>
                <w:rFonts w:eastAsia="Calibri" w:cs="Calibri"/>
                <w:b/>
                <w:sz w:val="20"/>
                <w:szCs w:val="20"/>
              </w:rPr>
            </w:pPr>
            <w:r w:rsidRPr="00CC2ED3">
              <w:rPr>
                <w:rFonts w:eastAsia="Calibri" w:cs="Calibri"/>
                <w:b/>
                <w:sz w:val="20"/>
                <w:szCs w:val="20"/>
              </w:rPr>
              <w:t>DUM95</w:t>
            </w:r>
          </w:p>
        </w:tc>
        <w:tc>
          <w:tcPr>
            <w:tcW w:w="1149" w:type="dxa"/>
          </w:tcPr>
          <w:p w14:paraId="220079EF" w14:textId="3581633F" w:rsidR="00374E2E" w:rsidRPr="00CC2ED3" w:rsidRDefault="00374E2E" w:rsidP="00B437CB">
            <w:pPr>
              <w:pStyle w:val="TableParagraph"/>
              <w:jc w:val="center"/>
              <w:rPr>
                <w:rFonts w:eastAsia="Calibri" w:cs="Calibri"/>
                <w:b/>
                <w:sz w:val="20"/>
                <w:szCs w:val="20"/>
              </w:rPr>
            </w:pPr>
            <w:r w:rsidRPr="00CC2ED3">
              <w:rPr>
                <w:rFonts w:eastAsia="Calibri" w:cs="Calibri"/>
                <w:b/>
                <w:sz w:val="20"/>
                <w:szCs w:val="20"/>
              </w:rPr>
              <w:t>DUM07</w:t>
            </w:r>
          </w:p>
        </w:tc>
        <w:tc>
          <w:tcPr>
            <w:tcW w:w="1149" w:type="dxa"/>
          </w:tcPr>
          <w:p w14:paraId="1646259E" w14:textId="76988FE2" w:rsidR="00374E2E" w:rsidRPr="00CC2ED3" w:rsidRDefault="00374E2E" w:rsidP="00B437CB">
            <w:pPr>
              <w:pStyle w:val="TableParagraph"/>
              <w:jc w:val="center"/>
              <w:rPr>
                <w:rFonts w:eastAsia="Calibri" w:cs="Calibri"/>
                <w:b/>
                <w:sz w:val="20"/>
                <w:szCs w:val="20"/>
              </w:rPr>
            </w:pPr>
            <w:r w:rsidRPr="00CC2ED3">
              <w:rPr>
                <w:rFonts w:eastAsia="Calibri" w:cs="Calibri"/>
                <w:b/>
                <w:sz w:val="20"/>
                <w:szCs w:val="20"/>
              </w:rPr>
              <w:t>DUM11</w:t>
            </w:r>
          </w:p>
        </w:tc>
        <w:tc>
          <w:tcPr>
            <w:tcW w:w="1149" w:type="dxa"/>
          </w:tcPr>
          <w:p w14:paraId="07D5B5B1" w14:textId="73EA86D0" w:rsidR="00374E2E" w:rsidRPr="00CC2ED3" w:rsidRDefault="00374E2E" w:rsidP="00B437CB">
            <w:pPr>
              <w:pStyle w:val="TableParagraph"/>
              <w:jc w:val="center"/>
              <w:rPr>
                <w:rFonts w:eastAsia="Calibri" w:cs="Calibri"/>
                <w:sz w:val="20"/>
                <w:szCs w:val="20"/>
              </w:rPr>
            </w:pPr>
            <w:r w:rsidRPr="00CC2ED3">
              <w:rPr>
                <w:b/>
                <w:sz w:val="20"/>
                <w:szCs w:val="20"/>
              </w:rPr>
              <w:t>RHO</w:t>
            </w:r>
          </w:p>
        </w:tc>
        <w:tc>
          <w:tcPr>
            <w:tcW w:w="1149" w:type="dxa"/>
          </w:tcPr>
          <w:p w14:paraId="7505BF9C" w14:textId="0B45D475" w:rsidR="00374E2E" w:rsidRPr="00CC2ED3" w:rsidRDefault="00374E2E" w:rsidP="00B437CB">
            <w:pPr>
              <w:pStyle w:val="TableParagraph"/>
              <w:jc w:val="center"/>
              <w:rPr>
                <w:rFonts w:eastAsia="Calibri" w:cs="Calibri"/>
                <w:sz w:val="20"/>
                <w:szCs w:val="20"/>
              </w:rPr>
            </w:pPr>
            <w:r w:rsidRPr="00CC2ED3">
              <w:rPr>
                <w:b/>
                <w:sz w:val="20"/>
                <w:szCs w:val="20"/>
              </w:rPr>
              <w:t>R</w:t>
            </w:r>
            <w:r w:rsidRPr="00CC2ED3">
              <w:rPr>
                <w:b/>
                <w:sz w:val="20"/>
                <w:szCs w:val="20"/>
                <w:vertAlign w:val="superscript"/>
              </w:rPr>
              <w:t>2</w:t>
            </w:r>
          </w:p>
        </w:tc>
        <w:tc>
          <w:tcPr>
            <w:tcW w:w="1149" w:type="dxa"/>
          </w:tcPr>
          <w:p w14:paraId="7894A719" w14:textId="10F443BB" w:rsidR="00374E2E" w:rsidRPr="00CC2ED3" w:rsidRDefault="00374E2E" w:rsidP="00B437CB">
            <w:pPr>
              <w:pStyle w:val="TableParagraph"/>
              <w:jc w:val="center"/>
              <w:rPr>
                <w:rFonts w:eastAsia="Calibri" w:cs="Calibri"/>
                <w:sz w:val="20"/>
                <w:szCs w:val="20"/>
              </w:rPr>
            </w:pPr>
            <w:r w:rsidRPr="00CC2ED3">
              <w:rPr>
                <w:b/>
                <w:sz w:val="20"/>
                <w:szCs w:val="20"/>
              </w:rPr>
              <w:t>DW</w:t>
            </w:r>
          </w:p>
        </w:tc>
      </w:tr>
      <w:tr w:rsidR="00E16CAB" w:rsidRPr="00CC2ED3" w14:paraId="787092BB" w14:textId="77777777" w:rsidTr="00CC2ED3">
        <w:trPr>
          <w:trHeight w:hRule="exact" w:val="271"/>
          <w:jc w:val="center"/>
        </w:trPr>
        <w:tc>
          <w:tcPr>
            <w:tcW w:w="1148" w:type="dxa"/>
            <w:shd w:val="clear" w:color="auto" w:fill="F2F2F2"/>
          </w:tcPr>
          <w:p w14:paraId="7824AEEC" w14:textId="13DAC58B" w:rsidR="00E16CAB" w:rsidRPr="00CC2ED3" w:rsidRDefault="00E16CAB" w:rsidP="00E16CAB">
            <w:pPr>
              <w:pStyle w:val="TableParagraph"/>
              <w:jc w:val="center"/>
              <w:rPr>
                <w:rFonts w:eastAsia="Calibri" w:cs="Calibri"/>
                <w:sz w:val="20"/>
                <w:szCs w:val="20"/>
              </w:rPr>
            </w:pPr>
            <w:r>
              <w:rPr>
                <w:sz w:val="20"/>
                <w:szCs w:val="20"/>
              </w:rPr>
              <w:t>142.49</w:t>
            </w:r>
          </w:p>
        </w:tc>
        <w:tc>
          <w:tcPr>
            <w:tcW w:w="1149" w:type="dxa"/>
            <w:shd w:val="clear" w:color="auto" w:fill="F2F2F2"/>
          </w:tcPr>
          <w:p w14:paraId="32578E3E" w14:textId="04AE7C00" w:rsidR="00E16CAB" w:rsidRPr="00CC2ED3" w:rsidRDefault="00E16CAB" w:rsidP="00E16CAB">
            <w:pPr>
              <w:pStyle w:val="TableParagraph"/>
              <w:jc w:val="center"/>
              <w:rPr>
                <w:rFonts w:eastAsia="Calibri" w:cs="Calibri"/>
                <w:sz w:val="20"/>
                <w:szCs w:val="20"/>
              </w:rPr>
            </w:pPr>
            <w:r>
              <w:rPr>
                <w:sz w:val="20"/>
                <w:szCs w:val="20"/>
              </w:rPr>
              <w:t>5.118</w:t>
            </w:r>
          </w:p>
        </w:tc>
        <w:tc>
          <w:tcPr>
            <w:tcW w:w="1149" w:type="dxa"/>
            <w:shd w:val="clear" w:color="auto" w:fill="F2F2F2"/>
          </w:tcPr>
          <w:p w14:paraId="63F8B9C3" w14:textId="528EEBDD" w:rsidR="00E16CAB" w:rsidRPr="00CC2ED3" w:rsidRDefault="00E16CAB" w:rsidP="00E16CAB">
            <w:pPr>
              <w:pStyle w:val="TableParagraph"/>
              <w:jc w:val="center"/>
              <w:rPr>
                <w:rFonts w:eastAsia="Calibri" w:cs="Calibri"/>
                <w:sz w:val="20"/>
                <w:szCs w:val="20"/>
              </w:rPr>
            </w:pPr>
            <w:r w:rsidRPr="00CC2ED3">
              <w:rPr>
                <w:sz w:val="20"/>
                <w:szCs w:val="20"/>
              </w:rPr>
              <w:t>-0.</w:t>
            </w:r>
            <w:r>
              <w:rPr>
                <w:sz w:val="20"/>
                <w:szCs w:val="20"/>
              </w:rPr>
              <w:t>337</w:t>
            </w:r>
          </w:p>
        </w:tc>
        <w:tc>
          <w:tcPr>
            <w:tcW w:w="1149" w:type="dxa"/>
            <w:shd w:val="clear" w:color="auto" w:fill="F2F2F2"/>
          </w:tcPr>
          <w:p w14:paraId="57FB547E" w14:textId="7A4141A9" w:rsidR="00E16CAB" w:rsidRPr="00CC2ED3" w:rsidRDefault="00E16CAB" w:rsidP="00E16CAB">
            <w:pPr>
              <w:pStyle w:val="TableParagraph"/>
              <w:jc w:val="center"/>
              <w:rPr>
                <w:rFonts w:eastAsia="Calibri" w:cs="Calibri"/>
                <w:sz w:val="20"/>
                <w:szCs w:val="20"/>
              </w:rPr>
            </w:pPr>
            <w:r>
              <w:rPr>
                <w:sz w:val="20"/>
                <w:szCs w:val="20"/>
              </w:rPr>
              <w:t>1</w:t>
            </w:r>
            <w:r w:rsidRPr="00CC2ED3">
              <w:rPr>
                <w:sz w:val="20"/>
                <w:szCs w:val="20"/>
              </w:rPr>
              <w:t>7.</w:t>
            </w:r>
            <w:r>
              <w:rPr>
                <w:sz w:val="20"/>
                <w:szCs w:val="20"/>
              </w:rPr>
              <w:t>925</w:t>
            </w:r>
          </w:p>
        </w:tc>
        <w:tc>
          <w:tcPr>
            <w:tcW w:w="1149" w:type="dxa"/>
            <w:shd w:val="clear" w:color="auto" w:fill="F2F2F2"/>
          </w:tcPr>
          <w:p w14:paraId="5FE539C4" w14:textId="52B1C2B5" w:rsidR="00E16CAB" w:rsidRPr="00CC2ED3" w:rsidRDefault="00E16CAB" w:rsidP="00E16CAB">
            <w:pPr>
              <w:pStyle w:val="TableParagraph"/>
              <w:jc w:val="center"/>
              <w:rPr>
                <w:rFonts w:eastAsia="Calibri" w:cs="Calibri"/>
                <w:sz w:val="20"/>
                <w:szCs w:val="20"/>
              </w:rPr>
            </w:pPr>
            <w:r>
              <w:rPr>
                <w:sz w:val="20"/>
                <w:szCs w:val="20"/>
              </w:rPr>
              <w:t>6.494</w:t>
            </w:r>
          </w:p>
        </w:tc>
        <w:tc>
          <w:tcPr>
            <w:tcW w:w="1149" w:type="dxa"/>
            <w:shd w:val="clear" w:color="auto" w:fill="F2F2F2"/>
          </w:tcPr>
          <w:p w14:paraId="77E605CB" w14:textId="4ACF1AD2" w:rsidR="00E16CAB" w:rsidRPr="00CC2ED3" w:rsidRDefault="00E16CAB" w:rsidP="00E16CAB">
            <w:pPr>
              <w:pStyle w:val="TableParagraph"/>
              <w:jc w:val="center"/>
              <w:rPr>
                <w:rFonts w:eastAsia="Calibri" w:cs="Calibri"/>
                <w:sz w:val="20"/>
                <w:szCs w:val="20"/>
              </w:rPr>
            </w:pPr>
          </w:p>
        </w:tc>
        <w:tc>
          <w:tcPr>
            <w:tcW w:w="1148" w:type="dxa"/>
            <w:shd w:val="clear" w:color="auto" w:fill="F2F2F2"/>
          </w:tcPr>
          <w:p w14:paraId="058AE80A" w14:textId="2BC203C7"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3CF48500" w14:textId="7D867EF9"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576AE8F0" w14:textId="354FF154"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463AB436" w14:textId="0BC8774C" w:rsidR="00E16CAB" w:rsidRPr="00CC2ED3" w:rsidRDefault="00E16CAB" w:rsidP="00E16CAB">
            <w:pPr>
              <w:pStyle w:val="TableParagraph"/>
              <w:jc w:val="center"/>
              <w:rPr>
                <w:rFonts w:eastAsia="Calibri" w:cs="Calibri"/>
                <w:sz w:val="20"/>
                <w:szCs w:val="20"/>
              </w:rPr>
            </w:pPr>
            <w:r w:rsidRPr="00CC2ED3">
              <w:rPr>
                <w:sz w:val="20"/>
                <w:szCs w:val="20"/>
              </w:rPr>
              <w:t>0.</w:t>
            </w:r>
            <w:r>
              <w:rPr>
                <w:sz w:val="20"/>
                <w:szCs w:val="20"/>
              </w:rPr>
              <w:t>495</w:t>
            </w:r>
          </w:p>
        </w:tc>
        <w:tc>
          <w:tcPr>
            <w:tcW w:w="1149" w:type="dxa"/>
            <w:shd w:val="clear" w:color="auto" w:fill="F2F2F2"/>
          </w:tcPr>
          <w:p w14:paraId="71C2C1AD" w14:textId="0EB77076" w:rsidR="00E16CAB" w:rsidRPr="00CC2ED3" w:rsidRDefault="00E16CAB" w:rsidP="00E16CAB">
            <w:pPr>
              <w:pStyle w:val="TableParagraph"/>
              <w:jc w:val="center"/>
              <w:rPr>
                <w:rFonts w:eastAsia="Calibri" w:cs="Calibri"/>
                <w:sz w:val="20"/>
                <w:szCs w:val="20"/>
              </w:rPr>
            </w:pPr>
            <w:r w:rsidRPr="00CC2ED3">
              <w:rPr>
                <w:sz w:val="20"/>
                <w:szCs w:val="20"/>
              </w:rPr>
              <w:t>0.</w:t>
            </w:r>
            <w:r>
              <w:rPr>
                <w:sz w:val="20"/>
                <w:szCs w:val="20"/>
              </w:rPr>
              <w:t>99</w:t>
            </w:r>
          </w:p>
        </w:tc>
        <w:tc>
          <w:tcPr>
            <w:tcW w:w="1149" w:type="dxa"/>
            <w:shd w:val="clear" w:color="auto" w:fill="F2F2F2"/>
          </w:tcPr>
          <w:p w14:paraId="578D0AF3" w14:textId="0515B83F" w:rsidR="00E16CAB" w:rsidRPr="00A976EA" w:rsidRDefault="00E16CAB" w:rsidP="00E16CAB">
            <w:pPr>
              <w:pStyle w:val="TableParagraph"/>
              <w:jc w:val="center"/>
              <w:rPr>
                <w:rFonts w:eastAsia="Calibri" w:cs="Calibri"/>
                <w:sz w:val="20"/>
                <w:szCs w:val="20"/>
              </w:rPr>
            </w:pPr>
            <w:r w:rsidRPr="00A976EA">
              <w:rPr>
                <w:sz w:val="20"/>
                <w:szCs w:val="20"/>
              </w:rPr>
              <w:t>2.03</w:t>
            </w:r>
          </w:p>
        </w:tc>
      </w:tr>
      <w:tr w:rsidR="00E16CAB" w:rsidRPr="00CC2ED3" w14:paraId="4CC87151" w14:textId="77777777" w:rsidTr="00CC2ED3">
        <w:trPr>
          <w:trHeight w:hRule="exact" w:val="271"/>
          <w:jc w:val="center"/>
        </w:trPr>
        <w:tc>
          <w:tcPr>
            <w:tcW w:w="1148" w:type="dxa"/>
          </w:tcPr>
          <w:p w14:paraId="11B9FFA8" w14:textId="52AEDA42" w:rsidR="00E16CAB" w:rsidRPr="00CC2ED3" w:rsidRDefault="00E16CAB" w:rsidP="00E16CAB">
            <w:pPr>
              <w:pStyle w:val="TableParagraph"/>
              <w:jc w:val="center"/>
              <w:rPr>
                <w:rFonts w:eastAsia="Calibri" w:cs="Calibri"/>
                <w:sz w:val="20"/>
                <w:szCs w:val="20"/>
              </w:rPr>
            </w:pPr>
            <w:r w:rsidRPr="00CC2ED3">
              <w:rPr>
                <w:sz w:val="20"/>
                <w:szCs w:val="20"/>
              </w:rPr>
              <w:t>(</w:t>
            </w:r>
            <w:r>
              <w:rPr>
                <w:sz w:val="20"/>
                <w:szCs w:val="20"/>
              </w:rPr>
              <w:t>2.83</w:t>
            </w:r>
            <w:r w:rsidRPr="00CC2ED3">
              <w:rPr>
                <w:sz w:val="20"/>
                <w:szCs w:val="20"/>
              </w:rPr>
              <w:t>)</w:t>
            </w:r>
          </w:p>
        </w:tc>
        <w:tc>
          <w:tcPr>
            <w:tcW w:w="1149" w:type="dxa"/>
          </w:tcPr>
          <w:p w14:paraId="27917CEA" w14:textId="79286892" w:rsidR="00E16CAB" w:rsidRPr="00CC2ED3" w:rsidRDefault="00E16CAB" w:rsidP="00E16CAB">
            <w:pPr>
              <w:pStyle w:val="TableParagraph"/>
              <w:jc w:val="center"/>
              <w:rPr>
                <w:rFonts w:eastAsia="Calibri" w:cs="Calibri"/>
                <w:sz w:val="20"/>
                <w:szCs w:val="20"/>
              </w:rPr>
            </w:pPr>
            <w:r w:rsidRPr="00CC2ED3">
              <w:rPr>
                <w:sz w:val="20"/>
                <w:szCs w:val="20"/>
              </w:rPr>
              <w:t>(</w:t>
            </w:r>
            <w:r>
              <w:rPr>
                <w:sz w:val="20"/>
                <w:szCs w:val="20"/>
              </w:rPr>
              <w:t>9.20</w:t>
            </w:r>
            <w:r w:rsidRPr="00CC2ED3">
              <w:rPr>
                <w:sz w:val="20"/>
                <w:szCs w:val="20"/>
              </w:rPr>
              <w:t>)</w:t>
            </w:r>
          </w:p>
        </w:tc>
        <w:tc>
          <w:tcPr>
            <w:tcW w:w="1149" w:type="dxa"/>
          </w:tcPr>
          <w:p w14:paraId="1371EF48" w14:textId="3133A6A6" w:rsidR="00E16CAB" w:rsidRPr="00CC2ED3" w:rsidRDefault="00E16CAB" w:rsidP="00E16CAB">
            <w:pPr>
              <w:pStyle w:val="TableParagraph"/>
              <w:jc w:val="center"/>
              <w:rPr>
                <w:rFonts w:eastAsia="Calibri" w:cs="Calibri"/>
                <w:sz w:val="20"/>
                <w:szCs w:val="20"/>
              </w:rPr>
            </w:pPr>
            <w:r w:rsidRPr="00CC2ED3">
              <w:rPr>
                <w:sz w:val="20"/>
                <w:szCs w:val="20"/>
              </w:rPr>
              <w:t>(-1.</w:t>
            </w:r>
            <w:r>
              <w:rPr>
                <w:sz w:val="20"/>
                <w:szCs w:val="20"/>
              </w:rPr>
              <w:t>44</w:t>
            </w:r>
            <w:r w:rsidRPr="00CC2ED3">
              <w:rPr>
                <w:sz w:val="20"/>
                <w:szCs w:val="20"/>
              </w:rPr>
              <w:t>)</w:t>
            </w:r>
          </w:p>
        </w:tc>
        <w:tc>
          <w:tcPr>
            <w:tcW w:w="1149" w:type="dxa"/>
          </w:tcPr>
          <w:p w14:paraId="14F56192" w14:textId="2D16F548" w:rsidR="00E16CAB" w:rsidRPr="00CC2ED3" w:rsidRDefault="00E16CAB" w:rsidP="00E16CAB">
            <w:pPr>
              <w:pStyle w:val="TableParagraph"/>
              <w:jc w:val="center"/>
              <w:rPr>
                <w:rFonts w:eastAsia="Calibri" w:cs="Calibri"/>
                <w:sz w:val="20"/>
                <w:szCs w:val="20"/>
              </w:rPr>
            </w:pPr>
            <w:r w:rsidRPr="00CC2ED3">
              <w:rPr>
                <w:sz w:val="20"/>
                <w:szCs w:val="20"/>
              </w:rPr>
              <w:t>(0.8</w:t>
            </w:r>
            <w:r>
              <w:rPr>
                <w:sz w:val="20"/>
                <w:szCs w:val="20"/>
              </w:rPr>
              <w:t>4</w:t>
            </w:r>
            <w:r w:rsidRPr="00CC2ED3">
              <w:rPr>
                <w:sz w:val="20"/>
                <w:szCs w:val="20"/>
              </w:rPr>
              <w:t>)</w:t>
            </w:r>
          </w:p>
        </w:tc>
        <w:tc>
          <w:tcPr>
            <w:tcW w:w="1149" w:type="dxa"/>
          </w:tcPr>
          <w:p w14:paraId="24ACCB4C" w14:textId="168722FB" w:rsidR="00E16CAB" w:rsidRPr="00CC2ED3" w:rsidRDefault="00E16CAB" w:rsidP="00E16CAB">
            <w:pPr>
              <w:pStyle w:val="TableParagraph"/>
              <w:jc w:val="center"/>
              <w:rPr>
                <w:rFonts w:eastAsia="Calibri" w:cs="Calibri"/>
                <w:sz w:val="20"/>
                <w:szCs w:val="20"/>
              </w:rPr>
            </w:pPr>
            <w:r w:rsidRPr="00CC2ED3">
              <w:rPr>
                <w:sz w:val="20"/>
                <w:szCs w:val="20"/>
              </w:rPr>
              <w:t>(</w:t>
            </w:r>
            <w:r>
              <w:rPr>
                <w:sz w:val="20"/>
                <w:szCs w:val="20"/>
              </w:rPr>
              <w:t>4.63</w:t>
            </w:r>
            <w:r w:rsidRPr="00CC2ED3">
              <w:rPr>
                <w:sz w:val="20"/>
                <w:szCs w:val="20"/>
              </w:rPr>
              <w:t>)</w:t>
            </w:r>
          </w:p>
        </w:tc>
        <w:tc>
          <w:tcPr>
            <w:tcW w:w="1149" w:type="dxa"/>
          </w:tcPr>
          <w:p w14:paraId="13FFF15D" w14:textId="0644BF09" w:rsidR="00E16CAB" w:rsidRPr="00CC2ED3" w:rsidRDefault="00E16CAB" w:rsidP="00E16CAB">
            <w:pPr>
              <w:pStyle w:val="TableParagraph"/>
              <w:jc w:val="center"/>
              <w:rPr>
                <w:rFonts w:eastAsia="Calibri" w:cs="Calibri"/>
                <w:sz w:val="20"/>
                <w:szCs w:val="20"/>
              </w:rPr>
            </w:pPr>
          </w:p>
        </w:tc>
        <w:tc>
          <w:tcPr>
            <w:tcW w:w="1148" w:type="dxa"/>
          </w:tcPr>
          <w:p w14:paraId="72DF7B6C" w14:textId="77777777" w:rsidR="00E16CAB" w:rsidRPr="00CC2ED3" w:rsidRDefault="00E16CAB" w:rsidP="00E16CAB">
            <w:pPr>
              <w:jc w:val="center"/>
              <w:rPr>
                <w:sz w:val="20"/>
                <w:szCs w:val="20"/>
              </w:rPr>
            </w:pPr>
          </w:p>
        </w:tc>
        <w:tc>
          <w:tcPr>
            <w:tcW w:w="1149" w:type="dxa"/>
          </w:tcPr>
          <w:p w14:paraId="028EDDEB" w14:textId="77777777" w:rsidR="00E16CAB" w:rsidRPr="00CC2ED3" w:rsidRDefault="00E16CAB" w:rsidP="00E16CAB">
            <w:pPr>
              <w:jc w:val="center"/>
              <w:rPr>
                <w:sz w:val="20"/>
                <w:szCs w:val="20"/>
              </w:rPr>
            </w:pPr>
          </w:p>
        </w:tc>
        <w:tc>
          <w:tcPr>
            <w:tcW w:w="1149" w:type="dxa"/>
          </w:tcPr>
          <w:p w14:paraId="42EB4143" w14:textId="77777777" w:rsidR="00E16CAB" w:rsidRPr="00CC2ED3" w:rsidRDefault="00E16CAB" w:rsidP="00E16CAB">
            <w:pPr>
              <w:jc w:val="center"/>
              <w:rPr>
                <w:sz w:val="20"/>
                <w:szCs w:val="20"/>
              </w:rPr>
            </w:pPr>
          </w:p>
        </w:tc>
        <w:tc>
          <w:tcPr>
            <w:tcW w:w="1149" w:type="dxa"/>
          </w:tcPr>
          <w:p w14:paraId="54335E68" w14:textId="09AB55BD" w:rsidR="00E16CAB" w:rsidRPr="00CC2ED3" w:rsidRDefault="00E16CAB" w:rsidP="00E16CAB">
            <w:pPr>
              <w:jc w:val="center"/>
              <w:rPr>
                <w:sz w:val="20"/>
                <w:szCs w:val="20"/>
              </w:rPr>
            </w:pPr>
            <w:r w:rsidRPr="00CC2ED3">
              <w:rPr>
                <w:sz w:val="20"/>
                <w:szCs w:val="20"/>
              </w:rPr>
              <w:t>(</w:t>
            </w:r>
            <w:r>
              <w:rPr>
                <w:sz w:val="20"/>
                <w:szCs w:val="20"/>
              </w:rPr>
              <w:t>3.75</w:t>
            </w:r>
            <w:r w:rsidRPr="00CC2ED3">
              <w:rPr>
                <w:sz w:val="20"/>
                <w:szCs w:val="20"/>
              </w:rPr>
              <w:t>)</w:t>
            </w:r>
          </w:p>
        </w:tc>
        <w:tc>
          <w:tcPr>
            <w:tcW w:w="1149" w:type="dxa"/>
          </w:tcPr>
          <w:p w14:paraId="1FFFE0A4" w14:textId="77777777" w:rsidR="00E16CAB" w:rsidRPr="00CC2ED3" w:rsidRDefault="00E16CAB" w:rsidP="00E16CAB">
            <w:pPr>
              <w:jc w:val="center"/>
              <w:rPr>
                <w:sz w:val="20"/>
                <w:szCs w:val="20"/>
              </w:rPr>
            </w:pPr>
          </w:p>
        </w:tc>
        <w:tc>
          <w:tcPr>
            <w:tcW w:w="1149" w:type="dxa"/>
          </w:tcPr>
          <w:p w14:paraId="3659C22E" w14:textId="77777777" w:rsidR="00E16CAB" w:rsidRPr="00A976EA" w:rsidRDefault="00E16CAB" w:rsidP="00E16CAB">
            <w:pPr>
              <w:jc w:val="center"/>
              <w:rPr>
                <w:sz w:val="20"/>
                <w:szCs w:val="20"/>
              </w:rPr>
            </w:pPr>
          </w:p>
        </w:tc>
      </w:tr>
      <w:tr w:rsidR="00E16CAB" w:rsidRPr="00CC2ED3" w14:paraId="239660BD" w14:textId="77777777" w:rsidTr="00CC2ED3">
        <w:trPr>
          <w:trHeight w:hRule="exact" w:val="271"/>
          <w:jc w:val="center"/>
        </w:trPr>
        <w:tc>
          <w:tcPr>
            <w:tcW w:w="1148" w:type="dxa"/>
            <w:shd w:val="clear" w:color="auto" w:fill="F2F2F2"/>
          </w:tcPr>
          <w:p w14:paraId="40B0089E" w14:textId="2BFFCB81" w:rsidR="00E16CAB" w:rsidRPr="00CC2ED3" w:rsidRDefault="00E16CAB" w:rsidP="00E16CAB">
            <w:pPr>
              <w:pStyle w:val="TableParagraph"/>
              <w:jc w:val="center"/>
              <w:rPr>
                <w:rFonts w:eastAsia="Calibri" w:cs="Calibri"/>
                <w:sz w:val="20"/>
                <w:szCs w:val="20"/>
              </w:rPr>
            </w:pPr>
            <w:r>
              <w:rPr>
                <w:sz w:val="20"/>
                <w:szCs w:val="20"/>
              </w:rPr>
              <w:t>339.08</w:t>
            </w:r>
          </w:p>
        </w:tc>
        <w:tc>
          <w:tcPr>
            <w:tcW w:w="1149" w:type="dxa"/>
            <w:shd w:val="clear" w:color="auto" w:fill="F2F2F2"/>
          </w:tcPr>
          <w:p w14:paraId="3C476738" w14:textId="5A323E02" w:rsidR="00E16CAB" w:rsidRPr="00CC2ED3" w:rsidRDefault="00E16CAB" w:rsidP="00E16CAB">
            <w:pPr>
              <w:pStyle w:val="TableParagraph"/>
              <w:jc w:val="center"/>
              <w:rPr>
                <w:rFonts w:eastAsia="Calibri" w:cs="Calibri"/>
                <w:sz w:val="20"/>
                <w:szCs w:val="20"/>
              </w:rPr>
            </w:pPr>
            <w:r>
              <w:rPr>
                <w:sz w:val="20"/>
                <w:szCs w:val="20"/>
              </w:rPr>
              <w:t>5.049</w:t>
            </w:r>
          </w:p>
        </w:tc>
        <w:tc>
          <w:tcPr>
            <w:tcW w:w="1149" w:type="dxa"/>
            <w:shd w:val="clear" w:color="auto" w:fill="F2F2F2"/>
          </w:tcPr>
          <w:p w14:paraId="1A4FB6AC" w14:textId="50040D0D" w:rsidR="00E16CAB" w:rsidRPr="00CC2ED3" w:rsidRDefault="00E16CAB" w:rsidP="00E16CAB">
            <w:pPr>
              <w:pStyle w:val="TableParagraph"/>
              <w:jc w:val="center"/>
              <w:rPr>
                <w:rFonts w:eastAsia="Calibri" w:cs="Calibri"/>
                <w:sz w:val="20"/>
                <w:szCs w:val="20"/>
              </w:rPr>
            </w:pPr>
            <w:r w:rsidRPr="00CC2ED3">
              <w:rPr>
                <w:sz w:val="20"/>
                <w:szCs w:val="20"/>
              </w:rPr>
              <w:t>-0.</w:t>
            </w:r>
            <w:r>
              <w:rPr>
                <w:sz w:val="20"/>
                <w:szCs w:val="20"/>
              </w:rPr>
              <w:t>271</w:t>
            </w:r>
          </w:p>
        </w:tc>
        <w:tc>
          <w:tcPr>
            <w:tcW w:w="1149" w:type="dxa"/>
            <w:shd w:val="clear" w:color="auto" w:fill="F2F2F2"/>
          </w:tcPr>
          <w:p w14:paraId="7F1FAA77" w14:textId="21098648" w:rsidR="00E16CAB" w:rsidRPr="00CC2ED3" w:rsidRDefault="00E16CAB" w:rsidP="00E16CAB">
            <w:pPr>
              <w:pStyle w:val="TableParagraph"/>
              <w:jc w:val="center"/>
              <w:rPr>
                <w:rFonts w:eastAsia="Calibri" w:cs="Calibri"/>
                <w:sz w:val="20"/>
                <w:szCs w:val="20"/>
              </w:rPr>
            </w:pPr>
            <w:r w:rsidRPr="00CC2ED3">
              <w:rPr>
                <w:sz w:val="20"/>
                <w:szCs w:val="20"/>
              </w:rPr>
              <w:t>9</w:t>
            </w:r>
            <w:r>
              <w:rPr>
                <w:sz w:val="20"/>
                <w:szCs w:val="20"/>
              </w:rPr>
              <w:t>8.886</w:t>
            </w:r>
          </w:p>
        </w:tc>
        <w:tc>
          <w:tcPr>
            <w:tcW w:w="1149" w:type="dxa"/>
            <w:shd w:val="clear" w:color="auto" w:fill="F2F2F2"/>
          </w:tcPr>
          <w:p w14:paraId="7CDB8A18" w14:textId="0D556DBB"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0D4DA618" w14:textId="3717FBD8" w:rsidR="00E16CAB" w:rsidRPr="00CC2ED3" w:rsidRDefault="00E16CAB" w:rsidP="00E16CAB">
            <w:pPr>
              <w:pStyle w:val="TableParagraph"/>
              <w:jc w:val="center"/>
              <w:rPr>
                <w:rFonts w:eastAsia="Calibri" w:cs="Calibri"/>
                <w:sz w:val="20"/>
                <w:szCs w:val="20"/>
              </w:rPr>
            </w:pPr>
            <w:r w:rsidRPr="00CC2ED3">
              <w:rPr>
                <w:rFonts w:eastAsia="Calibri" w:cs="Calibri"/>
                <w:sz w:val="20"/>
                <w:szCs w:val="20"/>
              </w:rPr>
              <w:t>-</w:t>
            </w:r>
            <w:r>
              <w:rPr>
                <w:rFonts w:eastAsia="Calibri" w:cs="Calibri"/>
                <w:sz w:val="20"/>
                <w:szCs w:val="20"/>
              </w:rPr>
              <w:t>200.68</w:t>
            </w:r>
          </w:p>
        </w:tc>
        <w:tc>
          <w:tcPr>
            <w:tcW w:w="1148" w:type="dxa"/>
            <w:shd w:val="clear" w:color="auto" w:fill="F2F2F2"/>
          </w:tcPr>
          <w:p w14:paraId="73DCFD94" w14:textId="23BCBFFE"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7FF8F95E" w14:textId="4D17C3BB"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0CB84168" w14:textId="6781768F"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5B8D79D1" w14:textId="71346FA9" w:rsidR="00E16CAB" w:rsidRPr="00CC2ED3" w:rsidRDefault="00E16CAB" w:rsidP="00E16CAB">
            <w:pPr>
              <w:pStyle w:val="TableParagraph"/>
              <w:jc w:val="center"/>
              <w:rPr>
                <w:rFonts w:eastAsia="Calibri" w:cs="Calibri"/>
                <w:sz w:val="20"/>
                <w:szCs w:val="20"/>
              </w:rPr>
            </w:pPr>
            <w:r w:rsidRPr="00CC2ED3">
              <w:rPr>
                <w:sz w:val="20"/>
                <w:szCs w:val="20"/>
              </w:rPr>
              <w:t>0.</w:t>
            </w:r>
            <w:r>
              <w:rPr>
                <w:sz w:val="20"/>
                <w:szCs w:val="20"/>
              </w:rPr>
              <w:t>675</w:t>
            </w:r>
          </w:p>
        </w:tc>
        <w:tc>
          <w:tcPr>
            <w:tcW w:w="1149" w:type="dxa"/>
            <w:shd w:val="clear" w:color="auto" w:fill="F2F2F2"/>
          </w:tcPr>
          <w:p w14:paraId="0B91C94A" w14:textId="50E8034D" w:rsidR="00E16CAB" w:rsidRPr="00CC2ED3" w:rsidRDefault="00E16CAB" w:rsidP="00E16CAB">
            <w:pPr>
              <w:pStyle w:val="TableParagraph"/>
              <w:jc w:val="center"/>
              <w:rPr>
                <w:rFonts w:eastAsia="Calibri" w:cs="Calibri"/>
                <w:sz w:val="20"/>
                <w:szCs w:val="20"/>
              </w:rPr>
            </w:pPr>
            <w:r w:rsidRPr="00CC2ED3">
              <w:rPr>
                <w:sz w:val="20"/>
                <w:szCs w:val="20"/>
              </w:rPr>
              <w:t>0.</w:t>
            </w:r>
            <w:r>
              <w:rPr>
                <w:sz w:val="20"/>
                <w:szCs w:val="20"/>
              </w:rPr>
              <w:t>99</w:t>
            </w:r>
          </w:p>
        </w:tc>
        <w:tc>
          <w:tcPr>
            <w:tcW w:w="1149" w:type="dxa"/>
            <w:shd w:val="clear" w:color="auto" w:fill="F2F2F2"/>
          </w:tcPr>
          <w:p w14:paraId="72E3D846" w14:textId="5EEE7673" w:rsidR="00E16CAB" w:rsidRPr="00A976EA" w:rsidRDefault="00E16CAB" w:rsidP="00E16CAB">
            <w:pPr>
              <w:pStyle w:val="TableParagraph"/>
              <w:jc w:val="center"/>
              <w:rPr>
                <w:rFonts w:eastAsia="Calibri" w:cs="Calibri"/>
                <w:sz w:val="20"/>
                <w:szCs w:val="20"/>
              </w:rPr>
            </w:pPr>
            <w:r w:rsidRPr="00A976EA">
              <w:rPr>
                <w:sz w:val="20"/>
                <w:szCs w:val="20"/>
              </w:rPr>
              <w:t>2.34</w:t>
            </w:r>
          </w:p>
        </w:tc>
      </w:tr>
      <w:tr w:rsidR="00E16CAB" w:rsidRPr="00CC2ED3" w14:paraId="6B4FF96D" w14:textId="77777777" w:rsidTr="00CC2ED3">
        <w:trPr>
          <w:trHeight w:hRule="exact" w:val="271"/>
          <w:jc w:val="center"/>
        </w:trPr>
        <w:tc>
          <w:tcPr>
            <w:tcW w:w="1148" w:type="dxa"/>
          </w:tcPr>
          <w:p w14:paraId="5B0A0B26" w14:textId="56B147AE" w:rsidR="00E16CAB" w:rsidRPr="00CC2ED3" w:rsidRDefault="00E16CAB" w:rsidP="00E16CAB">
            <w:pPr>
              <w:pStyle w:val="TableParagraph"/>
              <w:jc w:val="center"/>
              <w:rPr>
                <w:rFonts w:eastAsia="Calibri" w:cs="Calibri"/>
                <w:sz w:val="20"/>
                <w:szCs w:val="20"/>
              </w:rPr>
            </w:pPr>
            <w:r w:rsidRPr="00CC2ED3">
              <w:rPr>
                <w:sz w:val="20"/>
                <w:szCs w:val="20"/>
              </w:rPr>
              <w:t>(</w:t>
            </w:r>
            <w:r>
              <w:rPr>
                <w:sz w:val="20"/>
                <w:szCs w:val="20"/>
              </w:rPr>
              <w:t>8.26</w:t>
            </w:r>
            <w:r w:rsidRPr="00CC2ED3">
              <w:rPr>
                <w:sz w:val="20"/>
                <w:szCs w:val="20"/>
              </w:rPr>
              <w:t>)</w:t>
            </w:r>
          </w:p>
        </w:tc>
        <w:tc>
          <w:tcPr>
            <w:tcW w:w="1149" w:type="dxa"/>
          </w:tcPr>
          <w:p w14:paraId="2B5A9E80" w14:textId="3BEA9704" w:rsidR="00E16CAB" w:rsidRPr="00CC2ED3" w:rsidRDefault="00E16CAB" w:rsidP="00E16CAB">
            <w:pPr>
              <w:pStyle w:val="TableParagraph"/>
              <w:jc w:val="center"/>
              <w:rPr>
                <w:rFonts w:eastAsia="Calibri" w:cs="Calibri"/>
                <w:sz w:val="20"/>
                <w:szCs w:val="20"/>
              </w:rPr>
            </w:pPr>
            <w:r w:rsidRPr="00CC2ED3">
              <w:rPr>
                <w:sz w:val="20"/>
                <w:szCs w:val="20"/>
              </w:rPr>
              <w:t>(</w:t>
            </w:r>
            <w:r>
              <w:rPr>
                <w:sz w:val="20"/>
                <w:szCs w:val="20"/>
              </w:rPr>
              <w:t>9.15</w:t>
            </w:r>
            <w:r w:rsidRPr="00CC2ED3">
              <w:rPr>
                <w:sz w:val="20"/>
                <w:szCs w:val="20"/>
              </w:rPr>
              <w:t>)</w:t>
            </w:r>
          </w:p>
        </w:tc>
        <w:tc>
          <w:tcPr>
            <w:tcW w:w="1149" w:type="dxa"/>
          </w:tcPr>
          <w:p w14:paraId="4E7F6B57" w14:textId="542E3F9D" w:rsidR="00E16CAB" w:rsidRPr="00CC2ED3" w:rsidRDefault="00E16CAB" w:rsidP="00E16CAB">
            <w:pPr>
              <w:pStyle w:val="TableParagraph"/>
              <w:jc w:val="center"/>
              <w:rPr>
                <w:rFonts w:eastAsia="Calibri" w:cs="Calibri"/>
                <w:sz w:val="20"/>
                <w:szCs w:val="20"/>
              </w:rPr>
            </w:pPr>
            <w:r w:rsidRPr="00CC2ED3">
              <w:rPr>
                <w:sz w:val="20"/>
                <w:szCs w:val="20"/>
              </w:rPr>
              <w:t>(-1.1</w:t>
            </w:r>
            <w:r>
              <w:rPr>
                <w:sz w:val="20"/>
                <w:szCs w:val="20"/>
              </w:rPr>
              <w:t>9</w:t>
            </w:r>
            <w:r w:rsidRPr="00CC2ED3">
              <w:rPr>
                <w:sz w:val="20"/>
                <w:szCs w:val="20"/>
              </w:rPr>
              <w:t>)</w:t>
            </w:r>
          </w:p>
        </w:tc>
        <w:tc>
          <w:tcPr>
            <w:tcW w:w="1149" w:type="dxa"/>
          </w:tcPr>
          <w:p w14:paraId="0945D674" w14:textId="2660B6A9" w:rsidR="00E16CAB" w:rsidRPr="00CC2ED3" w:rsidRDefault="00E16CAB" w:rsidP="00E16CAB">
            <w:pPr>
              <w:pStyle w:val="TableParagraph"/>
              <w:jc w:val="center"/>
              <w:rPr>
                <w:rFonts w:eastAsia="Calibri" w:cs="Calibri"/>
                <w:sz w:val="20"/>
                <w:szCs w:val="20"/>
              </w:rPr>
            </w:pPr>
            <w:r w:rsidRPr="00CC2ED3">
              <w:rPr>
                <w:sz w:val="20"/>
                <w:szCs w:val="20"/>
              </w:rPr>
              <w:t>(</w:t>
            </w:r>
            <w:r>
              <w:rPr>
                <w:sz w:val="20"/>
                <w:szCs w:val="20"/>
              </w:rPr>
              <w:t>0.44</w:t>
            </w:r>
            <w:r w:rsidRPr="00CC2ED3">
              <w:rPr>
                <w:sz w:val="20"/>
                <w:szCs w:val="20"/>
              </w:rPr>
              <w:t>)</w:t>
            </w:r>
          </w:p>
        </w:tc>
        <w:tc>
          <w:tcPr>
            <w:tcW w:w="1149" w:type="dxa"/>
          </w:tcPr>
          <w:p w14:paraId="5740DE8E" w14:textId="215F673E" w:rsidR="00E16CAB" w:rsidRPr="00CC2ED3" w:rsidRDefault="00E16CAB" w:rsidP="00E16CAB">
            <w:pPr>
              <w:pStyle w:val="TableParagraph"/>
              <w:jc w:val="center"/>
              <w:rPr>
                <w:rFonts w:eastAsia="Calibri" w:cs="Calibri"/>
                <w:sz w:val="20"/>
                <w:szCs w:val="20"/>
              </w:rPr>
            </w:pPr>
          </w:p>
        </w:tc>
        <w:tc>
          <w:tcPr>
            <w:tcW w:w="1149" w:type="dxa"/>
          </w:tcPr>
          <w:p w14:paraId="6EA6D330" w14:textId="3E7DE27B" w:rsidR="00E16CAB" w:rsidRPr="00CC2ED3" w:rsidRDefault="00E16CAB" w:rsidP="00E16CAB">
            <w:pPr>
              <w:pStyle w:val="TableParagraph"/>
              <w:jc w:val="center"/>
              <w:rPr>
                <w:rFonts w:eastAsia="Calibri" w:cs="Calibri"/>
                <w:sz w:val="20"/>
                <w:szCs w:val="20"/>
              </w:rPr>
            </w:pPr>
            <w:r w:rsidRPr="00CC2ED3">
              <w:rPr>
                <w:rFonts w:eastAsia="Calibri" w:cs="Calibri"/>
                <w:sz w:val="20"/>
                <w:szCs w:val="20"/>
              </w:rPr>
              <w:t>(-</w:t>
            </w:r>
            <w:r>
              <w:rPr>
                <w:rFonts w:eastAsia="Calibri" w:cs="Calibri"/>
                <w:sz w:val="20"/>
                <w:szCs w:val="20"/>
              </w:rPr>
              <w:t>2.95</w:t>
            </w:r>
            <w:r w:rsidRPr="00CC2ED3">
              <w:rPr>
                <w:rFonts w:eastAsia="Calibri" w:cs="Calibri"/>
                <w:sz w:val="20"/>
                <w:szCs w:val="20"/>
              </w:rPr>
              <w:t>)</w:t>
            </w:r>
          </w:p>
        </w:tc>
        <w:tc>
          <w:tcPr>
            <w:tcW w:w="1148" w:type="dxa"/>
          </w:tcPr>
          <w:p w14:paraId="0ABF4ADC" w14:textId="77777777" w:rsidR="00E16CAB" w:rsidRPr="00CC2ED3" w:rsidRDefault="00E16CAB" w:rsidP="00E16CAB">
            <w:pPr>
              <w:jc w:val="center"/>
              <w:rPr>
                <w:sz w:val="20"/>
                <w:szCs w:val="20"/>
              </w:rPr>
            </w:pPr>
          </w:p>
        </w:tc>
        <w:tc>
          <w:tcPr>
            <w:tcW w:w="1149" w:type="dxa"/>
          </w:tcPr>
          <w:p w14:paraId="67A78E38" w14:textId="77777777" w:rsidR="00E16CAB" w:rsidRPr="00CC2ED3" w:rsidRDefault="00E16CAB" w:rsidP="00E16CAB">
            <w:pPr>
              <w:jc w:val="center"/>
              <w:rPr>
                <w:sz w:val="20"/>
                <w:szCs w:val="20"/>
              </w:rPr>
            </w:pPr>
          </w:p>
        </w:tc>
        <w:tc>
          <w:tcPr>
            <w:tcW w:w="1149" w:type="dxa"/>
          </w:tcPr>
          <w:p w14:paraId="0D14C2B0" w14:textId="77777777" w:rsidR="00E16CAB" w:rsidRPr="00CC2ED3" w:rsidRDefault="00E16CAB" w:rsidP="00E16CAB">
            <w:pPr>
              <w:jc w:val="center"/>
              <w:rPr>
                <w:sz w:val="20"/>
                <w:szCs w:val="20"/>
              </w:rPr>
            </w:pPr>
          </w:p>
        </w:tc>
        <w:tc>
          <w:tcPr>
            <w:tcW w:w="1149" w:type="dxa"/>
          </w:tcPr>
          <w:p w14:paraId="239675A9" w14:textId="11C58E12" w:rsidR="00E16CAB" w:rsidRPr="00CC2ED3" w:rsidRDefault="00E16CAB" w:rsidP="00E16CAB">
            <w:pPr>
              <w:jc w:val="center"/>
              <w:rPr>
                <w:sz w:val="20"/>
                <w:szCs w:val="20"/>
              </w:rPr>
            </w:pPr>
            <w:r w:rsidRPr="00CC2ED3">
              <w:rPr>
                <w:sz w:val="20"/>
                <w:szCs w:val="20"/>
              </w:rPr>
              <w:t>(</w:t>
            </w:r>
            <w:r>
              <w:rPr>
                <w:sz w:val="20"/>
                <w:szCs w:val="20"/>
              </w:rPr>
              <w:t>5.51</w:t>
            </w:r>
            <w:r w:rsidRPr="00CC2ED3">
              <w:rPr>
                <w:sz w:val="20"/>
                <w:szCs w:val="20"/>
              </w:rPr>
              <w:t>)</w:t>
            </w:r>
          </w:p>
        </w:tc>
        <w:tc>
          <w:tcPr>
            <w:tcW w:w="1149" w:type="dxa"/>
          </w:tcPr>
          <w:p w14:paraId="7F28812B" w14:textId="77777777" w:rsidR="00E16CAB" w:rsidRPr="00CC2ED3" w:rsidRDefault="00E16CAB" w:rsidP="00E16CAB">
            <w:pPr>
              <w:jc w:val="center"/>
              <w:rPr>
                <w:sz w:val="20"/>
                <w:szCs w:val="20"/>
              </w:rPr>
            </w:pPr>
          </w:p>
        </w:tc>
        <w:tc>
          <w:tcPr>
            <w:tcW w:w="1149" w:type="dxa"/>
          </w:tcPr>
          <w:p w14:paraId="4FF05065" w14:textId="77777777" w:rsidR="00E16CAB" w:rsidRPr="00A976EA" w:rsidRDefault="00E16CAB" w:rsidP="00E16CAB">
            <w:pPr>
              <w:jc w:val="center"/>
              <w:rPr>
                <w:sz w:val="20"/>
                <w:szCs w:val="20"/>
              </w:rPr>
            </w:pPr>
          </w:p>
        </w:tc>
      </w:tr>
      <w:tr w:rsidR="00E16CAB" w:rsidRPr="00CC2ED3" w14:paraId="24A8A56F" w14:textId="77777777" w:rsidTr="00CC2ED3">
        <w:trPr>
          <w:trHeight w:hRule="exact" w:val="271"/>
          <w:jc w:val="center"/>
        </w:trPr>
        <w:tc>
          <w:tcPr>
            <w:tcW w:w="1148" w:type="dxa"/>
            <w:shd w:val="clear" w:color="auto" w:fill="F2F2F2"/>
          </w:tcPr>
          <w:p w14:paraId="7620C182" w14:textId="1B04B36C" w:rsidR="00E16CAB" w:rsidRPr="00CC2ED3" w:rsidRDefault="00E16CAB" w:rsidP="00E16CAB">
            <w:pPr>
              <w:pStyle w:val="TableParagraph"/>
              <w:jc w:val="center"/>
              <w:rPr>
                <w:rFonts w:eastAsia="Calibri" w:cs="Calibri"/>
                <w:sz w:val="20"/>
                <w:szCs w:val="20"/>
              </w:rPr>
            </w:pPr>
            <w:r>
              <w:rPr>
                <w:sz w:val="20"/>
                <w:szCs w:val="20"/>
              </w:rPr>
              <w:t>244.63</w:t>
            </w:r>
          </w:p>
        </w:tc>
        <w:tc>
          <w:tcPr>
            <w:tcW w:w="1149" w:type="dxa"/>
            <w:shd w:val="clear" w:color="auto" w:fill="F2F2F2"/>
          </w:tcPr>
          <w:p w14:paraId="61AC7C41" w14:textId="78CC1820" w:rsidR="00E16CAB" w:rsidRPr="00CC2ED3" w:rsidRDefault="00E16CAB" w:rsidP="00E16CAB">
            <w:pPr>
              <w:pStyle w:val="TableParagraph"/>
              <w:jc w:val="center"/>
              <w:rPr>
                <w:rFonts w:eastAsia="Calibri" w:cs="Calibri"/>
                <w:sz w:val="20"/>
                <w:szCs w:val="20"/>
              </w:rPr>
            </w:pPr>
            <w:r>
              <w:rPr>
                <w:sz w:val="20"/>
                <w:szCs w:val="20"/>
              </w:rPr>
              <w:t>5.099</w:t>
            </w:r>
          </w:p>
        </w:tc>
        <w:tc>
          <w:tcPr>
            <w:tcW w:w="1149" w:type="dxa"/>
            <w:shd w:val="clear" w:color="auto" w:fill="F2F2F2"/>
          </w:tcPr>
          <w:p w14:paraId="3127B656" w14:textId="4DEBA4FD" w:rsidR="00E16CAB" w:rsidRPr="00CC2ED3" w:rsidRDefault="00E16CAB" w:rsidP="00E16CAB">
            <w:pPr>
              <w:pStyle w:val="TableParagraph"/>
              <w:jc w:val="center"/>
              <w:rPr>
                <w:rFonts w:eastAsia="Calibri" w:cs="Calibri"/>
                <w:sz w:val="20"/>
                <w:szCs w:val="20"/>
              </w:rPr>
            </w:pPr>
            <w:r w:rsidRPr="00CC2ED3">
              <w:rPr>
                <w:sz w:val="20"/>
                <w:szCs w:val="20"/>
              </w:rPr>
              <w:t>-0.2</w:t>
            </w:r>
            <w:r>
              <w:rPr>
                <w:sz w:val="20"/>
                <w:szCs w:val="20"/>
              </w:rPr>
              <w:t>94</w:t>
            </w:r>
          </w:p>
        </w:tc>
        <w:tc>
          <w:tcPr>
            <w:tcW w:w="1149" w:type="dxa"/>
            <w:shd w:val="clear" w:color="auto" w:fill="F2F2F2"/>
          </w:tcPr>
          <w:p w14:paraId="5B8ACA39" w14:textId="79C92FEA" w:rsidR="00E16CAB" w:rsidRPr="00CC2ED3" w:rsidRDefault="00E16CAB" w:rsidP="00E16CAB">
            <w:pPr>
              <w:pStyle w:val="TableParagraph"/>
              <w:jc w:val="center"/>
              <w:rPr>
                <w:rFonts w:eastAsia="Calibri" w:cs="Calibri"/>
                <w:sz w:val="20"/>
                <w:szCs w:val="20"/>
              </w:rPr>
            </w:pPr>
            <w:r>
              <w:rPr>
                <w:sz w:val="20"/>
                <w:szCs w:val="20"/>
              </w:rPr>
              <w:t>10.453</w:t>
            </w:r>
          </w:p>
        </w:tc>
        <w:tc>
          <w:tcPr>
            <w:tcW w:w="1149" w:type="dxa"/>
            <w:shd w:val="clear" w:color="auto" w:fill="F2F2F2"/>
          </w:tcPr>
          <w:p w14:paraId="767CC365" w14:textId="6CE6014F"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2B60FFF7" w14:textId="01AC8A76" w:rsidR="00E16CAB" w:rsidRPr="00CC2ED3" w:rsidRDefault="00E16CAB" w:rsidP="00E16CAB">
            <w:pPr>
              <w:pStyle w:val="TableParagraph"/>
              <w:jc w:val="center"/>
              <w:rPr>
                <w:rFonts w:eastAsia="Calibri" w:cs="Calibri"/>
                <w:sz w:val="20"/>
                <w:szCs w:val="20"/>
              </w:rPr>
            </w:pPr>
          </w:p>
        </w:tc>
        <w:tc>
          <w:tcPr>
            <w:tcW w:w="1148" w:type="dxa"/>
            <w:shd w:val="clear" w:color="auto" w:fill="F2F2F2"/>
          </w:tcPr>
          <w:p w14:paraId="25E76CC2" w14:textId="1073F843" w:rsidR="00E16CAB" w:rsidRPr="00CC2ED3" w:rsidRDefault="00E16CAB" w:rsidP="00E16CAB">
            <w:pPr>
              <w:pStyle w:val="TableParagraph"/>
              <w:jc w:val="center"/>
              <w:rPr>
                <w:rFonts w:eastAsia="Calibri" w:cs="Calibri"/>
                <w:sz w:val="20"/>
                <w:szCs w:val="20"/>
              </w:rPr>
            </w:pPr>
            <w:r>
              <w:rPr>
                <w:rFonts w:eastAsia="Calibri" w:cs="Calibri"/>
                <w:sz w:val="20"/>
                <w:szCs w:val="20"/>
              </w:rPr>
              <w:t>131.90</w:t>
            </w:r>
          </w:p>
        </w:tc>
        <w:tc>
          <w:tcPr>
            <w:tcW w:w="1149" w:type="dxa"/>
            <w:shd w:val="clear" w:color="auto" w:fill="F2F2F2"/>
          </w:tcPr>
          <w:p w14:paraId="3A4420D3" w14:textId="1B1E2BB2"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421C6C23" w14:textId="73731F72"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72EE67EC" w14:textId="3B2320D2" w:rsidR="00E16CAB" w:rsidRPr="00CC2ED3" w:rsidRDefault="00E16CAB" w:rsidP="00E16CAB">
            <w:pPr>
              <w:pStyle w:val="TableParagraph"/>
              <w:jc w:val="center"/>
              <w:rPr>
                <w:rFonts w:eastAsia="Calibri" w:cs="Calibri"/>
                <w:sz w:val="20"/>
                <w:szCs w:val="20"/>
              </w:rPr>
            </w:pPr>
            <w:r w:rsidRPr="00CC2ED3">
              <w:rPr>
                <w:sz w:val="20"/>
                <w:szCs w:val="20"/>
              </w:rPr>
              <w:t>0.</w:t>
            </w:r>
            <w:r>
              <w:rPr>
                <w:sz w:val="20"/>
                <w:szCs w:val="20"/>
              </w:rPr>
              <w:t>572</w:t>
            </w:r>
          </w:p>
        </w:tc>
        <w:tc>
          <w:tcPr>
            <w:tcW w:w="1149" w:type="dxa"/>
            <w:shd w:val="clear" w:color="auto" w:fill="F2F2F2"/>
          </w:tcPr>
          <w:p w14:paraId="7DE7E73E" w14:textId="1336BD6B" w:rsidR="00E16CAB" w:rsidRPr="00CC2ED3" w:rsidRDefault="00E16CAB" w:rsidP="00E16CAB">
            <w:pPr>
              <w:pStyle w:val="TableParagraph"/>
              <w:jc w:val="center"/>
              <w:rPr>
                <w:rFonts w:eastAsia="Calibri" w:cs="Calibri"/>
                <w:sz w:val="20"/>
                <w:szCs w:val="20"/>
              </w:rPr>
            </w:pPr>
            <w:r w:rsidRPr="00CC2ED3">
              <w:rPr>
                <w:sz w:val="20"/>
                <w:szCs w:val="20"/>
              </w:rPr>
              <w:t>0.</w:t>
            </w:r>
            <w:r>
              <w:rPr>
                <w:sz w:val="20"/>
                <w:szCs w:val="20"/>
              </w:rPr>
              <w:t>99</w:t>
            </w:r>
          </w:p>
        </w:tc>
        <w:tc>
          <w:tcPr>
            <w:tcW w:w="1149" w:type="dxa"/>
            <w:shd w:val="clear" w:color="auto" w:fill="F2F2F2"/>
          </w:tcPr>
          <w:p w14:paraId="449F31FB" w14:textId="396D287F" w:rsidR="00E16CAB" w:rsidRPr="00A976EA" w:rsidRDefault="00E16CAB" w:rsidP="00E16CAB">
            <w:pPr>
              <w:pStyle w:val="TableParagraph"/>
              <w:jc w:val="center"/>
              <w:rPr>
                <w:rFonts w:eastAsia="Calibri" w:cs="Calibri"/>
                <w:sz w:val="20"/>
                <w:szCs w:val="20"/>
              </w:rPr>
            </w:pPr>
            <w:r w:rsidRPr="00A976EA">
              <w:rPr>
                <w:sz w:val="20"/>
                <w:szCs w:val="20"/>
              </w:rPr>
              <w:t>1.91</w:t>
            </w:r>
          </w:p>
        </w:tc>
      </w:tr>
      <w:tr w:rsidR="00E16CAB" w:rsidRPr="00CC2ED3" w14:paraId="1124C410" w14:textId="77777777" w:rsidTr="00CC2ED3">
        <w:trPr>
          <w:trHeight w:hRule="exact" w:val="271"/>
          <w:jc w:val="center"/>
        </w:trPr>
        <w:tc>
          <w:tcPr>
            <w:tcW w:w="1148" w:type="dxa"/>
          </w:tcPr>
          <w:p w14:paraId="74DF4C1E" w14:textId="346F0E58" w:rsidR="00E16CAB" w:rsidRPr="00CC2ED3" w:rsidRDefault="00E16CAB" w:rsidP="00E16CAB">
            <w:pPr>
              <w:pStyle w:val="TableParagraph"/>
              <w:jc w:val="center"/>
              <w:rPr>
                <w:rFonts w:eastAsia="Calibri" w:cs="Calibri"/>
                <w:sz w:val="20"/>
                <w:szCs w:val="20"/>
              </w:rPr>
            </w:pPr>
            <w:r w:rsidRPr="00CC2ED3">
              <w:rPr>
                <w:sz w:val="20"/>
                <w:szCs w:val="20"/>
              </w:rPr>
              <w:t>(</w:t>
            </w:r>
            <w:r>
              <w:rPr>
                <w:sz w:val="20"/>
                <w:szCs w:val="20"/>
              </w:rPr>
              <w:t>5.25</w:t>
            </w:r>
            <w:r w:rsidRPr="00CC2ED3">
              <w:rPr>
                <w:sz w:val="20"/>
                <w:szCs w:val="20"/>
              </w:rPr>
              <w:t>)</w:t>
            </w:r>
          </w:p>
        </w:tc>
        <w:tc>
          <w:tcPr>
            <w:tcW w:w="1149" w:type="dxa"/>
          </w:tcPr>
          <w:p w14:paraId="35780EF7" w14:textId="1BA931C3" w:rsidR="00E16CAB" w:rsidRPr="00CC2ED3" w:rsidRDefault="00E16CAB" w:rsidP="00E16CAB">
            <w:pPr>
              <w:pStyle w:val="TableParagraph"/>
              <w:jc w:val="center"/>
              <w:rPr>
                <w:rFonts w:eastAsia="Calibri" w:cs="Calibri"/>
                <w:sz w:val="20"/>
                <w:szCs w:val="20"/>
              </w:rPr>
            </w:pPr>
            <w:r w:rsidRPr="00CC2ED3">
              <w:rPr>
                <w:sz w:val="20"/>
                <w:szCs w:val="20"/>
              </w:rPr>
              <w:t>(</w:t>
            </w:r>
            <w:r>
              <w:rPr>
                <w:sz w:val="20"/>
                <w:szCs w:val="20"/>
              </w:rPr>
              <w:t>8.86</w:t>
            </w:r>
            <w:r w:rsidRPr="00CC2ED3">
              <w:rPr>
                <w:sz w:val="20"/>
                <w:szCs w:val="20"/>
              </w:rPr>
              <w:t>)</w:t>
            </w:r>
          </w:p>
        </w:tc>
        <w:tc>
          <w:tcPr>
            <w:tcW w:w="1149" w:type="dxa"/>
          </w:tcPr>
          <w:p w14:paraId="59E2DB24" w14:textId="390EBA6D" w:rsidR="00E16CAB" w:rsidRPr="00CC2ED3" w:rsidRDefault="00E16CAB" w:rsidP="00E16CAB">
            <w:pPr>
              <w:pStyle w:val="TableParagraph"/>
              <w:jc w:val="center"/>
              <w:rPr>
                <w:rFonts w:eastAsia="Calibri" w:cs="Calibri"/>
                <w:sz w:val="20"/>
                <w:szCs w:val="20"/>
              </w:rPr>
            </w:pPr>
            <w:r w:rsidRPr="00CC2ED3">
              <w:rPr>
                <w:sz w:val="20"/>
                <w:szCs w:val="20"/>
              </w:rPr>
              <w:t>(-1.</w:t>
            </w:r>
            <w:r>
              <w:rPr>
                <w:sz w:val="20"/>
                <w:szCs w:val="20"/>
              </w:rPr>
              <w:t>22</w:t>
            </w:r>
            <w:r w:rsidRPr="00CC2ED3">
              <w:rPr>
                <w:sz w:val="20"/>
                <w:szCs w:val="20"/>
              </w:rPr>
              <w:t>)</w:t>
            </w:r>
          </w:p>
        </w:tc>
        <w:tc>
          <w:tcPr>
            <w:tcW w:w="1149" w:type="dxa"/>
          </w:tcPr>
          <w:p w14:paraId="6EFDE3DE" w14:textId="1A5DCD3D" w:rsidR="00E16CAB" w:rsidRPr="00CC2ED3" w:rsidRDefault="00E16CAB" w:rsidP="00E16CAB">
            <w:pPr>
              <w:pStyle w:val="TableParagraph"/>
              <w:jc w:val="center"/>
              <w:rPr>
                <w:rFonts w:eastAsia="Calibri" w:cs="Calibri"/>
                <w:sz w:val="20"/>
                <w:szCs w:val="20"/>
              </w:rPr>
            </w:pPr>
            <w:r w:rsidRPr="00CC2ED3">
              <w:rPr>
                <w:sz w:val="20"/>
                <w:szCs w:val="20"/>
              </w:rPr>
              <w:t>(</w:t>
            </w:r>
            <w:r>
              <w:rPr>
                <w:sz w:val="20"/>
                <w:szCs w:val="20"/>
              </w:rPr>
              <w:t>0.47</w:t>
            </w:r>
            <w:r w:rsidRPr="00CC2ED3">
              <w:rPr>
                <w:sz w:val="20"/>
                <w:szCs w:val="20"/>
              </w:rPr>
              <w:t>)</w:t>
            </w:r>
          </w:p>
        </w:tc>
        <w:tc>
          <w:tcPr>
            <w:tcW w:w="1149" w:type="dxa"/>
          </w:tcPr>
          <w:p w14:paraId="1D1BBC27" w14:textId="4ECD376C" w:rsidR="00E16CAB" w:rsidRPr="00CC2ED3" w:rsidRDefault="00E16CAB" w:rsidP="00E16CAB">
            <w:pPr>
              <w:pStyle w:val="TableParagraph"/>
              <w:jc w:val="center"/>
              <w:rPr>
                <w:rFonts w:eastAsia="Calibri" w:cs="Calibri"/>
                <w:sz w:val="20"/>
                <w:szCs w:val="20"/>
              </w:rPr>
            </w:pPr>
          </w:p>
        </w:tc>
        <w:tc>
          <w:tcPr>
            <w:tcW w:w="1149" w:type="dxa"/>
          </w:tcPr>
          <w:p w14:paraId="4C0DEB6D" w14:textId="53487F8C" w:rsidR="00E16CAB" w:rsidRPr="00CC2ED3" w:rsidRDefault="00E16CAB" w:rsidP="00E16CAB">
            <w:pPr>
              <w:pStyle w:val="TableParagraph"/>
              <w:jc w:val="center"/>
              <w:rPr>
                <w:rFonts w:eastAsia="Calibri" w:cs="Calibri"/>
                <w:sz w:val="20"/>
                <w:szCs w:val="20"/>
              </w:rPr>
            </w:pPr>
          </w:p>
        </w:tc>
        <w:tc>
          <w:tcPr>
            <w:tcW w:w="1148" w:type="dxa"/>
          </w:tcPr>
          <w:p w14:paraId="7D09A467" w14:textId="6FE5D415" w:rsidR="00E16CAB" w:rsidRPr="00CC2ED3" w:rsidRDefault="00E16CAB" w:rsidP="00E16CAB">
            <w:pPr>
              <w:jc w:val="center"/>
              <w:rPr>
                <w:sz w:val="20"/>
                <w:szCs w:val="20"/>
              </w:rPr>
            </w:pPr>
            <w:r w:rsidRPr="00CC2ED3">
              <w:rPr>
                <w:sz w:val="20"/>
                <w:szCs w:val="20"/>
              </w:rPr>
              <w:t>(</w:t>
            </w:r>
            <w:r>
              <w:rPr>
                <w:sz w:val="20"/>
                <w:szCs w:val="20"/>
              </w:rPr>
              <w:t>2.89</w:t>
            </w:r>
            <w:r w:rsidRPr="00CC2ED3">
              <w:rPr>
                <w:sz w:val="20"/>
                <w:szCs w:val="20"/>
              </w:rPr>
              <w:t>)</w:t>
            </w:r>
          </w:p>
        </w:tc>
        <w:tc>
          <w:tcPr>
            <w:tcW w:w="1149" w:type="dxa"/>
          </w:tcPr>
          <w:p w14:paraId="75F4F8E7" w14:textId="77777777" w:rsidR="00E16CAB" w:rsidRPr="00CC2ED3" w:rsidRDefault="00E16CAB" w:rsidP="00E16CAB">
            <w:pPr>
              <w:jc w:val="center"/>
              <w:rPr>
                <w:sz w:val="20"/>
                <w:szCs w:val="20"/>
              </w:rPr>
            </w:pPr>
          </w:p>
        </w:tc>
        <w:tc>
          <w:tcPr>
            <w:tcW w:w="1149" w:type="dxa"/>
          </w:tcPr>
          <w:p w14:paraId="67272957" w14:textId="77777777" w:rsidR="00E16CAB" w:rsidRPr="00CC2ED3" w:rsidRDefault="00E16CAB" w:rsidP="00E16CAB">
            <w:pPr>
              <w:jc w:val="center"/>
              <w:rPr>
                <w:sz w:val="20"/>
                <w:szCs w:val="20"/>
              </w:rPr>
            </w:pPr>
          </w:p>
        </w:tc>
        <w:tc>
          <w:tcPr>
            <w:tcW w:w="1149" w:type="dxa"/>
          </w:tcPr>
          <w:p w14:paraId="41F58F12" w14:textId="0BE94E6A" w:rsidR="00E16CAB" w:rsidRPr="00CC2ED3" w:rsidRDefault="00E16CAB" w:rsidP="00E16CAB">
            <w:pPr>
              <w:jc w:val="center"/>
              <w:rPr>
                <w:sz w:val="20"/>
                <w:szCs w:val="20"/>
              </w:rPr>
            </w:pPr>
            <w:r w:rsidRPr="00CC2ED3">
              <w:rPr>
                <w:sz w:val="20"/>
                <w:szCs w:val="20"/>
              </w:rPr>
              <w:t>(</w:t>
            </w:r>
            <w:r>
              <w:rPr>
                <w:sz w:val="20"/>
                <w:szCs w:val="20"/>
              </w:rPr>
              <w:t>4.17</w:t>
            </w:r>
            <w:r w:rsidRPr="00CC2ED3">
              <w:rPr>
                <w:sz w:val="20"/>
                <w:szCs w:val="20"/>
              </w:rPr>
              <w:t>)</w:t>
            </w:r>
          </w:p>
        </w:tc>
        <w:tc>
          <w:tcPr>
            <w:tcW w:w="1149" w:type="dxa"/>
          </w:tcPr>
          <w:p w14:paraId="6F883F3F" w14:textId="77777777" w:rsidR="00E16CAB" w:rsidRPr="00CC2ED3" w:rsidRDefault="00E16CAB" w:rsidP="00E16CAB">
            <w:pPr>
              <w:jc w:val="center"/>
              <w:rPr>
                <w:sz w:val="20"/>
                <w:szCs w:val="20"/>
              </w:rPr>
            </w:pPr>
          </w:p>
        </w:tc>
        <w:tc>
          <w:tcPr>
            <w:tcW w:w="1149" w:type="dxa"/>
          </w:tcPr>
          <w:p w14:paraId="58EF57FC" w14:textId="77777777" w:rsidR="00E16CAB" w:rsidRPr="00A976EA" w:rsidRDefault="00E16CAB" w:rsidP="00E16CAB">
            <w:pPr>
              <w:jc w:val="center"/>
              <w:rPr>
                <w:sz w:val="20"/>
                <w:szCs w:val="20"/>
              </w:rPr>
            </w:pPr>
          </w:p>
        </w:tc>
      </w:tr>
      <w:tr w:rsidR="00E16CAB" w:rsidRPr="00CC2ED3" w14:paraId="2FA8E7C1" w14:textId="77777777" w:rsidTr="00CC2ED3">
        <w:trPr>
          <w:trHeight w:hRule="exact" w:val="271"/>
          <w:jc w:val="center"/>
        </w:trPr>
        <w:tc>
          <w:tcPr>
            <w:tcW w:w="1148" w:type="dxa"/>
          </w:tcPr>
          <w:p w14:paraId="4DBA8A11" w14:textId="3CFCDBFE" w:rsidR="00E16CAB" w:rsidRPr="00CC2ED3" w:rsidRDefault="00E16CAB" w:rsidP="00E16CAB">
            <w:pPr>
              <w:pStyle w:val="TableParagraph"/>
              <w:jc w:val="center"/>
              <w:rPr>
                <w:sz w:val="20"/>
                <w:szCs w:val="20"/>
              </w:rPr>
            </w:pPr>
            <w:r>
              <w:rPr>
                <w:sz w:val="20"/>
                <w:szCs w:val="20"/>
              </w:rPr>
              <w:t>306.97</w:t>
            </w:r>
          </w:p>
        </w:tc>
        <w:tc>
          <w:tcPr>
            <w:tcW w:w="1149" w:type="dxa"/>
          </w:tcPr>
          <w:p w14:paraId="084F7E94" w14:textId="08C7F4FA" w:rsidR="00E16CAB" w:rsidRPr="00CC2ED3" w:rsidRDefault="00E16CAB" w:rsidP="00E16CAB">
            <w:pPr>
              <w:pStyle w:val="TableParagraph"/>
              <w:jc w:val="center"/>
              <w:rPr>
                <w:sz w:val="20"/>
                <w:szCs w:val="20"/>
              </w:rPr>
            </w:pPr>
            <w:r>
              <w:rPr>
                <w:sz w:val="20"/>
                <w:szCs w:val="20"/>
              </w:rPr>
              <w:t>5.151</w:t>
            </w:r>
          </w:p>
        </w:tc>
        <w:tc>
          <w:tcPr>
            <w:tcW w:w="1149" w:type="dxa"/>
          </w:tcPr>
          <w:p w14:paraId="6CB7A36B" w14:textId="041CBCFE" w:rsidR="00E16CAB" w:rsidRPr="00CC2ED3" w:rsidRDefault="00E16CAB" w:rsidP="00E16CAB">
            <w:pPr>
              <w:pStyle w:val="TableParagraph"/>
              <w:jc w:val="center"/>
              <w:rPr>
                <w:sz w:val="20"/>
                <w:szCs w:val="20"/>
              </w:rPr>
            </w:pPr>
            <w:r w:rsidRPr="00CC2ED3">
              <w:rPr>
                <w:sz w:val="20"/>
                <w:szCs w:val="20"/>
              </w:rPr>
              <w:t>-0.</w:t>
            </w:r>
            <w:r>
              <w:rPr>
                <w:sz w:val="20"/>
                <w:szCs w:val="20"/>
              </w:rPr>
              <w:t>367</w:t>
            </w:r>
          </w:p>
        </w:tc>
        <w:tc>
          <w:tcPr>
            <w:tcW w:w="1149" w:type="dxa"/>
          </w:tcPr>
          <w:p w14:paraId="5C052DCA" w14:textId="7678D629" w:rsidR="00E16CAB" w:rsidRPr="00CC2ED3" w:rsidRDefault="00E16CAB" w:rsidP="00E16CAB">
            <w:pPr>
              <w:pStyle w:val="TableParagraph"/>
              <w:jc w:val="center"/>
              <w:rPr>
                <w:sz w:val="20"/>
                <w:szCs w:val="20"/>
              </w:rPr>
            </w:pPr>
            <w:r>
              <w:rPr>
                <w:sz w:val="20"/>
                <w:szCs w:val="20"/>
              </w:rPr>
              <w:t>21.257</w:t>
            </w:r>
          </w:p>
        </w:tc>
        <w:tc>
          <w:tcPr>
            <w:tcW w:w="1149" w:type="dxa"/>
          </w:tcPr>
          <w:p w14:paraId="4DBA8A34" w14:textId="77777777" w:rsidR="00E16CAB" w:rsidRPr="00CC2ED3" w:rsidRDefault="00E16CAB" w:rsidP="00E16CAB">
            <w:pPr>
              <w:pStyle w:val="TableParagraph"/>
              <w:jc w:val="center"/>
              <w:rPr>
                <w:sz w:val="20"/>
                <w:szCs w:val="20"/>
              </w:rPr>
            </w:pPr>
          </w:p>
        </w:tc>
        <w:tc>
          <w:tcPr>
            <w:tcW w:w="1149" w:type="dxa"/>
          </w:tcPr>
          <w:p w14:paraId="0854D558" w14:textId="77777777" w:rsidR="00E16CAB" w:rsidRPr="00CC2ED3" w:rsidRDefault="00E16CAB" w:rsidP="00E16CAB">
            <w:pPr>
              <w:pStyle w:val="TableParagraph"/>
              <w:jc w:val="center"/>
              <w:rPr>
                <w:rFonts w:eastAsia="Calibri" w:cs="Calibri"/>
                <w:sz w:val="20"/>
                <w:szCs w:val="20"/>
              </w:rPr>
            </w:pPr>
          </w:p>
        </w:tc>
        <w:tc>
          <w:tcPr>
            <w:tcW w:w="1148" w:type="dxa"/>
          </w:tcPr>
          <w:p w14:paraId="39894C63" w14:textId="77777777" w:rsidR="00E16CAB" w:rsidRPr="00CC2ED3" w:rsidRDefault="00E16CAB" w:rsidP="00E16CAB">
            <w:pPr>
              <w:jc w:val="center"/>
              <w:rPr>
                <w:sz w:val="20"/>
                <w:szCs w:val="20"/>
              </w:rPr>
            </w:pPr>
          </w:p>
        </w:tc>
        <w:tc>
          <w:tcPr>
            <w:tcW w:w="1149" w:type="dxa"/>
          </w:tcPr>
          <w:p w14:paraId="63444D60" w14:textId="3B72EE42" w:rsidR="00E16CAB" w:rsidRPr="00CC2ED3" w:rsidRDefault="00E16CAB" w:rsidP="00E16CAB">
            <w:pPr>
              <w:jc w:val="center"/>
              <w:rPr>
                <w:sz w:val="20"/>
                <w:szCs w:val="20"/>
              </w:rPr>
            </w:pPr>
            <w:r>
              <w:rPr>
                <w:sz w:val="20"/>
                <w:szCs w:val="20"/>
              </w:rPr>
              <w:t>69.977</w:t>
            </w:r>
          </w:p>
        </w:tc>
        <w:tc>
          <w:tcPr>
            <w:tcW w:w="1149" w:type="dxa"/>
          </w:tcPr>
          <w:p w14:paraId="4E594CCB" w14:textId="77777777" w:rsidR="00E16CAB" w:rsidRPr="00CC2ED3" w:rsidRDefault="00E16CAB" w:rsidP="00E16CAB">
            <w:pPr>
              <w:jc w:val="center"/>
              <w:rPr>
                <w:sz w:val="20"/>
                <w:szCs w:val="20"/>
              </w:rPr>
            </w:pPr>
          </w:p>
        </w:tc>
        <w:tc>
          <w:tcPr>
            <w:tcW w:w="1149" w:type="dxa"/>
          </w:tcPr>
          <w:p w14:paraId="52E3D752" w14:textId="5FBF3DDF" w:rsidR="00E16CAB" w:rsidRPr="00CC2ED3" w:rsidRDefault="00E16CAB" w:rsidP="00E16CAB">
            <w:pPr>
              <w:jc w:val="center"/>
              <w:rPr>
                <w:sz w:val="20"/>
                <w:szCs w:val="20"/>
              </w:rPr>
            </w:pPr>
            <w:r w:rsidRPr="00CC2ED3">
              <w:rPr>
                <w:sz w:val="20"/>
                <w:szCs w:val="20"/>
              </w:rPr>
              <w:t>0.7</w:t>
            </w:r>
            <w:r>
              <w:rPr>
                <w:sz w:val="20"/>
                <w:szCs w:val="20"/>
              </w:rPr>
              <w:t>34</w:t>
            </w:r>
          </w:p>
        </w:tc>
        <w:tc>
          <w:tcPr>
            <w:tcW w:w="1149" w:type="dxa"/>
          </w:tcPr>
          <w:p w14:paraId="09C83AE3" w14:textId="0694C528" w:rsidR="00E16CAB" w:rsidRPr="00CC2ED3" w:rsidRDefault="00E16CAB" w:rsidP="00E16CAB">
            <w:pPr>
              <w:jc w:val="center"/>
              <w:rPr>
                <w:sz w:val="20"/>
                <w:szCs w:val="20"/>
              </w:rPr>
            </w:pPr>
            <w:r w:rsidRPr="00CC2ED3">
              <w:rPr>
                <w:sz w:val="20"/>
                <w:szCs w:val="20"/>
              </w:rPr>
              <w:t>0.</w:t>
            </w:r>
            <w:r>
              <w:rPr>
                <w:sz w:val="20"/>
                <w:szCs w:val="20"/>
              </w:rPr>
              <w:t>99</w:t>
            </w:r>
          </w:p>
        </w:tc>
        <w:tc>
          <w:tcPr>
            <w:tcW w:w="1149" w:type="dxa"/>
          </w:tcPr>
          <w:p w14:paraId="6187BEA0" w14:textId="76AE5F85" w:rsidR="00E16CAB" w:rsidRPr="00A976EA" w:rsidRDefault="00E16CAB" w:rsidP="00E16CAB">
            <w:pPr>
              <w:jc w:val="center"/>
              <w:rPr>
                <w:sz w:val="20"/>
                <w:szCs w:val="20"/>
              </w:rPr>
            </w:pPr>
            <w:r w:rsidRPr="00A976EA">
              <w:rPr>
                <w:sz w:val="20"/>
                <w:szCs w:val="20"/>
              </w:rPr>
              <w:t>1.97</w:t>
            </w:r>
          </w:p>
        </w:tc>
      </w:tr>
      <w:tr w:rsidR="00E16CAB" w:rsidRPr="00CC2ED3" w14:paraId="253C86AA" w14:textId="77777777" w:rsidTr="00CC2ED3">
        <w:trPr>
          <w:trHeight w:hRule="exact" w:val="271"/>
          <w:jc w:val="center"/>
        </w:trPr>
        <w:tc>
          <w:tcPr>
            <w:tcW w:w="1148" w:type="dxa"/>
          </w:tcPr>
          <w:p w14:paraId="53B30F16" w14:textId="3C4F6093" w:rsidR="00E16CAB" w:rsidRPr="00CC2ED3" w:rsidRDefault="00E16CAB" w:rsidP="00E16CAB">
            <w:pPr>
              <w:pStyle w:val="TableParagraph"/>
              <w:jc w:val="center"/>
              <w:rPr>
                <w:sz w:val="20"/>
                <w:szCs w:val="20"/>
              </w:rPr>
            </w:pPr>
            <w:r w:rsidRPr="00CC2ED3">
              <w:rPr>
                <w:sz w:val="20"/>
                <w:szCs w:val="20"/>
              </w:rPr>
              <w:t>(</w:t>
            </w:r>
            <w:r>
              <w:rPr>
                <w:sz w:val="20"/>
                <w:szCs w:val="20"/>
              </w:rPr>
              <w:t>5.97</w:t>
            </w:r>
            <w:r w:rsidRPr="00CC2ED3">
              <w:rPr>
                <w:sz w:val="20"/>
                <w:szCs w:val="20"/>
              </w:rPr>
              <w:t>)</w:t>
            </w:r>
          </w:p>
        </w:tc>
        <w:tc>
          <w:tcPr>
            <w:tcW w:w="1149" w:type="dxa"/>
          </w:tcPr>
          <w:p w14:paraId="1756978F" w14:textId="74EE9DFF" w:rsidR="00E16CAB" w:rsidRPr="00CC2ED3" w:rsidRDefault="00E16CAB" w:rsidP="00E16CAB">
            <w:pPr>
              <w:pStyle w:val="TableParagraph"/>
              <w:jc w:val="center"/>
              <w:rPr>
                <w:sz w:val="20"/>
                <w:szCs w:val="20"/>
              </w:rPr>
            </w:pPr>
            <w:r w:rsidRPr="00CC2ED3">
              <w:rPr>
                <w:sz w:val="20"/>
                <w:szCs w:val="20"/>
              </w:rPr>
              <w:t>(</w:t>
            </w:r>
            <w:r>
              <w:rPr>
                <w:sz w:val="20"/>
                <w:szCs w:val="20"/>
              </w:rPr>
              <w:t>9.16</w:t>
            </w:r>
            <w:r w:rsidRPr="00CC2ED3">
              <w:rPr>
                <w:sz w:val="20"/>
                <w:szCs w:val="20"/>
              </w:rPr>
              <w:t>)</w:t>
            </w:r>
          </w:p>
        </w:tc>
        <w:tc>
          <w:tcPr>
            <w:tcW w:w="1149" w:type="dxa"/>
          </w:tcPr>
          <w:p w14:paraId="7001173F" w14:textId="36A969BE" w:rsidR="00E16CAB" w:rsidRPr="00CC2ED3" w:rsidRDefault="00E16CAB" w:rsidP="00E16CAB">
            <w:pPr>
              <w:pStyle w:val="TableParagraph"/>
              <w:jc w:val="center"/>
              <w:rPr>
                <w:sz w:val="20"/>
                <w:szCs w:val="20"/>
              </w:rPr>
            </w:pPr>
            <w:r w:rsidRPr="00CC2ED3">
              <w:rPr>
                <w:sz w:val="20"/>
                <w:szCs w:val="20"/>
              </w:rPr>
              <w:t>(-1.</w:t>
            </w:r>
            <w:r>
              <w:rPr>
                <w:sz w:val="20"/>
                <w:szCs w:val="20"/>
              </w:rPr>
              <w:t>59</w:t>
            </w:r>
            <w:r w:rsidRPr="00CC2ED3">
              <w:rPr>
                <w:sz w:val="20"/>
                <w:szCs w:val="20"/>
              </w:rPr>
              <w:t>)</w:t>
            </w:r>
          </w:p>
        </w:tc>
        <w:tc>
          <w:tcPr>
            <w:tcW w:w="1149" w:type="dxa"/>
          </w:tcPr>
          <w:p w14:paraId="74E5C4F8" w14:textId="2941568A" w:rsidR="00E16CAB" w:rsidRPr="00CC2ED3" w:rsidRDefault="00E16CAB" w:rsidP="00E16CAB">
            <w:pPr>
              <w:pStyle w:val="TableParagraph"/>
              <w:jc w:val="center"/>
              <w:rPr>
                <w:sz w:val="20"/>
                <w:szCs w:val="20"/>
              </w:rPr>
            </w:pPr>
            <w:r w:rsidRPr="00CC2ED3">
              <w:rPr>
                <w:sz w:val="20"/>
                <w:szCs w:val="20"/>
              </w:rPr>
              <w:t>(</w:t>
            </w:r>
            <w:r>
              <w:rPr>
                <w:sz w:val="20"/>
                <w:szCs w:val="20"/>
              </w:rPr>
              <w:t>1.02</w:t>
            </w:r>
            <w:r w:rsidRPr="00CC2ED3">
              <w:rPr>
                <w:sz w:val="20"/>
                <w:szCs w:val="20"/>
              </w:rPr>
              <w:t>)</w:t>
            </w:r>
          </w:p>
        </w:tc>
        <w:tc>
          <w:tcPr>
            <w:tcW w:w="1149" w:type="dxa"/>
          </w:tcPr>
          <w:p w14:paraId="2DC24C51" w14:textId="77777777" w:rsidR="00E16CAB" w:rsidRPr="00CC2ED3" w:rsidRDefault="00E16CAB" w:rsidP="00E16CAB">
            <w:pPr>
              <w:pStyle w:val="TableParagraph"/>
              <w:jc w:val="center"/>
              <w:rPr>
                <w:sz w:val="20"/>
                <w:szCs w:val="20"/>
              </w:rPr>
            </w:pPr>
          </w:p>
        </w:tc>
        <w:tc>
          <w:tcPr>
            <w:tcW w:w="1149" w:type="dxa"/>
          </w:tcPr>
          <w:p w14:paraId="11F67A66" w14:textId="77777777" w:rsidR="00E16CAB" w:rsidRPr="00CC2ED3" w:rsidRDefault="00E16CAB" w:rsidP="00E16CAB">
            <w:pPr>
              <w:pStyle w:val="TableParagraph"/>
              <w:jc w:val="center"/>
              <w:rPr>
                <w:rFonts w:eastAsia="Calibri" w:cs="Calibri"/>
                <w:sz w:val="20"/>
                <w:szCs w:val="20"/>
              </w:rPr>
            </w:pPr>
          </w:p>
        </w:tc>
        <w:tc>
          <w:tcPr>
            <w:tcW w:w="1148" w:type="dxa"/>
          </w:tcPr>
          <w:p w14:paraId="37C24CA8" w14:textId="77777777" w:rsidR="00E16CAB" w:rsidRPr="00CC2ED3" w:rsidRDefault="00E16CAB" w:rsidP="00E16CAB">
            <w:pPr>
              <w:jc w:val="center"/>
              <w:rPr>
                <w:sz w:val="20"/>
                <w:szCs w:val="20"/>
              </w:rPr>
            </w:pPr>
          </w:p>
        </w:tc>
        <w:tc>
          <w:tcPr>
            <w:tcW w:w="1149" w:type="dxa"/>
          </w:tcPr>
          <w:p w14:paraId="3403AC50" w14:textId="7898BE22" w:rsidR="00E16CAB" w:rsidRPr="00CC2ED3" w:rsidRDefault="00E16CAB" w:rsidP="00E16CAB">
            <w:pPr>
              <w:jc w:val="center"/>
              <w:rPr>
                <w:sz w:val="20"/>
                <w:szCs w:val="20"/>
              </w:rPr>
            </w:pPr>
            <w:r w:rsidRPr="00CC2ED3">
              <w:rPr>
                <w:sz w:val="20"/>
                <w:szCs w:val="20"/>
              </w:rPr>
              <w:t>(</w:t>
            </w:r>
            <w:r>
              <w:rPr>
                <w:sz w:val="20"/>
                <w:szCs w:val="20"/>
              </w:rPr>
              <w:t>1.11</w:t>
            </w:r>
            <w:r w:rsidRPr="00CC2ED3">
              <w:rPr>
                <w:sz w:val="20"/>
                <w:szCs w:val="20"/>
              </w:rPr>
              <w:t>)</w:t>
            </w:r>
          </w:p>
        </w:tc>
        <w:tc>
          <w:tcPr>
            <w:tcW w:w="1149" w:type="dxa"/>
          </w:tcPr>
          <w:p w14:paraId="0BF64664" w14:textId="77777777" w:rsidR="00E16CAB" w:rsidRPr="00CC2ED3" w:rsidRDefault="00E16CAB" w:rsidP="00E16CAB">
            <w:pPr>
              <w:jc w:val="center"/>
              <w:rPr>
                <w:sz w:val="20"/>
                <w:szCs w:val="20"/>
              </w:rPr>
            </w:pPr>
          </w:p>
        </w:tc>
        <w:tc>
          <w:tcPr>
            <w:tcW w:w="1149" w:type="dxa"/>
          </w:tcPr>
          <w:p w14:paraId="01F72F31" w14:textId="7CBD24E5" w:rsidR="00E16CAB" w:rsidRPr="00CC2ED3" w:rsidRDefault="00E16CAB" w:rsidP="00E16CAB">
            <w:pPr>
              <w:jc w:val="center"/>
              <w:rPr>
                <w:sz w:val="20"/>
                <w:szCs w:val="20"/>
              </w:rPr>
            </w:pPr>
            <w:r w:rsidRPr="00CC2ED3">
              <w:rPr>
                <w:sz w:val="20"/>
                <w:szCs w:val="20"/>
              </w:rPr>
              <w:t>(</w:t>
            </w:r>
            <w:r>
              <w:rPr>
                <w:sz w:val="20"/>
                <w:szCs w:val="20"/>
              </w:rPr>
              <w:t>6.27</w:t>
            </w:r>
            <w:r w:rsidRPr="00CC2ED3">
              <w:rPr>
                <w:sz w:val="20"/>
                <w:szCs w:val="20"/>
              </w:rPr>
              <w:t>)</w:t>
            </w:r>
          </w:p>
        </w:tc>
        <w:tc>
          <w:tcPr>
            <w:tcW w:w="1149" w:type="dxa"/>
          </w:tcPr>
          <w:p w14:paraId="02DA1B82" w14:textId="77777777" w:rsidR="00E16CAB" w:rsidRPr="00CC2ED3" w:rsidRDefault="00E16CAB" w:rsidP="00E16CAB">
            <w:pPr>
              <w:jc w:val="center"/>
              <w:rPr>
                <w:sz w:val="20"/>
                <w:szCs w:val="20"/>
              </w:rPr>
            </w:pPr>
          </w:p>
        </w:tc>
        <w:tc>
          <w:tcPr>
            <w:tcW w:w="1149" w:type="dxa"/>
          </w:tcPr>
          <w:p w14:paraId="045E0042" w14:textId="77777777" w:rsidR="00E16CAB" w:rsidRPr="00A976EA" w:rsidRDefault="00E16CAB" w:rsidP="00E16CAB">
            <w:pPr>
              <w:jc w:val="center"/>
              <w:rPr>
                <w:sz w:val="20"/>
                <w:szCs w:val="20"/>
              </w:rPr>
            </w:pPr>
          </w:p>
        </w:tc>
      </w:tr>
      <w:tr w:rsidR="00E16CAB" w:rsidRPr="00CC2ED3" w14:paraId="72676664" w14:textId="77777777" w:rsidTr="00CC2ED3">
        <w:trPr>
          <w:trHeight w:hRule="exact" w:val="271"/>
          <w:jc w:val="center"/>
        </w:trPr>
        <w:tc>
          <w:tcPr>
            <w:tcW w:w="1148" w:type="dxa"/>
          </w:tcPr>
          <w:p w14:paraId="5CEB85D3" w14:textId="6B1CAB41" w:rsidR="00E16CAB" w:rsidRPr="00CC2ED3" w:rsidRDefault="00E16CAB" w:rsidP="00E16CAB">
            <w:pPr>
              <w:pStyle w:val="TableParagraph"/>
              <w:jc w:val="center"/>
              <w:rPr>
                <w:sz w:val="20"/>
                <w:szCs w:val="20"/>
              </w:rPr>
            </w:pPr>
            <w:r>
              <w:rPr>
                <w:sz w:val="20"/>
                <w:szCs w:val="20"/>
              </w:rPr>
              <w:t>322.36</w:t>
            </w:r>
          </w:p>
        </w:tc>
        <w:tc>
          <w:tcPr>
            <w:tcW w:w="1149" w:type="dxa"/>
          </w:tcPr>
          <w:p w14:paraId="5279E643" w14:textId="6735C914" w:rsidR="00E16CAB" w:rsidRPr="00CC2ED3" w:rsidRDefault="00E16CAB" w:rsidP="00E16CAB">
            <w:pPr>
              <w:pStyle w:val="TableParagraph"/>
              <w:jc w:val="center"/>
              <w:rPr>
                <w:sz w:val="20"/>
                <w:szCs w:val="20"/>
              </w:rPr>
            </w:pPr>
            <w:r>
              <w:rPr>
                <w:sz w:val="20"/>
                <w:szCs w:val="20"/>
              </w:rPr>
              <w:t>5.123</w:t>
            </w:r>
          </w:p>
        </w:tc>
        <w:tc>
          <w:tcPr>
            <w:tcW w:w="1149" w:type="dxa"/>
          </w:tcPr>
          <w:p w14:paraId="298386C9" w14:textId="5E5ADA20" w:rsidR="00E16CAB" w:rsidRPr="00CC2ED3" w:rsidRDefault="00E16CAB" w:rsidP="00E16CAB">
            <w:pPr>
              <w:pStyle w:val="TableParagraph"/>
              <w:jc w:val="center"/>
              <w:rPr>
                <w:sz w:val="20"/>
                <w:szCs w:val="20"/>
              </w:rPr>
            </w:pPr>
            <w:r w:rsidRPr="00CC2ED3">
              <w:rPr>
                <w:sz w:val="20"/>
                <w:szCs w:val="20"/>
              </w:rPr>
              <w:t>-0.344</w:t>
            </w:r>
          </w:p>
        </w:tc>
        <w:tc>
          <w:tcPr>
            <w:tcW w:w="1149" w:type="dxa"/>
          </w:tcPr>
          <w:p w14:paraId="35D69CD2" w14:textId="637796D9" w:rsidR="00E16CAB" w:rsidRPr="00CC2ED3" w:rsidRDefault="00E16CAB" w:rsidP="00E16CAB">
            <w:pPr>
              <w:pStyle w:val="TableParagraph"/>
              <w:jc w:val="center"/>
              <w:rPr>
                <w:sz w:val="20"/>
                <w:szCs w:val="20"/>
              </w:rPr>
            </w:pPr>
            <w:r>
              <w:rPr>
                <w:sz w:val="20"/>
                <w:szCs w:val="20"/>
              </w:rPr>
              <w:t>18.761</w:t>
            </w:r>
          </w:p>
        </w:tc>
        <w:tc>
          <w:tcPr>
            <w:tcW w:w="1149" w:type="dxa"/>
          </w:tcPr>
          <w:p w14:paraId="054AE8ED" w14:textId="77777777" w:rsidR="00E16CAB" w:rsidRPr="00CC2ED3" w:rsidRDefault="00E16CAB" w:rsidP="00E16CAB">
            <w:pPr>
              <w:pStyle w:val="TableParagraph"/>
              <w:jc w:val="center"/>
              <w:rPr>
                <w:sz w:val="20"/>
                <w:szCs w:val="20"/>
              </w:rPr>
            </w:pPr>
          </w:p>
        </w:tc>
        <w:tc>
          <w:tcPr>
            <w:tcW w:w="1149" w:type="dxa"/>
          </w:tcPr>
          <w:p w14:paraId="25D68E43" w14:textId="77777777" w:rsidR="00E16CAB" w:rsidRPr="00CC2ED3" w:rsidRDefault="00E16CAB" w:rsidP="00E16CAB">
            <w:pPr>
              <w:pStyle w:val="TableParagraph"/>
              <w:jc w:val="center"/>
              <w:rPr>
                <w:rFonts w:eastAsia="Calibri" w:cs="Calibri"/>
                <w:sz w:val="20"/>
                <w:szCs w:val="20"/>
              </w:rPr>
            </w:pPr>
          </w:p>
        </w:tc>
        <w:tc>
          <w:tcPr>
            <w:tcW w:w="1148" w:type="dxa"/>
          </w:tcPr>
          <w:p w14:paraId="331C62BA" w14:textId="77777777" w:rsidR="00E16CAB" w:rsidRPr="00CC2ED3" w:rsidRDefault="00E16CAB" w:rsidP="00E16CAB">
            <w:pPr>
              <w:jc w:val="center"/>
              <w:rPr>
                <w:sz w:val="20"/>
                <w:szCs w:val="20"/>
              </w:rPr>
            </w:pPr>
          </w:p>
        </w:tc>
        <w:tc>
          <w:tcPr>
            <w:tcW w:w="1149" w:type="dxa"/>
          </w:tcPr>
          <w:p w14:paraId="630450DC" w14:textId="77777777" w:rsidR="00E16CAB" w:rsidRPr="00CC2ED3" w:rsidRDefault="00E16CAB" w:rsidP="00E16CAB">
            <w:pPr>
              <w:jc w:val="center"/>
              <w:rPr>
                <w:sz w:val="20"/>
                <w:szCs w:val="20"/>
              </w:rPr>
            </w:pPr>
          </w:p>
        </w:tc>
        <w:tc>
          <w:tcPr>
            <w:tcW w:w="1149" w:type="dxa"/>
          </w:tcPr>
          <w:p w14:paraId="379EF937" w14:textId="3B265CE6" w:rsidR="00E16CAB" w:rsidRPr="00CC2ED3" w:rsidRDefault="00E16CAB" w:rsidP="00E16CAB">
            <w:pPr>
              <w:jc w:val="center"/>
              <w:rPr>
                <w:sz w:val="20"/>
                <w:szCs w:val="20"/>
              </w:rPr>
            </w:pPr>
            <w:r>
              <w:rPr>
                <w:sz w:val="20"/>
                <w:szCs w:val="20"/>
              </w:rPr>
              <w:t>17.791</w:t>
            </w:r>
          </w:p>
        </w:tc>
        <w:tc>
          <w:tcPr>
            <w:tcW w:w="1149" w:type="dxa"/>
          </w:tcPr>
          <w:p w14:paraId="68CB7F08" w14:textId="687126D3" w:rsidR="00E16CAB" w:rsidRPr="00CC2ED3" w:rsidRDefault="00E16CAB" w:rsidP="00E16CAB">
            <w:pPr>
              <w:jc w:val="center"/>
              <w:rPr>
                <w:sz w:val="20"/>
                <w:szCs w:val="20"/>
              </w:rPr>
            </w:pPr>
            <w:r w:rsidRPr="00CC2ED3">
              <w:rPr>
                <w:sz w:val="20"/>
                <w:szCs w:val="20"/>
              </w:rPr>
              <w:t>0.</w:t>
            </w:r>
            <w:r>
              <w:rPr>
                <w:sz w:val="20"/>
                <w:szCs w:val="20"/>
              </w:rPr>
              <w:t>777</w:t>
            </w:r>
          </w:p>
        </w:tc>
        <w:tc>
          <w:tcPr>
            <w:tcW w:w="1149" w:type="dxa"/>
          </w:tcPr>
          <w:p w14:paraId="61D53DC1" w14:textId="79FE8C3E" w:rsidR="00E16CAB" w:rsidRPr="00CC2ED3" w:rsidRDefault="00E16CAB" w:rsidP="00E16CAB">
            <w:pPr>
              <w:jc w:val="center"/>
              <w:rPr>
                <w:sz w:val="20"/>
                <w:szCs w:val="20"/>
              </w:rPr>
            </w:pPr>
            <w:r w:rsidRPr="00CC2ED3">
              <w:rPr>
                <w:sz w:val="20"/>
                <w:szCs w:val="20"/>
              </w:rPr>
              <w:t>0.</w:t>
            </w:r>
            <w:r>
              <w:rPr>
                <w:sz w:val="20"/>
                <w:szCs w:val="20"/>
              </w:rPr>
              <w:t>98</w:t>
            </w:r>
          </w:p>
        </w:tc>
        <w:tc>
          <w:tcPr>
            <w:tcW w:w="1149" w:type="dxa"/>
          </w:tcPr>
          <w:p w14:paraId="4CAF0BE0" w14:textId="7631B097" w:rsidR="00E16CAB" w:rsidRPr="00A976EA" w:rsidRDefault="00E16CAB" w:rsidP="00E16CAB">
            <w:pPr>
              <w:jc w:val="center"/>
              <w:rPr>
                <w:sz w:val="20"/>
                <w:szCs w:val="20"/>
              </w:rPr>
            </w:pPr>
            <w:r w:rsidRPr="00A976EA">
              <w:rPr>
                <w:sz w:val="20"/>
                <w:szCs w:val="20"/>
              </w:rPr>
              <w:t>1.99</w:t>
            </w:r>
          </w:p>
        </w:tc>
      </w:tr>
      <w:tr w:rsidR="00E16CAB" w:rsidRPr="00CC2ED3" w14:paraId="01A09C4E" w14:textId="77777777" w:rsidTr="00CC2ED3">
        <w:trPr>
          <w:trHeight w:hRule="exact" w:val="271"/>
          <w:jc w:val="center"/>
        </w:trPr>
        <w:tc>
          <w:tcPr>
            <w:tcW w:w="1148" w:type="dxa"/>
          </w:tcPr>
          <w:p w14:paraId="28E3DDE5" w14:textId="3BB2D73C" w:rsidR="00E16CAB" w:rsidRPr="00CC2ED3" w:rsidRDefault="00E16CAB" w:rsidP="00E16CAB">
            <w:pPr>
              <w:pStyle w:val="TableParagraph"/>
              <w:jc w:val="center"/>
              <w:rPr>
                <w:sz w:val="20"/>
                <w:szCs w:val="20"/>
              </w:rPr>
            </w:pPr>
            <w:r w:rsidRPr="00CC2ED3">
              <w:rPr>
                <w:sz w:val="20"/>
                <w:szCs w:val="20"/>
              </w:rPr>
              <w:t>(</w:t>
            </w:r>
            <w:r>
              <w:rPr>
                <w:sz w:val="20"/>
                <w:szCs w:val="20"/>
              </w:rPr>
              <w:t>5.28</w:t>
            </w:r>
            <w:r w:rsidRPr="00CC2ED3">
              <w:rPr>
                <w:sz w:val="20"/>
                <w:szCs w:val="20"/>
              </w:rPr>
              <w:t>)</w:t>
            </w:r>
          </w:p>
        </w:tc>
        <w:tc>
          <w:tcPr>
            <w:tcW w:w="1149" w:type="dxa"/>
          </w:tcPr>
          <w:p w14:paraId="48C45802" w14:textId="55554916" w:rsidR="00E16CAB" w:rsidRPr="00CC2ED3" w:rsidRDefault="00E16CAB" w:rsidP="00E16CAB">
            <w:pPr>
              <w:pStyle w:val="TableParagraph"/>
              <w:jc w:val="center"/>
              <w:rPr>
                <w:sz w:val="20"/>
                <w:szCs w:val="20"/>
              </w:rPr>
            </w:pPr>
            <w:r w:rsidRPr="00CC2ED3">
              <w:rPr>
                <w:sz w:val="20"/>
                <w:szCs w:val="20"/>
              </w:rPr>
              <w:t>(</w:t>
            </w:r>
            <w:r>
              <w:rPr>
                <w:sz w:val="20"/>
                <w:szCs w:val="20"/>
              </w:rPr>
              <w:t>8.48</w:t>
            </w:r>
            <w:r w:rsidRPr="00CC2ED3">
              <w:rPr>
                <w:sz w:val="20"/>
                <w:szCs w:val="20"/>
              </w:rPr>
              <w:t>)</w:t>
            </w:r>
          </w:p>
        </w:tc>
        <w:tc>
          <w:tcPr>
            <w:tcW w:w="1149" w:type="dxa"/>
          </w:tcPr>
          <w:p w14:paraId="2F7118F3" w14:textId="18C0F8E9" w:rsidR="00E16CAB" w:rsidRPr="00CC2ED3" w:rsidRDefault="00E16CAB" w:rsidP="00E16CAB">
            <w:pPr>
              <w:pStyle w:val="TableParagraph"/>
              <w:jc w:val="center"/>
              <w:rPr>
                <w:sz w:val="20"/>
                <w:szCs w:val="20"/>
              </w:rPr>
            </w:pPr>
            <w:r w:rsidRPr="00CC2ED3">
              <w:rPr>
                <w:sz w:val="20"/>
                <w:szCs w:val="20"/>
              </w:rPr>
              <w:t>(-</w:t>
            </w:r>
            <w:r>
              <w:rPr>
                <w:sz w:val="20"/>
                <w:szCs w:val="20"/>
              </w:rPr>
              <w:t>1.4</w:t>
            </w:r>
            <w:r w:rsidRPr="00CC2ED3">
              <w:rPr>
                <w:sz w:val="20"/>
                <w:szCs w:val="20"/>
              </w:rPr>
              <w:t>2)</w:t>
            </w:r>
          </w:p>
        </w:tc>
        <w:tc>
          <w:tcPr>
            <w:tcW w:w="1149" w:type="dxa"/>
          </w:tcPr>
          <w:p w14:paraId="20D6DC0D" w14:textId="222F3E01" w:rsidR="00E16CAB" w:rsidRPr="00CC2ED3" w:rsidRDefault="00E16CAB" w:rsidP="00E16CAB">
            <w:pPr>
              <w:pStyle w:val="TableParagraph"/>
              <w:jc w:val="center"/>
              <w:rPr>
                <w:sz w:val="20"/>
                <w:szCs w:val="20"/>
              </w:rPr>
            </w:pPr>
            <w:r w:rsidRPr="00CC2ED3">
              <w:rPr>
                <w:sz w:val="20"/>
                <w:szCs w:val="20"/>
              </w:rPr>
              <w:t>(0.</w:t>
            </w:r>
            <w:r>
              <w:rPr>
                <w:sz w:val="20"/>
                <w:szCs w:val="20"/>
              </w:rPr>
              <w:t>92</w:t>
            </w:r>
            <w:r w:rsidRPr="00CC2ED3">
              <w:rPr>
                <w:sz w:val="20"/>
                <w:szCs w:val="20"/>
              </w:rPr>
              <w:t>)</w:t>
            </w:r>
          </w:p>
        </w:tc>
        <w:tc>
          <w:tcPr>
            <w:tcW w:w="1149" w:type="dxa"/>
          </w:tcPr>
          <w:p w14:paraId="6DC493EB" w14:textId="77777777" w:rsidR="00E16CAB" w:rsidRPr="00CC2ED3" w:rsidRDefault="00E16CAB" w:rsidP="00E16CAB">
            <w:pPr>
              <w:pStyle w:val="TableParagraph"/>
              <w:jc w:val="center"/>
              <w:rPr>
                <w:sz w:val="20"/>
                <w:szCs w:val="20"/>
              </w:rPr>
            </w:pPr>
          </w:p>
        </w:tc>
        <w:tc>
          <w:tcPr>
            <w:tcW w:w="1149" w:type="dxa"/>
          </w:tcPr>
          <w:p w14:paraId="296B9D3A" w14:textId="77777777" w:rsidR="00E16CAB" w:rsidRPr="00CC2ED3" w:rsidRDefault="00E16CAB" w:rsidP="00E16CAB">
            <w:pPr>
              <w:pStyle w:val="TableParagraph"/>
              <w:jc w:val="center"/>
              <w:rPr>
                <w:rFonts w:eastAsia="Calibri" w:cs="Calibri"/>
                <w:sz w:val="20"/>
                <w:szCs w:val="20"/>
              </w:rPr>
            </w:pPr>
          </w:p>
        </w:tc>
        <w:tc>
          <w:tcPr>
            <w:tcW w:w="1148" w:type="dxa"/>
          </w:tcPr>
          <w:p w14:paraId="207B817B" w14:textId="77777777" w:rsidR="00E16CAB" w:rsidRPr="00CC2ED3" w:rsidRDefault="00E16CAB" w:rsidP="00E16CAB">
            <w:pPr>
              <w:jc w:val="center"/>
              <w:rPr>
                <w:sz w:val="20"/>
                <w:szCs w:val="20"/>
              </w:rPr>
            </w:pPr>
          </w:p>
        </w:tc>
        <w:tc>
          <w:tcPr>
            <w:tcW w:w="1149" w:type="dxa"/>
          </w:tcPr>
          <w:p w14:paraId="3D230322" w14:textId="77777777" w:rsidR="00E16CAB" w:rsidRPr="00CC2ED3" w:rsidRDefault="00E16CAB" w:rsidP="00E16CAB">
            <w:pPr>
              <w:jc w:val="center"/>
              <w:rPr>
                <w:sz w:val="20"/>
                <w:szCs w:val="20"/>
              </w:rPr>
            </w:pPr>
          </w:p>
        </w:tc>
        <w:tc>
          <w:tcPr>
            <w:tcW w:w="1149" w:type="dxa"/>
          </w:tcPr>
          <w:p w14:paraId="033BF2B7" w14:textId="3AC37894" w:rsidR="00E16CAB" w:rsidRPr="00CC2ED3" w:rsidRDefault="00E16CAB" w:rsidP="00E16CAB">
            <w:pPr>
              <w:jc w:val="center"/>
              <w:rPr>
                <w:sz w:val="20"/>
                <w:szCs w:val="20"/>
              </w:rPr>
            </w:pPr>
            <w:r w:rsidRPr="00CC2ED3">
              <w:rPr>
                <w:sz w:val="20"/>
                <w:szCs w:val="20"/>
              </w:rPr>
              <w:t>(</w:t>
            </w:r>
            <w:r>
              <w:rPr>
                <w:sz w:val="20"/>
                <w:szCs w:val="20"/>
              </w:rPr>
              <w:t>0.23</w:t>
            </w:r>
            <w:r w:rsidRPr="00CC2ED3">
              <w:rPr>
                <w:sz w:val="20"/>
                <w:szCs w:val="20"/>
              </w:rPr>
              <w:t>)</w:t>
            </w:r>
          </w:p>
        </w:tc>
        <w:tc>
          <w:tcPr>
            <w:tcW w:w="1149" w:type="dxa"/>
          </w:tcPr>
          <w:p w14:paraId="2DDB1546" w14:textId="55C9D9F1" w:rsidR="00E16CAB" w:rsidRPr="00CC2ED3" w:rsidRDefault="00E16CAB" w:rsidP="00E16CAB">
            <w:pPr>
              <w:jc w:val="center"/>
              <w:rPr>
                <w:sz w:val="20"/>
                <w:szCs w:val="20"/>
              </w:rPr>
            </w:pPr>
            <w:r w:rsidRPr="00CC2ED3">
              <w:rPr>
                <w:sz w:val="20"/>
                <w:szCs w:val="20"/>
              </w:rPr>
              <w:t>(</w:t>
            </w:r>
            <w:r>
              <w:rPr>
                <w:sz w:val="20"/>
                <w:szCs w:val="20"/>
              </w:rPr>
              <w:t>6.19</w:t>
            </w:r>
            <w:r w:rsidRPr="00CC2ED3">
              <w:rPr>
                <w:sz w:val="20"/>
                <w:szCs w:val="20"/>
              </w:rPr>
              <w:t>)</w:t>
            </w:r>
          </w:p>
        </w:tc>
        <w:tc>
          <w:tcPr>
            <w:tcW w:w="1149" w:type="dxa"/>
          </w:tcPr>
          <w:p w14:paraId="48CBDA26" w14:textId="77777777" w:rsidR="00E16CAB" w:rsidRPr="00CC2ED3" w:rsidRDefault="00E16CAB" w:rsidP="00E16CAB">
            <w:pPr>
              <w:jc w:val="center"/>
              <w:rPr>
                <w:sz w:val="20"/>
                <w:szCs w:val="20"/>
              </w:rPr>
            </w:pPr>
          </w:p>
        </w:tc>
        <w:tc>
          <w:tcPr>
            <w:tcW w:w="1149" w:type="dxa"/>
          </w:tcPr>
          <w:p w14:paraId="4F7CCBBB" w14:textId="77777777" w:rsidR="00E16CAB" w:rsidRPr="00A976EA" w:rsidRDefault="00E16CAB" w:rsidP="00E16CAB">
            <w:pPr>
              <w:jc w:val="center"/>
              <w:rPr>
                <w:sz w:val="20"/>
                <w:szCs w:val="20"/>
              </w:rPr>
            </w:pPr>
          </w:p>
        </w:tc>
      </w:tr>
      <w:tr w:rsidR="00E16CAB" w:rsidRPr="00CC2ED3" w14:paraId="1339C73F" w14:textId="77777777" w:rsidTr="00CC2ED3">
        <w:trPr>
          <w:trHeight w:hRule="exact" w:val="271"/>
          <w:jc w:val="center"/>
        </w:trPr>
        <w:tc>
          <w:tcPr>
            <w:tcW w:w="1148" w:type="dxa"/>
          </w:tcPr>
          <w:p w14:paraId="49E2798A" w14:textId="7A280CD7" w:rsidR="00E16CAB" w:rsidRPr="00CC2ED3" w:rsidRDefault="00E16CAB" w:rsidP="00E16CAB">
            <w:pPr>
              <w:pStyle w:val="TableParagraph"/>
              <w:jc w:val="center"/>
              <w:rPr>
                <w:sz w:val="20"/>
                <w:szCs w:val="20"/>
              </w:rPr>
            </w:pPr>
            <w:r>
              <w:rPr>
                <w:sz w:val="20"/>
                <w:szCs w:val="20"/>
              </w:rPr>
              <w:t>264.08</w:t>
            </w:r>
          </w:p>
        </w:tc>
        <w:tc>
          <w:tcPr>
            <w:tcW w:w="1149" w:type="dxa"/>
          </w:tcPr>
          <w:p w14:paraId="105D80DF" w14:textId="76DA13C0" w:rsidR="00E16CAB" w:rsidRPr="00CC2ED3" w:rsidRDefault="00E16CAB" w:rsidP="00E16CAB">
            <w:pPr>
              <w:pStyle w:val="TableParagraph"/>
              <w:jc w:val="center"/>
              <w:rPr>
                <w:sz w:val="20"/>
                <w:szCs w:val="20"/>
              </w:rPr>
            </w:pPr>
            <w:r>
              <w:rPr>
                <w:sz w:val="20"/>
                <w:szCs w:val="20"/>
              </w:rPr>
              <w:t>4.970</w:t>
            </w:r>
          </w:p>
        </w:tc>
        <w:tc>
          <w:tcPr>
            <w:tcW w:w="1149" w:type="dxa"/>
          </w:tcPr>
          <w:p w14:paraId="6E25A767" w14:textId="7FC9B33B" w:rsidR="00E16CAB" w:rsidRPr="00CC2ED3" w:rsidRDefault="00E16CAB" w:rsidP="00E16CAB">
            <w:pPr>
              <w:pStyle w:val="TableParagraph"/>
              <w:jc w:val="center"/>
              <w:rPr>
                <w:sz w:val="20"/>
                <w:szCs w:val="20"/>
              </w:rPr>
            </w:pPr>
            <w:r w:rsidRPr="00CC2ED3">
              <w:rPr>
                <w:sz w:val="20"/>
                <w:szCs w:val="20"/>
              </w:rPr>
              <w:t>-0.2</w:t>
            </w:r>
            <w:r>
              <w:rPr>
                <w:sz w:val="20"/>
                <w:szCs w:val="20"/>
              </w:rPr>
              <w:t>20</w:t>
            </w:r>
          </w:p>
        </w:tc>
        <w:tc>
          <w:tcPr>
            <w:tcW w:w="1149" w:type="dxa"/>
          </w:tcPr>
          <w:p w14:paraId="359403B1" w14:textId="6AAE32EB" w:rsidR="00E16CAB" w:rsidRPr="00CC2ED3" w:rsidRDefault="00E16CAB" w:rsidP="00E16CAB">
            <w:pPr>
              <w:pStyle w:val="TableParagraph"/>
              <w:jc w:val="center"/>
              <w:rPr>
                <w:sz w:val="20"/>
                <w:szCs w:val="20"/>
              </w:rPr>
            </w:pPr>
            <w:r>
              <w:rPr>
                <w:sz w:val="20"/>
                <w:szCs w:val="20"/>
              </w:rPr>
              <w:t>3.830</w:t>
            </w:r>
          </w:p>
        </w:tc>
        <w:tc>
          <w:tcPr>
            <w:tcW w:w="1149" w:type="dxa"/>
          </w:tcPr>
          <w:p w14:paraId="0A5E7F16" w14:textId="41DC5729" w:rsidR="00E16CAB" w:rsidRPr="00CC2ED3" w:rsidRDefault="00E16CAB" w:rsidP="00E16CAB">
            <w:pPr>
              <w:pStyle w:val="TableParagraph"/>
              <w:jc w:val="center"/>
              <w:rPr>
                <w:sz w:val="20"/>
                <w:szCs w:val="20"/>
              </w:rPr>
            </w:pPr>
          </w:p>
        </w:tc>
        <w:tc>
          <w:tcPr>
            <w:tcW w:w="1149" w:type="dxa"/>
          </w:tcPr>
          <w:p w14:paraId="663E240A" w14:textId="3B57BA04" w:rsidR="00E16CAB" w:rsidRPr="00CC2ED3" w:rsidRDefault="00E16CAB" w:rsidP="00E16CAB">
            <w:pPr>
              <w:pStyle w:val="TableParagraph"/>
              <w:jc w:val="center"/>
              <w:rPr>
                <w:rFonts w:eastAsia="Calibri" w:cs="Calibri"/>
                <w:sz w:val="20"/>
                <w:szCs w:val="20"/>
              </w:rPr>
            </w:pPr>
            <w:r w:rsidRPr="00CC2ED3">
              <w:rPr>
                <w:rFonts w:eastAsia="Calibri" w:cs="Calibri"/>
                <w:sz w:val="20"/>
                <w:szCs w:val="20"/>
              </w:rPr>
              <w:t>-1</w:t>
            </w:r>
            <w:r>
              <w:rPr>
                <w:rFonts w:eastAsia="Calibri" w:cs="Calibri"/>
                <w:sz w:val="20"/>
                <w:szCs w:val="20"/>
              </w:rPr>
              <w:t>82.93</w:t>
            </w:r>
          </w:p>
        </w:tc>
        <w:tc>
          <w:tcPr>
            <w:tcW w:w="1148" w:type="dxa"/>
          </w:tcPr>
          <w:p w14:paraId="78F9848C" w14:textId="5EAAEEFC" w:rsidR="00E16CAB" w:rsidRPr="00CC2ED3" w:rsidRDefault="00E16CAB" w:rsidP="00E16CAB">
            <w:pPr>
              <w:jc w:val="center"/>
              <w:rPr>
                <w:sz w:val="20"/>
                <w:szCs w:val="20"/>
              </w:rPr>
            </w:pPr>
            <w:r>
              <w:rPr>
                <w:sz w:val="20"/>
                <w:szCs w:val="20"/>
              </w:rPr>
              <w:t>101.62</w:t>
            </w:r>
          </w:p>
        </w:tc>
        <w:tc>
          <w:tcPr>
            <w:tcW w:w="1149" w:type="dxa"/>
          </w:tcPr>
          <w:p w14:paraId="175EE4CD" w14:textId="34E8B075" w:rsidR="00E16CAB" w:rsidRPr="00CC2ED3" w:rsidRDefault="00E16CAB" w:rsidP="00E16CAB">
            <w:pPr>
              <w:jc w:val="center"/>
              <w:rPr>
                <w:sz w:val="20"/>
                <w:szCs w:val="20"/>
              </w:rPr>
            </w:pPr>
            <w:r>
              <w:rPr>
                <w:sz w:val="20"/>
                <w:szCs w:val="20"/>
              </w:rPr>
              <w:t>25.999</w:t>
            </w:r>
          </w:p>
        </w:tc>
        <w:tc>
          <w:tcPr>
            <w:tcW w:w="1149" w:type="dxa"/>
          </w:tcPr>
          <w:p w14:paraId="2E7C3C5A" w14:textId="71E75C82" w:rsidR="00E16CAB" w:rsidRPr="00CC2ED3" w:rsidRDefault="00E16CAB" w:rsidP="00E16CAB">
            <w:pPr>
              <w:jc w:val="center"/>
              <w:rPr>
                <w:sz w:val="20"/>
                <w:szCs w:val="20"/>
              </w:rPr>
            </w:pPr>
            <w:r w:rsidRPr="00CC2ED3">
              <w:rPr>
                <w:sz w:val="20"/>
                <w:szCs w:val="20"/>
              </w:rPr>
              <w:t>-</w:t>
            </w:r>
            <w:r>
              <w:rPr>
                <w:sz w:val="20"/>
                <w:szCs w:val="20"/>
              </w:rPr>
              <w:t>15.670</w:t>
            </w:r>
          </w:p>
        </w:tc>
        <w:tc>
          <w:tcPr>
            <w:tcW w:w="1149" w:type="dxa"/>
          </w:tcPr>
          <w:p w14:paraId="6F242527" w14:textId="4368B53D" w:rsidR="00E16CAB" w:rsidRPr="00CC2ED3" w:rsidRDefault="00E16CAB" w:rsidP="00E16CAB">
            <w:pPr>
              <w:jc w:val="center"/>
              <w:rPr>
                <w:sz w:val="20"/>
                <w:szCs w:val="20"/>
              </w:rPr>
            </w:pPr>
            <w:r w:rsidRPr="00CC2ED3">
              <w:rPr>
                <w:sz w:val="20"/>
                <w:szCs w:val="20"/>
              </w:rPr>
              <w:t>0.</w:t>
            </w:r>
            <w:r>
              <w:rPr>
                <w:sz w:val="20"/>
                <w:szCs w:val="20"/>
              </w:rPr>
              <w:t>454</w:t>
            </w:r>
          </w:p>
        </w:tc>
        <w:tc>
          <w:tcPr>
            <w:tcW w:w="1149" w:type="dxa"/>
          </w:tcPr>
          <w:p w14:paraId="58B24EEA" w14:textId="7AF43BE9" w:rsidR="00E16CAB" w:rsidRPr="00CC2ED3" w:rsidRDefault="00E16CAB" w:rsidP="00E16CAB">
            <w:pPr>
              <w:jc w:val="center"/>
              <w:rPr>
                <w:sz w:val="20"/>
                <w:szCs w:val="20"/>
              </w:rPr>
            </w:pPr>
            <w:r w:rsidRPr="00CC2ED3">
              <w:rPr>
                <w:sz w:val="20"/>
                <w:szCs w:val="20"/>
              </w:rPr>
              <w:t>0.</w:t>
            </w:r>
            <w:r>
              <w:rPr>
                <w:sz w:val="20"/>
                <w:szCs w:val="20"/>
              </w:rPr>
              <w:t>9</w:t>
            </w:r>
            <w:r w:rsidRPr="00CC2ED3">
              <w:rPr>
                <w:sz w:val="20"/>
                <w:szCs w:val="20"/>
              </w:rPr>
              <w:t>9</w:t>
            </w:r>
          </w:p>
        </w:tc>
        <w:tc>
          <w:tcPr>
            <w:tcW w:w="1149" w:type="dxa"/>
          </w:tcPr>
          <w:p w14:paraId="4B8A49B0" w14:textId="056C9D36" w:rsidR="00E16CAB" w:rsidRPr="00A976EA" w:rsidRDefault="00E16CAB" w:rsidP="00E16CAB">
            <w:pPr>
              <w:jc w:val="center"/>
              <w:rPr>
                <w:sz w:val="20"/>
                <w:szCs w:val="20"/>
              </w:rPr>
            </w:pPr>
            <w:r w:rsidRPr="00A976EA">
              <w:rPr>
                <w:sz w:val="20"/>
                <w:szCs w:val="20"/>
              </w:rPr>
              <w:t>2.11</w:t>
            </w:r>
          </w:p>
        </w:tc>
      </w:tr>
      <w:tr w:rsidR="00E16CAB" w:rsidRPr="00CC2ED3" w14:paraId="06B9FD42" w14:textId="77777777" w:rsidTr="00CC2ED3">
        <w:trPr>
          <w:trHeight w:hRule="exact" w:val="271"/>
          <w:jc w:val="center"/>
        </w:trPr>
        <w:tc>
          <w:tcPr>
            <w:tcW w:w="1148" w:type="dxa"/>
          </w:tcPr>
          <w:p w14:paraId="668720C7" w14:textId="1AFDEBFE" w:rsidR="00E16CAB" w:rsidRPr="00CC2ED3" w:rsidRDefault="00E16CAB" w:rsidP="00E16CAB">
            <w:pPr>
              <w:pStyle w:val="TableParagraph"/>
              <w:jc w:val="center"/>
              <w:rPr>
                <w:sz w:val="20"/>
                <w:szCs w:val="20"/>
              </w:rPr>
            </w:pPr>
            <w:r w:rsidRPr="00CC2ED3">
              <w:rPr>
                <w:sz w:val="20"/>
                <w:szCs w:val="20"/>
              </w:rPr>
              <w:t>(</w:t>
            </w:r>
            <w:r>
              <w:rPr>
                <w:sz w:val="20"/>
                <w:szCs w:val="20"/>
              </w:rPr>
              <w:t>6.64</w:t>
            </w:r>
            <w:r w:rsidRPr="00CC2ED3">
              <w:rPr>
                <w:sz w:val="20"/>
                <w:szCs w:val="20"/>
              </w:rPr>
              <w:t>)</w:t>
            </w:r>
          </w:p>
        </w:tc>
        <w:tc>
          <w:tcPr>
            <w:tcW w:w="1149" w:type="dxa"/>
          </w:tcPr>
          <w:p w14:paraId="690150DA" w14:textId="2ECD7937" w:rsidR="00E16CAB" w:rsidRPr="00CC2ED3" w:rsidRDefault="00E16CAB" w:rsidP="00E16CAB">
            <w:pPr>
              <w:pStyle w:val="TableParagraph"/>
              <w:jc w:val="center"/>
              <w:rPr>
                <w:sz w:val="20"/>
                <w:szCs w:val="20"/>
              </w:rPr>
            </w:pPr>
            <w:r w:rsidRPr="00CC2ED3">
              <w:rPr>
                <w:sz w:val="20"/>
                <w:szCs w:val="20"/>
              </w:rPr>
              <w:t>(</w:t>
            </w:r>
            <w:r>
              <w:rPr>
                <w:sz w:val="20"/>
                <w:szCs w:val="20"/>
              </w:rPr>
              <w:t>8.54</w:t>
            </w:r>
            <w:r w:rsidRPr="00CC2ED3">
              <w:rPr>
                <w:sz w:val="20"/>
                <w:szCs w:val="20"/>
              </w:rPr>
              <w:t>)</w:t>
            </w:r>
          </w:p>
        </w:tc>
        <w:tc>
          <w:tcPr>
            <w:tcW w:w="1149" w:type="dxa"/>
          </w:tcPr>
          <w:p w14:paraId="72879DE0" w14:textId="710553D4" w:rsidR="00E16CAB" w:rsidRPr="00CC2ED3" w:rsidRDefault="00E16CAB" w:rsidP="00E16CAB">
            <w:pPr>
              <w:pStyle w:val="TableParagraph"/>
              <w:jc w:val="center"/>
              <w:rPr>
                <w:sz w:val="20"/>
                <w:szCs w:val="20"/>
              </w:rPr>
            </w:pPr>
            <w:r w:rsidRPr="00CC2ED3">
              <w:rPr>
                <w:sz w:val="20"/>
                <w:szCs w:val="20"/>
              </w:rPr>
              <w:t>(-</w:t>
            </w:r>
            <w:r>
              <w:rPr>
                <w:sz w:val="20"/>
                <w:szCs w:val="20"/>
              </w:rPr>
              <w:t>0.90</w:t>
            </w:r>
            <w:r w:rsidRPr="00CC2ED3">
              <w:rPr>
                <w:sz w:val="20"/>
                <w:szCs w:val="20"/>
              </w:rPr>
              <w:t>)</w:t>
            </w:r>
          </w:p>
        </w:tc>
        <w:tc>
          <w:tcPr>
            <w:tcW w:w="1149" w:type="dxa"/>
          </w:tcPr>
          <w:p w14:paraId="57C07CAE" w14:textId="180971A9" w:rsidR="00E16CAB" w:rsidRPr="00CC2ED3" w:rsidRDefault="00E16CAB" w:rsidP="00E16CAB">
            <w:pPr>
              <w:pStyle w:val="TableParagraph"/>
              <w:jc w:val="center"/>
              <w:rPr>
                <w:sz w:val="20"/>
                <w:szCs w:val="20"/>
              </w:rPr>
            </w:pPr>
            <w:r w:rsidRPr="00CC2ED3">
              <w:rPr>
                <w:sz w:val="20"/>
                <w:szCs w:val="20"/>
              </w:rPr>
              <w:t>(</w:t>
            </w:r>
            <w:r>
              <w:rPr>
                <w:sz w:val="20"/>
                <w:szCs w:val="20"/>
              </w:rPr>
              <w:t>0.18</w:t>
            </w:r>
            <w:r w:rsidRPr="00CC2ED3">
              <w:rPr>
                <w:sz w:val="20"/>
                <w:szCs w:val="20"/>
              </w:rPr>
              <w:t>)</w:t>
            </w:r>
          </w:p>
        </w:tc>
        <w:tc>
          <w:tcPr>
            <w:tcW w:w="1149" w:type="dxa"/>
          </w:tcPr>
          <w:p w14:paraId="0E7C050B" w14:textId="7F010984" w:rsidR="00E16CAB" w:rsidRPr="00CC2ED3" w:rsidRDefault="00E16CAB" w:rsidP="00E16CAB">
            <w:pPr>
              <w:pStyle w:val="TableParagraph"/>
              <w:jc w:val="center"/>
              <w:rPr>
                <w:sz w:val="20"/>
                <w:szCs w:val="20"/>
              </w:rPr>
            </w:pPr>
          </w:p>
        </w:tc>
        <w:tc>
          <w:tcPr>
            <w:tcW w:w="1149" w:type="dxa"/>
          </w:tcPr>
          <w:p w14:paraId="46DA24B4" w14:textId="46E3BF37" w:rsidR="00E16CAB" w:rsidRPr="00CC2ED3" w:rsidRDefault="00E16CAB" w:rsidP="00E16CAB">
            <w:pPr>
              <w:pStyle w:val="TableParagraph"/>
              <w:jc w:val="center"/>
              <w:rPr>
                <w:rFonts w:eastAsia="Calibri" w:cs="Calibri"/>
                <w:sz w:val="20"/>
                <w:szCs w:val="20"/>
              </w:rPr>
            </w:pPr>
            <w:r w:rsidRPr="00CC2ED3">
              <w:rPr>
                <w:rFonts w:eastAsia="Calibri" w:cs="Calibri"/>
                <w:sz w:val="20"/>
                <w:szCs w:val="20"/>
              </w:rPr>
              <w:t>(-3.</w:t>
            </w:r>
            <w:r>
              <w:rPr>
                <w:rFonts w:eastAsia="Calibri" w:cs="Calibri"/>
                <w:sz w:val="20"/>
                <w:szCs w:val="20"/>
              </w:rPr>
              <w:t>2</w:t>
            </w:r>
            <w:r w:rsidRPr="00CC2ED3">
              <w:rPr>
                <w:rFonts w:eastAsia="Calibri" w:cs="Calibri"/>
                <w:sz w:val="20"/>
                <w:szCs w:val="20"/>
              </w:rPr>
              <w:t>9)</w:t>
            </w:r>
          </w:p>
        </w:tc>
        <w:tc>
          <w:tcPr>
            <w:tcW w:w="1148" w:type="dxa"/>
          </w:tcPr>
          <w:p w14:paraId="39BEDF96" w14:textId="47F6FDD1" w:rsidR="00E16CAB" w:rsidRPr="00CC2ED3" w:rsidRDefault="00E16CAB" w:rsidP="00E16CAB">
            <w:pPr>
              <w:jc w:val="center"/>
              <w:rPr>
                <w:sz w:val="20"/>
                <w:szCs w:val="20"/>
              </w:rPr>
            </w:pPr>
            <w:r w:rsidRPr="00CC2ED3">
              <w:rPr>
                <w:sz w:val="20"/>
                <w:szCs w:val="20"/>
              </w:rPr>
              <w:t>(</w:t>
            </w:r>
            <w:r>
              <w:rPr>
                <w:sz w:val="20"/>
                <w:szCs w:val="20"/>
              </w:rPr>
              <w:t>2.47</w:t>
            </w:r>
            <w:r w:rsidRPr="00CC2ED3">
              <w:rPr>
                <w:sz w:val="20"/>
                <w:szCs w:val="20"/>
              </w:rPr>
              <w:t>)</w:t>
            </w:r>
          </w:p>
        </w:tc>
        <w:tc>
          <w:tcPr>
            <w:tcW w:w="1149" w:type="dxa"/>
          </w:tcPr>
          <w:p w14:paraId="6A94614B" w14:textId="29E1D865" w:rsidR="00E16CAB" w:rsidRPr="00CC2ED3" w:rsidRDefault="00E16CAB" w:rsidP="00E16CAB">
            <w:pPr>
              <w:jc w:val="center"/>
              <w:rPr>
                <w:sz w:val="20"/>
                <w:szCs w:val="20"/>
              </w:rPr>
            </w:pPr>
            <w:r w:rsidRPr="00CC2ED3">
              <w:rPr>
                <w:sz w:val="20"/>
                <w:szCs w:val="20"/>
              </w:rPr>
              <w:t>(</w:t>
            </w:r>
            <w:r>
              <w:rPr>
                <w:sz w:val="20"/>
                <w:szCs w:val="20"/>
              </w:rPr>
              <w:t>0.50</w:t>
            </w:r>
            <w:r w:rsidRPr="00CC2ED3">
              <w:rPr>
                <w:sz w:val="20"/>
                <w:szCs w:val="20"/>
              </w:rPr>
              <w:t>)</w:t>
            </w:r>
          </w:p>
        </w:tc>
        <w:tc>
          <w:tcPr>
            <w:tcW w:w="1149" w:type="dxa"/>
          </w:tcPr>
          <w:p w14:paraId="59657859" w14:textId="76F48351" w:rsidR="00E16CAB" w:rsidRPr="00CC2ED3" w:rsidRDefault="00E16CAB" w:rsidP="00E16CAB">
            <w:pPr>
              <w:jc w:val="center"/>
              <w:rPr>
                <w:sz w:val="20"/>
                <w:szCs w:val="20"/>
              </w:rPr>
            </w:pPr>
            <w:r w:rsidRPr="00CC2ED3">
              <w:rPr>
                <w:sz w:val="20"/>
                <w:szCs w:val="20"/>
              </w:rPr>
              <w:t>(-</w:t>
            </w:r>
            <w:r>
              <w:rPr>
                <w:sz w:val="20"/>
                <w:szCs w:val="20"/>
              </w:rPr>
              <w:t>0.29</w:t>
            </w:r>
            <w:r w:rsidRPr="00CC2ED3">
              <w:rPr>
                <w:sz w:val="20"/>
                <w:szCs w:val="20"/>
              </w:rPr>
              <w:t>)</w:t>
            </w:r>
          </w:p>
        </w:tc>
        <w:tc>
          <w:tcPr>
            <w:tcW w:w="1149" w:type="dxa"/>
          </w:tcPr>
          <w:p w14:paraId="24C6E313" w14:textId="7E529F54" w:rsidR="00E16CAB" w:rsidRPr="00CC2ED3" w:rsidRDefault="00E16CAB" w:rsidP="00E16CAB">
            <w:pPr>
              <w:jc w:val="center"/>
              <w:rPr>
                <w:sz w:val="20"/>
                <w:szCs w:val="20"/>
              </w:rPr>
            </w:pPr>
            <w:r w:rsidRPr="00CC2ED3">
              <w:rPr>
                <w:sz w:val="20"/>
                <w:szCs w:val="20"/>
              </w:rPr>
              <w:t>(</w:t>
            </w:r>
            <w:r>
              <w:rPr>
                <w:sz w:val="20"/>
                <w:szCs w:val="20"/>
              </w:rPr>
              <w:t>3.20</w:t>
            </w:r>
            <w:r w:rsidRPr="00CC2ED3">
              <w:rPr>
                <w:sz w:val="20"/>
                <w:szCs w:val="20"/>
              </w:rPr>
              <w:t>)</w:t>
            </w:r>
          </w:p>
        </w:tc>
        <w:tc>
          <w:tcPr>
            <w:tcW w:w="1149" w:type="dxa"/>
          </w:tcPr>
          <w:p w14:paraId="7D02033A" w14:textId="77777777" w:rsidR="00E16CAB" w:rsidRPr="00CC2ED3" w:rsidRDefault="00E16CAB" w:rsidP="00E16CAB">
            <w:pPr>
              <w:jc w:val="center"/>
              <w:rPr>
                <w:sz w:val="20"/>
                <w:szCs w:val="20"/>
              </w:rPr>
            </w:pPr>
          </w:p>
        </w:tc>
        <w:tc>
          <w:tcPr>
            <w:tcW w:w="1149" w:type="dxa"/>
          </w:tcPr>
          <w:p w14:paraId="5142B22B" w14:textId="77777777" w:rsidR="00E16CAB" w:rsidRPr="00A976EA" w:rsidRDefault="00E16CAB" w:rsidP="00E16CAB">
            <w:pPr>
              <w:jc w:val="center"/>
              <w:rPr>
                <w:sz w:val="20"/>
                <w:szCs w:val="20"/>
              </w:rPr>
            </w:pPr>
          </w:p>
        </w:tc>
      </w:tr>
      <w:tr w:rsidR="00E16CAB" w:rsidRPr="00CC2ED3" w14:paraId="63998FA7" w14:textId="77777777" w:rsidTr="00CC2ED3">
        <w:trPr>
          <w:trHeight w:hRule="exact" w:val="271"/>
          <w:jc w:val="center"/>
        </w:trPr>
        <w:tc>
          <w:tcPr>
            <w:tcW w:w="1148" w:type="dxa"/>
          </w:tcPr>
          <w:p w14:paraId="78845D2F" w14:textId="5D47578A" w:rsidR="00E16CAB" w:rsidRPr="00CC2ED3" w:rsidRDefault="00E16CAB" w:rsidP="00E16CAB">
            <w:pPr>
              <w:pStyle w:val="TableParagraph"/>
              <w:jc w:val="center"/>
              <w:rPr>
                <w:sz w:val="20"/>
                <w:szCs w:val="20"/>
              </w:rPr>
            </w:pPr>
            <w:r>
              <w:rPr>
                <w:sz w:val="20"/>
                <w:szCs w:val="20"/>
              </w:rPr>
              <w:t>57.449</w:t>
            </w:r>
          </w:p>
        </w:tc>
        <w:tc>
          <w:tcPr>
            <w:tcW w:w="1149" w:type="dxa"/>
          </w:tcPr>
          <w:p w14:paraId="08F7BB8E" w14:textId="475AF125" w:rsidR="00E16CAB" w:rsidRPr="00CC2ED3" w:rsidRDefault="00E16CAB" w:rsidP="00E16CAB">
            <w:pPr>
              <w:pStyle w:val="TableParagraph"/>
              <w:jc w:val="center"/>
              <w:rPr>
                <w:sz w:val="20"/>
                <w:szCs w:val="20"/>
              </w:rPr>
            </w:pPr>
            <w:r>
              <w:rPr>
                <w:sz w:val="20"/>
                <w:szCs w:val="20"/>
              </w:rPr>
              <w:t>5.358</w:t>
            </w:r>
          </w:p>
        </w:tc>
        <w:tc>
          <w:tcPr>
            <w:tcW w:w="1149" w:type="dxa"/>
          </w:tcPr>
          <w:p w14:paraId="22E2E438" w14:textId="15E60AE1" w:rsidR="00E16CAB" w:rsidRPr="00CC2ED3" w:rsidRDefault="00E16CAB" w:rsidP="00E16CAB">
            <w:pPr>
              <w:pStyle w:val="TableParagraph"/>
              <w:jc w:val="center"/>
              <w:rPr>
                <w:sz w:val="20"/>
                <w:szCs w:val="20"/>
              </w:rPr>
            </w:pPr>
            <w:r w:rsidRPr="00CC2ED3">
              <w:rPr>
                <w:sz w:val="20"/>
                <w:szCs w:val="20"/>
              </w:rPr>
              <w:t>-0.</w:t>
            </w:r>
            <w:r>
              <w:rPr>
                <w:sz w:val="20"/>
                <w:szCs w:val="20"/>
              </w:rPr>
              <w:t>376</w:t>
            </w:r>
          </w:p>
        </w:tc>
        <w:tc>
          <w:tcPr>
            <w:tcW w:w="1149" w:type="dxa"/>
          </w:tcPr>
          <w:p w14:paraId="755A0392" w14:textId="7AED6205" w:rsidR="00E16CAB" w:rsidRPr="00CC2ED3" w:rsidRDefault="00E16CAB" w:rsidP="00E16CAB">
            <w:pPr>
              <w:pStyle w:val="TableParagraph"/>
              <w:jc w:val="center"/>
              <w:rPr>
                <w:sz w:val="20"/>
                <w:szCs w:val="20"/>
              </w:rPr>
            </w:pPr>
            <w:r>
              <w:rPr>
                <w:sz w:val="20"/>
                <w:szCs w:val="20"/>
              </w:rPr>
              <w:t>10.564</w:t>
            </w:r>
          </w:p>
        </w:tc>
        <w:tc>
          <w:tcPr>
            <w:tcW w:w="1149" w:type="dxa"/>
          </w:tcPr>
          <w:p w14:paraId="1947DFF8" w14:textId="47345AB0" w:rsidR="00E16CAB" w:rsidRPr="00CC2ED3" w:rsidRDefault="00E16CAB" w:rsidP="00E16CAB">
            <w:pPr>
              <w:pStyle w:val="TableParagraph"/>
              <w:jc w:val="center"/>
              <w:rPr>
                <w:sz w:val="20"/>
                <w:szCs w:val="20"/>
              </w:rPr>
            </w:pPr>
            <w:r>
              <w:rPr>
                <w:sz w:val="20"/>
                <w:szCs w:val="20"/>
              </w:rPr>
              <w:t>12.971</w:t>
            </w:r>
          </w:p>
        </w:tc>
        <w:tc>
          <w:tcPr>
            <w:tcW w:w="1149" w:type="dxa"/>
          </w:tcPr>
          <w:p w14:paraId="7567DE2B" w14:textId="1F4910FD" w:rsidR="00E16CAB" w:rsidRPr="00CC2ED3" w:rsidRDefault="00E16CAB" w:rsidP="00E16CAB">
            <w:pPr>
              <w:pStyle w:val="TableParagraph"/>
              <w:jc w:val="center"/>
              <w:rPr>
                <w:rFonts w:eastAsia="Calibri" w:cs="Calibri"/>
                <w:sz w:val="20"/>
                <w:szCs w:val="20"/>
              </w:rPr>
            </w:pPr>
            <w:r w:rsidRPr="00CC2ED3">
              <w:rPr>
                <w:rFonts w:eastAsia="Calibri" w:cs="Calibri"/>
                <w:sz w:val="20"/>
                <w:szCs w:val="20"/>
              </w:rPr>
              <w:t>-</w:t>
            </w:r>
            <w:r>
              <w:rPr>
                <w:rFonts w:eastAsia="Calibri" w:cs="Calibri"/>
                <w:sz w:val="20"/>
                <w:szCs w:val="20"/>
              </w:rPr>
              <w:t>60.527</w:t>
            </w:r>
          </w:p>
        </w:tc>
        <w:tc>
          <w:tcPr>
            <w:tcW w:w="1148" w:type="dxa"/>
          </w:tcPr>
          <w:p w14:paraId="2CC316DA" w14:textId="5ED19D9C" w:rsidR="00E16CAB" w:rsidRPr="00CC2ED3" w:rsidRDefault="00E16CAB" w:rsidP="00E16CAB">
            <w:pPr>
              <w:jc w:val="center"/>
              <w:rPr>
                <w:sz w:val="20"/>
                <w:szCs w:val="20"/>
              </w:rPr>
            </w:pPr>
            <w:r w:rsidRPr="00CC2ED3">
              <w:rPr>
                <w:sz w:val="20"/>
                <w:szCs w:val="20"/>
              </w:rPr>
              <w:t>-</w:t>
            </w:r>
            <w:r>
              <w:rPr>
                <w:sz w:val="20"/>
                <w:szCs w:val="20"/>
              </w:rPr>
              <w:t>63.771</w:t>
            </w:r>
          </w:p>
        </w:tc>
        <w:tc>
          <w:tcPr>
            <w:tcW w:w="1149" w:type="dxa"/>
          </w:tcPr>
          <w:p w14:paraId="53506D28" w14:textId="45912C41" w:rsidR="00E16CAB" w:rsidRPr="00CC2ED3" w:rsidRDefault="00E16CAB" w:rsidP="00E16CAB">
            <w:pPr>
              <w:jc w:val="center"/>
              <w:rPr>
                <w:sz w:val="20"/>
                <w:szCs w:val="20"/>
              </w:rPr>
            </w:pPr>
            <w:r w:rsidRPr="00CC2ED3">
              <w:rPr>
                <w:sz w:val="20"/>
                <w:szCs w:val="20"/>
              </w:rPr>
              <w:t>-</w:t>
            </w:r>
            <w:r>
              <w:rPr>
                <w:sz w:val="20"/>
                <w:szCs w:val="20"/>
              </w:rPr>
              <w:t>81.240</w:t>
            </w:r>
          </w:p>
        </w:tc>
        <w:tc>
          <w:tcPr>
            <w:tcW w:w="1149" w:type="dxa"/>
          </w:tcPr>
          <w:p w14:paraId="4F7867B4" w14:textId="0549B3A2" w:rsidR="00E16CAB" w:rsidRPr="00CC2ED3" w:rsidRDefault="00E16CAB" w:rsidP="00E16CAB">
            <w:pPr>
              <w:jc w:val="center"/>
              <w:rPr>
                <w:sz w:val="20"/>
                <w:szCs w:val="20"/>
              </w:rPr>
            </w:pPr>
            <w:r w:rsidRPr="00CC2ED3">
              <w:rPr>
                <w:sz w:val="20"/>
                <w:szCs w:val="20"/>
              </w:rPr>
              <w:t>-</w:t>
            </w:r>
            <w:r>
              <w:rPr>
                <w:sz w:val="20"/>
                <w:szCs w:val="20"/>
              </w:rPr>
              <w:t>125.17</w:t>
            </w:r>
          </w:p>
        </w:tc>
        <w:tc>
          <w:tcPr>
            <w:tcW w:w="1149" w:type="dxa"/>
          </w:tcPr>
          <w:p w14:paraId="592F4BDE" w14:textId="6E74B05D" w:rsidR="00E16CAB" w:rsidRPr="00CC2ED3" w:rsidRDefault="00E16CAB" w:rsidP="00E16CAB">
            <w:pPr>
              <w:jc w:val="center"/>
              <w:rPr>
                <w:sz w:val="20"/>
                <w:szCs w:val="20"/>
              </w:rPr>
            </w:pPr>
            <w:r w:rsidRPr="00CC2ED3">
              <w:rPr>
                <w:sz w:val="20"/>
                <w:szCs w:val="20"/>
              </w:rPr>
              <w:t>0.</w:t>
            </w:r>
            <w:r>
              <w:rPr>
                <w:sz w:val="20"/>
                <w:szCs w:val="20"/>
              </w:rPr>
              <w:t>072</w:t>
            </w:r>
          </w:p>
        </w:tc>
        <w:tc>
          <w:tcPr>
            <w:tcW w:w="1149" w:type="dxa"/>
          </w:tcPr>
          <w:p w14:paraId="067E5792" w14:textId="23097E66" w:rsidR="00E16CAB" w:rsidRPr="00CC2ED3" w:rsidRDefault="00E16CAB" w:rsidP="00E16CAB">
            <w:pPr>
              <w:jc w:val="center"/>
              <w:rPr>
                <w:sz w:val="20"/>
                <w:szCs w:val="20"/>
              </w:rPr>
            </w:pPr>
            <w:r w:rsidRPr="00CC2ED3">
              <w:rPr>
                <w:sz w:val="20"/>
                <w:szCs w:val="20"/>
              </w:rPr>
              <w:t>0.</w:t>
            </w:r>
            <w:r>
              <w:rPr>
                <w:sz w:val="20"/>
                <w:szCs w:val="20"/>
              </w:rPr>
              <w:t>9</w:t>
            </w:r>
            <w:r w:rsidRPr="00CC2ED3">
              <w:rPr>
                <w:sz w:val="20"/>
                <w:szCs w:val="20"/>
              </w:rPr>
              <w:t>9</w:t>
            </w:r>
          </w:p>
        </w:tc>
        <w:tc>
          <w:tcPr>
            <w:tcW w:w="1149" w:type="dxa"/>
          </w:tcPr>
          <w:p w14:paraId="37F2404D" w14:textId="38527B69" w:rsidR="00E16CAB" w:rsidRPr="00A976EA" w:rsidRDefault="00E16CAB" w:rsidP="00E16CAB">
            <w:pPr>
              <w:jc w:val="center"/>
              <w:rPr>
                <w:sz w:val="20"/>
                <w:szCs w:val="20"/>
              </w:rPr>
            </w:pPr>
            <w:r w:rsidRPr="00A976EA">
              <w:rPr>
                <w:sz w:val="20"/>
                <w:szCs w:val="20"/>
              </w:rPr>
              <w:t>1.96</w:t>
            </w:r>
          </w:p>
        </w:tc>
      </w:tr>
      <w:tr w:rsidR="00E16CAB" w:rsidRPr="00CC2ED3" w14:paraId="46F5E773" w14:textId="77777777" w:rsidTr="00CC2ED3">
        <w:trPr>
          <w:trHeight w:hRule="exact" w:val="271"/>
          <w:jc w:val="center"/>
        </w:trPr>
        <w:tc>
          <w:tcPr>
            <w:tcW w:w="1148" w:type="dxa"/>
          </w:tcPr>
          <w:p w14:paraId="3D842C5B" w14:textId="727D9209" w:rsidR="00E16CAB" w:rsidRPr="00CC2ED3" w:rsidRDefault="00E16CAB" w:rsidP="00E16CAB">
            <w:pPr>
              <w:pStyle w:val="TableParagraph"/>
              <w:jc w:val="center"/>
              <w:rPr>
                <w:sz w:val="20"/>
                <w:szCs w:val="20"/>
              </w:rPr>
            </w:pPr>
            <w:r w:rsidRPr="00CC2ED3">
              <w:rPr>
                <w:sz w:val="20"/>
                <w:szCs w:val="20"/>
              </w:rPr>
              <w:t>(</w:t>
            </w:r>
            <w:r>
              <w:rPr>
                <w:sz w:val="20"/>
                <w:szCs w:val="20"/>
              </w:rPr>
              <w:t>1.18</w:t>
            </w:r>
            <w:r w:rsidRPr="00CC2ED3">
              <w:rPr>
                <w:sz w:val="20"/>
                <w:szCs w:val="20"/>
              </w:rPr>
              <w:t>)</w:t>
            </w:r>
          </w:p>
        </w:tc>
        <w:tc>
          <w:tcPr>
            <w:tcW w:w="1149" w:type="dxa"/>
          </w:tcPr>
          <w:p w14:paraId="12A66F63" w14:textId="3F4D60B7" w:rsidR="00E16CAB" w:rsidRPr="00CC2ED3" w:rsidRDefault="00E16CAB" w:rsidP="00E16CAB">
            <w:pPr>
              <w:pStyle w:val="TableParagraph"/>
              <w:jc w:val="center"/>
              <w:rPr>
                <w:sz w:val="20"/>
                <w:szCs w:val="20"/>
              </w:rPr>
            </w:pPr>
            <w:r w:rsidRPr="00CC2ED3">
              <w:rPr>
                <w:sz w:val="20"/>
                <w:szCs w:val="20"/>
              </w:rPr>
              <w:t>(</w:t>
            </w:r>
            <w:r>
              <w:rPr>
                <w:sz w:val="20"/>
                <w:szCs w:val="20"/>
              </w:rPr>
              <w:t>9.39</w:t>
            </w:r>
            <w:r w:rsidRPr="00CC2ED3">
              <w:rPr>
                <w:sz w:val="20"/>
                <w:szCs w:val="20"/>
              </w:rPr>
              <w:t>)</w:t>
            </w:r>
          </w:p>
        </w:tc>
        <w:tc>
          <w:tcPr>
            <w:tcW w:w="1149" w:type="dxa"/>
          </w:tcPr>
          <w:p w14:paraId="160BD1A7" w14:textId="78153B08" w:rsidR="00E16CAB" w:rsidRPr="00CC2ED3" w:rsidRDefault="00E16CAB" w:rsidP="00E16CAB">
            <w:pPr>
              <w:pStyle w:val="TableParagraph"/>
              <w:jc w:val="center"/>
              <w:rPr>
                <w:sz w:val="20"/>
                <w:szCs w:val="20"/>
              </w:rPr>
            </w:pPr>
            <w:r w:rsidRPr="00CC2ED3">
              <w:rPr>
                <w:sz w:val="20"/>
                <w:szCs w:val="20"/>
              </w:rPr>
              <w:t>(-1.</w:t>
            </w:r>
            <w:r>
              <w:rPr>
                <w:sz w:val="20"/>
                <w:szCs w:val="20"/>
              </w:rPr>
              <w:t>49</w:t>
            </w:r>
            <w:r w:rsidRPr="00CC2ED3">
              <w:rPr>
                <w:sz w:val="20"/>
                <w:szCs w:val="20"/>
              </w:rPr>
              <w:t>)</w:t>
            </w:r>
          </w:p>
        </w:tc>
        <w:tc>
          <w:tcPr>
            <w:tcW w:w="1149" w:type="dxa"/>
          </w:tcPr>
          <w:p w14:paraId="5E76BF58" w14:textId="1539C238" w:rsidR="00E16CAB" w:rsidRPr="00CC2ED3" w:rsidRDefault="00E16CAB" w:rsidP="00E16CAB">
            <w:pPr>
              <w:pStyle w:val="TableParagraph"/>
              <w:jc w:val="center"/>
              <w:rPr>
                <w:sz w:val="20"/>
                <w:szCs w:val="20"/>
              </w:rPr>
            </w:pPr>
            <w:r w:rsidRPr="00CC2ED3">
              <w:rPr>
                <w:sz w:val="20"/>
                <w:szCs w:val="20"/>
              </w:rPr>
              <w:t>(</w:t>
            </w:r>
            <w:r>
              <w:rPr>
                <w:sz w:val="20"/>
                <w:szCs w:val="20"/>
              </w:rPr>
              <w:t>0.45</w:t>
            </w:r>
            <w:r w:rsidRPr="00CC2ED3">
              <w:rPr>
                <w:sz w:val="20"/>
                <w:szCs w:val="20"/>
              </w:rPr>
              <w:t>)</w:t>
            </w:r>
          </w:p>
        </w:tc>
        <w:tc>
          <w:tcPr>
            <w:tcW w:w="1149" w:type="dxa"/>
          </w:tcPr>
          <w:p w14:paraId="0C977E58" w14:textId="7F70C68E" w:rsidR="00E16CAB" w:rsidRPr="00CC2ED3" w:rsidRDefault="00E16CAB" w:rsidP="00E16CAB">
            <w:pPr>
              <w:pStyle w:val="TableParagraph"/>
              <w:jc w:val="center"/>
              <w:rPr>
                <w:sz w:val="20"/>
                <w:szCs w:val="20"/>
              </w:rPr>
            </w:pPr>
            <w:r w:rsidRPr="00CC2ED3">
              <w:rPr>
                <w:sz w:val="20"/>
                <w:szCs w:val="20"/>
              </w:rPr>
              <w:t>(</w:t>
            </w:r>
            <w:r>
              <w:rPr>
                <w:sz w:val="20"/>
                <w:szCs w:val="20"/>
              </w:rPr>
              <w:t>5.03</w:t>
            </w:r>
            <w:r w:rsidRPr="00CC2ED3">
              <w:rPr>
                <w:sz w:val="20"/>
                <w:szCs w:val="20"/>
              </w:rPr>
              <w:t>)</w:t>
            </w:r>
          </w:p>
        </w:tc>
        <w:tc>
          <w:tcPr>
            <w:tcW w:w="1149" w:type="dxa"/>
          </w:tcPr>
          <w:p w14:paraId="2AD6B49C" w14:textId="4C012329" w:rsidR="00E16CAB" w:rsidRPr="00CC2ED3" w:rsidRDefault="00E16CAB" w:rsidP="00E16CAB">
            <w:pPr>
              <w:pStyle w:val="TableParagraph"/>
              <w:jc w:val="center"/>
              <w:rPr>
                <w:rFonts w:eastAsia="Calibri" w:cs="Calibri"/>
                <w:sz w:val="20"/>
                <w:szCs w:val="20"/>
              </w:rPr>
            </w:pPr>
            <w:r w:rsidRPr="00CC2ED3">
              <w:rPr>
                <w:rFonts w:eastAsia="Calibri" w:cs="Calibri"/>
                <w:sz w:val="20"/>
                <w:szCs w:val="20"/>
              </w:rPr>
              <w:t>(-</w:t>
            </w:r>
            <w:r>
              <w:rPr>
                <w:rFonts w:eastAsia="Calibri" w:cs="Calibri"/>
                <w:sz w:val="20"/>
                <w:szCs w:val="20"/>
              </w:rPr>
              <w:t>1.30</w:t>
            </w:r>
            <w:r w:rsidRPr="00CC2ED3">
              <w:rPr>
                <w:rFonts w:eastAsia="Calibri" w:cs="Calibri"/>
                <w:sz w:val="20"/>
                <w:szCs w:val="20"/>
              </w:rPr>
              <w:t>)</w:t>
            </w:r>
          </w:p>
        </w:tc>
        <w:tc>
          <w:tcPr>
            <w:tcW w:w="1148" w:type="dxa"/>
          </w:tcPr>
          <w:p w14:paraId="09DB98D2" w14:textId="32066EC0" w:rsidR="00E16CAB" w:rsidRPr="00CC2ED3" w:rsidRDefault="00E16CAB" w:rsidP="00E16CAB">
            <w:pPr>
              <w:jc w:val="center"/>
              <w:rPr>
                <w:sz w:val="20"/>
                <w:szCs w:val="20"/>
              </w:rPr>
            </w:pPr>
            <w:r w:rsidRPr="00CC2ED3">
              <w:rPr>
                <w:sz w:val="20"/>
                <w:szCs w:val="20"/>
              </w:rPr>
              <w:t>(-</w:t>
            </w:r>
            <w:r>
              <w:rPr>
                <w:sz w:val="20"/>
                <w:szCs w:val="20"/>
              </w:rPr>
              <w:t>1.52</w:t>
            </w:r>
            <w:r w:rsidRPr="00CC2ED3">
              <w:rPr>
                <w:sz w:val="20"/>
                <w:szCs w:val="20"/>
              </w:rPr>
              <w:t>)</w:t>
            </w:r>
          </w:p>
        </w:tc>
        <w:tc>
          <w:tcPr>
            <w:tcW w:w="1149" w:type="dxa"/>
          </w:tcPr>
          <w:p w14:paraId="48826317" w14:textId="3C1EC81A" w:rsidR="00E16CAB" w:rsidRPr="00CC2ED3" w:rsidRDefault="00E16CAB" w:rsidP="00E16CAB">
            <w:pPr>
              <w:jc w:val="center"/>
              <w:rPr>
                <w:sz w:val="20"/>
                <w:szCs w:val="20"/>
              </w:rPr>
            </w:pPr>
            <w:r w:rsidRPr="00CC2ED3">
              <w:rPr>
                <w:sz w:val="20"/>
                <w:szCs w:val="20"/>
              </w:rPr>
              <w:t>(-</w:t>
            </w:r>
            <w:r>
              <w:rPr>
                <w:sz w:val="20"/>
                <w:szCs w:val="20"/>
              </w:rPr>
              <w:t>2.08</w:t>
            </w:r>
            <w:r w:rsidRPr="00CC2ED3">
              <w:rPr>
                <w:sz w:val="20"/>
                <w:szCs w:val="20"/>
              </w:rPr>
              <w:t>)</w:t>
            </w:r>
          </w:p>
        </w:tc>
        <w:tc>
          <w:tcPr>
            <w:tcW w:w="1149" w:type="dxa"/>
          </w:tcPr>
          <w:p w14:paraId="4D20490A" w14:textId="4E33CEA9" w:rsidR="00E16CAB" w:rsidRPr="00CC2ED3" w:rsidRDefault="00E16CAB" w:rsidP="00E16CAB">
            <w:pPr>
              <w:jc w:val="center"/>
              <w:rPr>
                <w:sz w:val="20"/>
                <w:szCs w:val="20"/>
              </w:rPr>
            </w:pPr>
            <w:r w:rsidRPr="00CC2ED3">
              <w:rPr>
                <w:sz w:val="20"/>
                <w:szCs w:val="20"/>
              </w:rPr>
              <w:t>(-</w:t>
            </w:r>
            <w:r>
              <w:rPr>
                <w:sz w:val="20"/>
                <w:szCs w:val="20"/>
              </w:rPr>
              <w:t>3.00</w:t>
            </w:r>
            <w:r w:rsidRPr="00CC2ED3">
              <w:rPr>
                <w:sz w:val="20"/>
                <w:szCs w:val="20"/>
              </w:rPr>
              <w:t>)</w:t>
            </w:r>
          </w:p>
        </w:tc>
        <w:tc>
          <w:tcPr>
            <w:tcW w:w="1149" w:type="dxa"/>
          </w:tcPr>
          <w:p w14:paraId="6A9EDCBF" w14:textId="07D81D8A" w:rsidR="00E16CAB" w:rsidRPr="00CC2ED3" w:rsidRDefault="00E16CAB" w:rsidP="00E16CAB">
            <w:pPr>
              <w:jc w:val="center"/>
              <w:rPr>
                <w:sz w:val="20"/>
                <w:szCs w:val="20"/>
              </w:rPr>
            </w:pPr>
            <w:r w:rsidRPr="00CC2ED3">
              <w:rPr>
                <w:sz w:val="20"/>
                <w:szCs w:val="20"/>
              </w:rPr>
              <w:t>(</w:t>
            </w:r>
            <w:r>
              <w:rPr>
                <w:sz w:val="20"/>
                <w:szCs w:val="20"/>
              </w:rPr>
              <w:t>0.46</w:t>
            </w:r>
            <w:r w:rsidRPr="00CC2ED3">
              <w:rPr>
                <w:sz w:val="20"/>
                <w:szCs w:val="20"/>
              </w:rPr>
              <w:t>)</w:t>
            </w:r>
          </w:p>
        </w:tc>
        <w:tc>
          <w:tcPr>
            <w:tcW w:w="1149" w:type="dxa"/>
          </w:tcPr>
          <w:p w14:paraId="6B877C9A" w14:textId="77777777" w:rsidR="00E16CAB" w:rsidRPr="00CC2ED3" w:rsidRDefault="00E16CAB" w:rsidP="00E16CAB">
            <w:pPr>
              <w:jc w:val="center"/>
              <w:rPr>
                <w:sz w:val="20"/>
                <w:szCs w:val="20"/>
              </w:rPr>
            </w:pPr>
          </w:p>
        </w:tc>
        <w:tc>
          <w:tcPr>
            <w:tcW w:w="1149" w:type="dxa"/>
          </w:tcPr>
          <w:p w14:paraId="47C40B64" w14:textId="77777777" w:rsidR="00E16CAB" w:rsidRPr="00CC2ED3" w:rsidRDefault="00E16CAB" w:rsidP="00E16CAB">
            <w:pPr>
              <w:jc w:val="center"/>
              <w:rPr>
                <w:sz w:val="20"/>
                <w:szCs w:val="20"/>
              </w:rPr>
            </w:pPr>
          </w:p>
        </w:tc>
      </w:tr>
    </w:tbl>
    <w:p w14:paraId="4A826723" w14:textId="77777777" w:rsidR="00415DD1" w:rsidRPr="00976892" w:rsidRDefault="00415DD1" w:rsidP="00415DD1">
      <w:pPr>
        <w:tabs>
          <w:tab w:val="left" w:pos="1579"/>
          <w:tab w:val="left" w:pos="3739"/>
          <w:tab w:val="left" w:pos="5899"/>
          <w:tab w:val="left" w:pos="10219"/>
        </w:tabs>
        <w:jc w:val="center"/>
        <w:rPr>
          <w:rFonts w:eastAsia="Calibri" w:cs="Calibri"/>
          <w:sz w:val="20"/>
          <w:szCs w:val="20"/>
        </w:rPr>
      </w:pPr>
      <w:r>
        <w:rPr>
          <w:w w:val="95"/>
          <w:sz w:val="20"/>
          <w:szCs w:val="20"/>
        </w:rPr>
        <w:t>Notes: t</w:t>
      </w:r>
      <w:r w:rsidRPr="00976892">
        <w:rPr>
          <w:sz w:val="20"/>
          <w:szCs w:val="20"/>
        </w:rPr>
        <w:t>-statistics</w:t>
      </w:r>
      <w:r w:rsidRPr="00976892">
        <w:rPr>
          <w:spacing w:val="-4"/>
          <w:sz w:val="20"/>
          <w:szCs w:val="20"/>
        </w:rPr>
        <w:t xml:space="preserve"> </w:t>
      </w:r>
      <w:r w:rsidRPr="00976892">
        <w:rPr>
          <w:sz w:val="20"/>
          <w:szCs w:val="20"/>
        </w:rPr>
        <w:t>are</w:t>
      </w:r>
      <w:r w:rsidRPr="00976892">
        <w:rPr>
          <w:spacing w:val="-4"/>
          <w:sz w:val="20"/>
          <w:szCs w:val="20"/>
        </w:rPr>
        <w:t xml:space="preserve"> </w:t>
      </w:r>
      <w:r w:rsidRPr="00976892">
        <w:rPr>
          <w:sz w:val="20"/>
          <w:szCs w:val="20"/>
        </w:rPr>
        <w:t>in</w:t>
      </w:r>
      <w:r w:rsidRPr="00976892">
        <w:rPr>
          <w:spacing w:val="-4"/>
          <w:sz w:val="20"/>
          <w:szCs w:val="20"/>
        </w:rPr>
        <w:t xml:space="preserve"> </w:t>
      </w:r>
      <w:r w:rsidRPr="00976892">
        <w:rPr>
          <w:sz w:val="20"/>
          <w:szCs w:val="20"/>
        </w:rPr>
        <w:t>brackets</w:t>
      </w:r>
    </w:p>
    <w:p w14:paraId="3B675E1E" w14:textId="77777777" w:rsidR="004806F6" w:rsidRPr="00661BD2" w:rsidRDefault="004806F6" w:rsidP="00661BD2">
      <w:pPr>
        <w:jc w:val="both"/>
        <w:rPr>
          <w:rFonts w:eastAsia="Calibri" w:cs="Calibri"/>
          <w:i/>
        </w:rPr>
      </w:pPr>
    </w:p>
    <w:p w14:paraId="254A5040" w14:textId="264BF806" w:rsidR="00374E2E" w:rsidRDefault="005E31C2" w:rsidP="00374E2E">
      <w:pPr>
        <w:jc w:val="center"/>
        <w:rPr>
          <w:rFonts w:eastAsia="Calibri" w:cs="Calibri"/>
          <w:b/>
        </w:rPr>
      </w:pPr>
      <w:r>
        <w:rPr>
          <w:rFonts w:eastAsia="Calibri" w:cs="Calibri"/>
          <w:b/>
        </w:rPr>
        <w:t xml:space="preserve">Appendix </w:t>
      </w:r>
      <w:r w:rsidR="00374E2E" w:rsidRPr="006B14FA">
        <w:rPr>
          <w:rFonts w:eastAsia="Calibri" w:cs="Calibri"/>
          <w:b/>
        </w:rPr>
        <w:t>Table</w:t>
      </w:r>
      <w:r w:rsidR="00374E2E" w:rsidRPr="006B14FA">
        <w:rPr>
          <w:rFonts w:eastAsia="Calibri" w:cs="Calibri"/>
          <w:b/>
          <w:spacing w:val="-4"/>
        </w:rPr>
        <w:t xml:space="preserve"> </w:t>
      </w:r>
      <w:r w:rsidR="001E698B">
        <w:rPr>
          <w:rFonts w:eastAsia="Calibri" w:cs="Calibri"/>
          <w:b/>
          <w:spacing w:val="-4"/>
        </w:rPr>
        <w:t>4</w:t>
      </w:r>
      <w:r w:rsidR="00374E2E" w:rsidRPr="006B14FA">
        <w:rPr>
          <w:rFonts w:eastAsia="Calibri" w:cs="Calibri"/>
          <w:b/>
        </w:rPr>
        <w:t>.</w:t>
      </w:r>
      <w:r w:rsidR="00374E2E" w:rsidRPr="006B14FA">
        <w:rPr>
          <w:rFonts w:eastAsia="Calibri" w:cs="Calibri"/>
          <w:b/>
          <w:spacing w:val="-4"/>
        </w:rPr>
        <w:t xml:space="preserve"> </w:t>
      </w:r>
      <w:r w:rsidR="001E698B">
        <w:rPr>
          <w:rFonts w:eastAsia="Calibri" w:cs="Calibri"/>
          <w:b/>
          <w:spacing w:val="-4"/>
        </w:rPr>
        <w:t>AR1</w:t>
      </w:r>
      <w:r w:rsidR="00374E2E" w:rsidRPr="006B14FA">
        <w:rPr>
          <w:rFonts w:eastAsia="Calibri" w:cs="Calibri"/>
          <w:b/>
          <w:spacing w:val="-4"/>
        </w:rPr>
        <w:t xml:space="preserve"> </w:t>
      </w:r>
      <w:r w:rsidR="00BF249C">
        <w:rPr>
          <w:rFonts w:eastAsia="Calibri" w:cs="Calibri"/>
          <w:b/>
          <w:spacing w:val="-4"/>
        </w:rPr>
        <w:t>e</w:t>
      </w:r>
      <w:r w:rsidR="00374E2E" w:rsidRPr="006B14FA">
        <w:rPr>
          <w:rFonts w:eastAsia="Calibri" w:cs="Calibri"/>
          <w:b/>
        </w:rPr>
        <w:t>stimates</w:t>
      </w:r>
      <w:r w:rsidR="00374E2E" w:rsidRPr="006B14FA">
        <w:rPr>
          <w:rFonts w:eastAsia="Calibri" w:cs="Calibri"/>
          <w:b/>
          <w:spacing w:val="-4"/>
        </w:rPr>
        <w:t xml:space="preserve"> </w:t>
      </w:r>
      <w:r w:rsidR="00374E2E" w:rsidRPr="006B14FA">
        <w:rPr>
          <w:rFonts w:eastAsia="Calibri" w:cs="Calibri"/>
          <w:b/>
        </w:rPr>
        <w:t>for</w:t>
      </w:r>
      <w:r w:rsidR="00374E2E" w:rsidRPr="006B14FA">
        <w:rPr>
          <w:rFonts w:eastAsia="Calibri" w:cs="Calibri"/>
          <w:b/>
          <w:spacing w:val="-4"/>
        </w:rPr>
        <w:t xml:space="preserve"> </w:t>
      </w:r>
      <w:r w:rsidR="00BF249C">
        <w:rPr>
          <w:rFonts w:eastAsia="Calibri" w:cs="Calibri"/>
          <w:b/>
          <w:spacing w:val="-4"/>
        </w:rPr>
        <w:t>r</w:t>
      </w:r>
      <w:r w:rsidR="00374E2E" w:rsidRPr="006B14FA">
        <w:rPr>
          <w:rFonts w:eastAsia="Calibri" w:cs="Calibri"/>
          <w:b/>
        </w:rPr>
        <w:t>eal</w:t>
      </w:r>
      <w:r w:rsidR="00374E2E" w:rsidRPr="006B14FA">
        <w:rPr>
          <w:rFonts w:eastAsia="Calibri" w:cs="Calibri"/>
          <w:b/>
          <w:spacing w:val="-4"/>
        </w:rPr>
        <w:t xml:space="preserve"> </w:t>
      </w:r>
      <w:r w:rsidR="005413C1">
        <w:rPr>
          <w:rFonts w:eastAsia="Calibri" w:cs="Calibri"/>
          <w:b/>
          <w:spacing w:val="-4"/>
        </w:rPr>
        <w:t xml:space="preserve">domestic </w:t>
      </w:r>
      <w:r w:rsidR="00BF249C">
        <w:rPr>
          <w:rFonts w:eastAsia="Calibri" w:cs="Calibri"/>
          <w:b/>
          <w:spacing w:val="-4"/>
        </w:rPr>
        <w:t>l</w:t>
      </w:r>
      <w:r w:rsidR="00374E2E">
        <w:rPr>
          <w:rFonts w:eastAsia="Calibri" w:cs="Calibri"/>
          <w:b/>
          <w:spacing w:val="-4"/>
        </w:rPr>
        <w:t>amb</w:t>
      </w:r>
      <w:r w:rsidR="00374E2E" w:rsidRPr="006B14FA">
        <w:rPr>
          <w:rFonts w:eastAsia="Calibri" w:cs="Calibri"/>
          <w:b/>
          <w:spacing w:val="-4"/>
        </w:rPr>
        <w:t xml:space="preserve"> </w:t>
      </w:r>
      <w:r w:rsidR="00BF249C">
        <w:rPr>
          <w:rFonts w:eastAsia="Calibri" w:cs="Calibri"/>
          <w:b/>
          <w:spacing w:val="-4"/>
        </w:rPr>
        <w:t>m</w:t>
      </w:r>
      <w:r w:rsidR="00374E2E" w:rsidRPr="006B14FA">
        <w:rPr>
          <w:rFonts w:eastAsia="Calibri" w:cs="Calibri"/>
          <w:b/>
        </w:rPr>
        <w:t>argin</w:t>
      </w:r>
      <w:r w:rsidR="00374E2E" w:rsidRPr="006B14FA">
        <w:rPr>
          <w:rFonts w:eastAsia="Calibri" w:cs="Calibri"/>
          <w:b/>
          <w:spacing w:val="-4"/>
        </w:rPr>
        <w:t xml:space="preserve"> </w:t>
      </w:r>
      <w:r w:rsidR="00BF249C">
        <w:rPr>
          <w:rFonts w:eastAsia="Calibri" w:cs="Calibri"/>
          <w:b/>
          <w:spacing w:val="-4"/>
        </w:rPr>
        <w:t>e</w:t>
      </w:r>
      <w:r w:rsidR="00374E2E" w:rsidRPr="006B14FA">
        <w:rPr>
          <w:rFonts w:eastAsia="Calibri" w:cs="Calibri"/>
          <w:b/>
        </w:rPr>
        <w:t>quations</w:t>
      </w:r>
      <w:r w:rsidR="00374E2E" w:rsidRPr="006B14FA">
        <w:rPr>
          <w:rFonts w:eastAsia="Calibri" w:cs="Calibri"/>
          <w:b/>
          <w:spacing w:val="-4"/>
        </w:rPr>
        <w:t xml:space="preserve"> </w:t>
      </w:r>
      <w:r w:rsidR="00374E2E" w:rsidRPr="006B14FA">
        <w:rPr>
          <w:rFonts w:eastAsia="Calibri" w:cs="Calibri"/>
          <w:b/>
        </w:rPr>
        <w:t>197</w:t>
      </w:r>
      <w:r w:rsidR="003174F3">
        <w:rPr>
          <w:rFonts w:eastAsia="Calibri" w:cs="Calibri"/>
          <w:b/>
        </w:rPr>
        <w:t>6</w:t>
      </w:r>
      <w:r w:rsidR="00374E2E" w:rsidRPr="006B14FA">
        <w:rPr>
          <w:rFonts w:eastAsia="Calibri" w:cs="Calibri"/>
          <w:b/>
          <w:spacing w:val="-4"/>
        </w:rPr>
        <w:t xml:space="preserve"> </w:t>
      </w:r>
      <w:r w:rsidR="00374E2E" w:rsidRPr="006B14FA">
        <w:rPr>
          <w:rFonts w:eastAsia="Calibri" w:cs="Calibri"/>
          <w:b/>
        </w:rPr>
        <w:t>–</w:t>
      </w:r>
      <w:r w:rsidR="00374E2E" w:rsidRPr="006B14FA">
        <w:rPr>
          <w:rFonts w:eastAsia="Calibri" w:cs="Calibri"/>
          <w:b/>
          <w:spacing w:val="-4"/>
        </w:rPr>
        <w:t xml:space="preserve"> </w:t>
      </w:r>
      <w:r w:rsidR="00374E2E" w:rsidRPr="006B14FA">
        <w:rPr>
          <w:rFonts w:eastAsia="Calibri" w:cs="Calibri"/>
          <w:b/>
        </w:rPr>
        <w:t>20</w:t>
      </w:r>
      <w:r w:rsidR="003174F3">
        <w:rPr>
          <w:rFonts w:eastAsia="Calibri" w:cs="Calibri"/>
          <w:b/>
        </w:rPr>
        <w:t>21</w:t>
      </w:r>
    </w:p>
    <w:p w14:paraId="1366674A" w14:textId="77777777" w:rsidR="00031498" w:rsidRPr="00661BD2" w:rsidRDefault="00031498" w:rsidP="00374E2E">
      <w:pPr>
        <w:jc w:val="center"/>
        <w:rPr>
          <w:rFonts w:eastAsia="Calibri" w:cs="Calibri"/>
        </w:rPr>
      </w:pPr>
    </w:p>
    <w:tbl>
      <w:tblPr>
        <w:tblW w:w="12637" w:type="dxa"/>
        <w:jc w:val="center"/>
        <w:tblBorders>
          <w:top w:val="single" w:sz="4" w:space="0" w:color="BFBFBF"/>
          <w:bottom w:val="single" w:sz="4" w:space="0" w:color="BFBFBF"/>
          <w:insideH w:val="single" w:sz="4" w:space="0" w:color="BFBFBF"/>
        </w:tblBorders>
        <w:tblLayout w:type="fixed"/>
        <w:tblCellMar>
          <w:left w:w="0" w:type="dxa"/>
          <w:right w:w="0" w:type="dxa"/>
        </w:tblCellMar>
        <w:tblLook w:val="01E0" w:firstRow="1" w:lastRow="1" w:firstColumn="1" w:lastColumn="1" w:noHBand="0" w:noVBand="0"/>
      </w:tblPr>
      <w:tblGrid>
        <w:gridCol w:w="1148"/>
        <w:gridCol w:w="1149"/>
        <w:gridCol w:w="1149"/>
        <w:gridCol w:w="1149"/>
        <w:gridCol w:w="1149"/>
        <w:gridCol w:w="1148"/>
        <w:gridCol w:w="1149"/>
        <w:gridCol w:w="1149"/>
        <w:gridCol w:w="1149"/>
        <w:gridCol w:w="1149"/>
        <w:gridCol w:w="1149"/>
      </w:tblGrid>
      <w:tr w:rsidR="00374E2E" w:rsidRPr="00CC2ED3" w14:paraId="563C912B" w14:textId="77777777" w:rsidTr="00CC2ED3">
        <w:trPr>
          <w:trHeight w:hRule="exact" w:val="271"/>
          <w:jc w:val="center"/>
        </w:trPr>
        <w:tc>
          <w:tcPr>
            <w:tcW w:w="1148" w:type="dxa"/>
          </w:tcPr>
          <w:p w14:paraId="2EF56D62" w14:textId="77777777" w:rsidR="00374E2E" w:rsidRPr="00CC2ED3" w:rsidRDefault="00374E2E" w:rsidP="00B437CB">
            <w:pPr>
              <w:pStyle w:val="TableParagraph"/>
              <w:jc w:val="right"/>
              <w:rPr>
                <w:rFonts w:eastAsia="Calibri" w:cs="Calibri"/>
                <w:sz w:val="20"/>
                <w:szCs w:val="20"/>
              </w:rPr>
            </w:pPr>
            <w:r w:rsidRPr="00CC2ED3">
              <w:rPr>
                <w:b/>
                <w:sz w:val="20"/>
                <w:szCs w:val="20"/>
              </w:rPr>
              <w:t>Constant</w:t>
            </w:r>
          </w:p>
        </w:tc>
        <w:tc>
          <w:tcPr>
            <w:tcW w:w="1149" w:type="dxa"/>
          </w:tcPr>
          <w:p w14:paraId="1872230B" w14:textId="77777777" w:rsidR="00374E2E" w:rsidRPr="00CC2ED3" w:rsidRDefault="00374E2E" w:rsidP="00B437CB">
            <w:pPr>
              <w:pStyle w:val="TableParagraph"/>
              <w:jc w:val="right"/>
              <w:rPr>
                <w:rFonts w:eastAsia="Calibri" w:cs="Calibri"/>
                <w:sz w:val="20"/>
                <w:szCs w:val="20"/>
              </w:rPr>
            </w:pPr>
            <w:r w:rsidRPr="00CC2ED3">
              <w:rPr>
                <w:b/>
                <w:sz w:val="20"/>
                <w:szCs w:val="20"/>
              </w:rPr>
              <w:t>COSTIND</w:t>
            </w:r>
          </w:p>
        </w:tc>
        <w:tc>
          <w:tcPr>
            <w:tcW w:w="1149" w:type="dxa"/>
          </w:tcPr>
          <w:p w14:paraId="6DB719B0" w14:textId="585B4037" w:rsidR="00374E2E" w:rsidRPr="00CC2ED3" w:rsidRDefault="00374E2E" w:rsidP="00374E2E">
            <w:pPr>
              <w:pStyle w:val="TableParagraph"/>
              <w:jc w:val="right"/>
              <w:rPr>
                <w:rFonts w:eastAsia="Calibri" w:cs="Calibri"/>
                <w:sz w:val="20"/>
                <w:szCs w:val="20"/>
              </w:rPr>
            </w:pPr>
            <w:r w:rsidRPr="00CC2ED3">
              <w:rPr>
                <w:b/>
                <w:sz w:val="20"/>
                <w:szCs w:val="20"/>
              </w:rPr>
              <w:t>DMLB</w:t>
            </w:r>
          </w:p>
        </w:tc>
        <w:tc>
          <w:tcPr>
            <w:tcW w:w="1149" w:type="dxa"/>
          </w:tcPr>
          <w:p w14:paraId="246153B9" w14:textId="624234DC" w:rsidR="00374E2E" w:rsidRPr="00CC2ED3" w:rsidRDefault="00374E2E" w:rsidP="00374E2E">
            <w:pPr>
              <w:pStyle w:val="TableParagraph"/>
              <w:jc w:val="right"/>
              <w:rPr>
                <w:rFonts w:eastAsia="Calibri" w:cs="Calibri"/>
                <w:sz w:val="20"/>
                <w:szCs w:val="20"/>
              </w:rPr>
            </w:pPr>
            <w:proofErr w:type="spellStart"/>
            <w:r w:rsidRPr="00CC2ED3">
              <w:rPr>
                <w:b/>
                <w:sz w:val="20"/>
                <w:szCs w:val="20"/>
              </w:rPr>
              <w:t>DMLBi</w:t>
            </w:r>
            <w:proofErr w:type="spellEnd"/>
          </w:p>
        </w:tc>
        <w:tc>
          <w:tcPr>
            <w:tcW w:w="1149" w:type="dxa"/>
          </w:tcPr>
          <w:p w14:paraId="44D5B181" w14:textId="77777777" w:rsidR="00374E2E" w:rsidRPr="00CC2ED3" w:rsidRDefault="00374E2E" w:rsidP="00B437CB">
            <w:pPr>
              <w:pStyle w:val="TableParagraph"/>
              <w:jc w:val="right"/>
              <w:rPr>
                <w:rFonts w:eastAsia="Calibri" w:cs="Calibri"/>
                <w:sz w:val="20"/>
                <w:szCs w:val="20"/>
              </w:rPr>
            </w:pPr>
            <w:r w:rsidRPr="00CC2ED3">
              <w:rPr>
                <w:b/>
                <w:sz w:val="20"/>
                <w:szCs w:val="20"/>
              </w:rPr>
              <w:t>TIME</w:t>
            </w:r>
          </w:p>
        </w:tc>
        <w:tc>
          <w:tcPr>
            <w:tcW w:w="1148" w:type="dxa"/>
          </w:tcPr>
          <w:p w14:paraId="1B9754C3" w14:textId="77777777" w:rsidR="00374E2E" w:rsidRPr="00CC2ED3" w:rsidRDefault="00374E2E" w:rsidP="00B437CB">
            <w:pPr>
              <w:pStyle w:val="TableParagraph"/>
              <w:jc w:val="center"/>
              <w:rPr>
                <w:rFonts w:eastAsia="Calibri" w:cs="Calibri"/>
                <w:b/>
                <w:sz w:val="20"/>
                <w:szCs w:val="20"/>
              </w:rPr>
            </w:pPr>
            <w:r w:rsidRPr="00CC2ED3">
              <w:rPr>
                <w:rFonts w:eastAsia="Calibri" w:cs="Calibri"/>
                <w:b/>
                <w:sz w:val="20"/>
                <w:szCs w:val="20"/>
              </w:rPr>
              <w:t>DUM95</w:t>
            </w:r>
          </w:p>
        </w:tc>
        <w:tc>
          <w:tcPr>
            <w:tcW w:w="1149" w:type="dxa"/>
          </w:tcPr>
          <w:p w14:paraId="179B86B9" w14:textId="77777777" w:rsidR="00374E2E" w:rsidRPr="00CC2ED3" w:rsidRDefault="00374E2E" w:rsidP="00B437CB">
            <w:pPr>
              <w:pStyle w:val="TableParagraph"/>
              <w:jc w:val="center"/>
              <w:rPr>
                <w:rFonts w:eastAsia="Calibri" w:cs="Calibri"/>
                <w:b/>
                <w:sz w:val="20"/>
                <w:szCs w:val="20"/>
              </w:rPr>
            </w:pPr>
            <w:r w:rsidRPr="00CC2ED3">
              <w:rPr>
                <w:rFonts w:eastAsia="Calibri" w:cs="Calibri"/>
                <w:b/>
                <w:sz w:val="20"/>
                <w:szCs w:val="20"/>
              </w:rPr>
              <w:t>DUM07</w:t>
            </w:r>
          </w:p>
        </w:tc>
        <w:tc>
          <w:tcPr>
            <w:tcW w:w="1149" w:type="dxa"/>
          </w:tcPr>
          <w:p w14:paraId="448C1E6E" w14:textId="77777777" w:rsidR="00374E2E" w:rsidRPr="00CC2ED3" w:rsidRDefault="00374E2E" w:rsidP="00B437CB">
            <w:pPr>
              <w:pStyle w:val="TableParagraph"/>
              <w:jc w:val="center"/>
              <w:rPr>
                <w:rFonts w:eastAsia="Calibri" w:cs="Calibri"/>
                <w:b/>
                <w:sz w:val="20"/>
                <w:szCs w:val="20"/>
              </w:rPr>
            </w:pPr>
            <w:r w:rsidRPr="00CC2ED3">
              <w:rPr>
                <w:rFonts w:eastAsia="Calibri" w:cs="Calibri"/>
                <w:b/>
                <w:sz w:val="20"/>
                <w:szCs w:val="20"/>
              </w:rPr>
              <w:t>DUM11</w:t>
            </w:r>
          </w:p>
        </w:tc>
        <w:tc>
          <w:tcPr>
            <w:tcW w:w="1149" w:type="dxa"/>
          </w:tcPr>
          <w:p w14:paraId="4E7836C7" w14:textId="77777777" w:rsidR="00374E2E" w:rsidRPr="00CC2ED3" w:rsidRDefault="00374E2E" w:rsidP="00B437CB">
            <w:pPr>
              <w:pStyle w:val="TableParagraph"/>
              <w:jc w:val="center"/>
              <w:rPr>
                <w:rFonts w:eastAsia="Calibri" w:cs="Calibri"/>
                <w:sz w:val="20"/>
                <w:szCs w:val="20"/>
              </w:rPr>
            </w:pPr>
            <w:r w:rsidRPr="00CC2ED3">
              <w:rPr>
                <w:b/>
                <w:sz w:val="20"/>
                <w:szCs w:val="20"/>
              </w:rPr>
              <w:t>RHO</w:t>
            </w:r>
          </w:p>
        </w:tc>
        <w:tc>
          <w:tcPr>
            <w:tcW w:w="1149" w:type="dxa"/>
          </w:tcPr>
          <w:p w14:paraId="74DA61CE" w14:textId="77777777" w:rsidR="00374E2E" w:rsidRPr="00CC2ED3" w:rsidRDefault="00374E2E" w:rsidP="00B437CB">
            <w:pPr>
              <w:pStyle w:val="TableParagraph"/>
              <w:jc w:val="center"/>
              <w:rPr>
                <w:rFonts w:eastAsia="Calibri" w:cs="Calibri"/>
                <w:sz w:val="20"/>
                <w:szCs w:val="20"/>
              </w:rPr>
            </w:pPr>
            <w:r w:rsidRPr="00CC2ED3">
              <w:rPr>
                <w:b/>
                <w:sz w:val="20"/>
                <w:szCs w:val="20"/>
              </w:rPr>
              <w:t>R</w:t>
            </w:r>
            <w:r w:rsidRPr="00CC2ED3">
              <w:rPr>
                <w:b/>
                <w:sz w:val="20"/>
                <w:szCs w:val="20"/>
                <w:vertAlign w:val="superscript"/>
              </w:rPr>
              <w:t>2</w:t>
            </w:r>
          </w:p>
        </w:tc>
        <w:tc>
          <w:tcPr>
            <w:tcW w:w="1149" w:type="dxa"/>
          </w:tcPr>
          <w:p w14:paraId="78E72327" w14:textId="77777777" w:rsidR="00374E2E" w:rsidRPr="00CC2ED3" w:rsidRDefault="00374E2E" w:rsidP="00B437CB">
            <w:pPr>
              <w:pStyle w:val="TableParagraph"/>
              <w:jc w:val="center"/>
              <w:rPr>
                <w:rFonts w:eastAsia="Calibri" w:cs="Calibri"/>
                <w:sz w:val="20"/>
                <w:szCs w:val="20"/>
              </w:rPr>
            </w:pPr>
            <w:r w:rsidRPr="00CC2ED3">
              <w:rPr>
                <w:b/>
                <w:sz w:val="20"/>
                <w:szCs w:val="20"/>
              </w:rPr>
              <w:t>DW</w:t>
            </w:r>
          </w:p>
        </w:tc>
      </w:tr>
      <w:tr w:rsidR="00E16CAB" w:rsidRPr="00CC2ED3" w14:paraId="0BBC9EE6" w14:textId="77777777" w:rsidTr="00CC2ED3">
        <w:trPr>
          <w:trHeight w:hRule="exact" w:val="271"/>
          <w:jc w:val="center"/>
        </w:trPr>
        <w:tc>
          <w:tcPr>
            <w:tcW w:w="1148" w:type="dxa"/>
            <w:shd w:val="clear" w:color="auto" w:fill="F2F2F2"/>
          </w:tcPr>
          <w:p w14:paraId="6C99FE27" w14:textId="7DA57D75" w:rsidR="00E16CAB" w:rsidRPr="00CC2ED3" w:rsidRDefault="00E16CAB" w:rsidP="00E16CAB">
            <w:pPr>
              <w:pStyle w:val="TableParagraph"/>
              <w:jc w:val="right"/>
              <w:rPr>
                <w:rFonts w:eastAsia="Calibri" w:cs="Calibri"/>
                <w:sz w:val="20"/>
                <w:szCs w:val="20"/>
              </w:rPr>
            </w:pPr>
            <w:r>
              <w:rPr>
                <w:sz w:val="20"/>
                <w:szCs w:val="20"/>
              </w:rPr>
              <w:t>80.047</w:t>
            </w:r>
          </w:p>
        </w:tc>
        <w:tc>
          <w:tcPr>
            <w:tcW w:w="1149" w:type="dxa"/>
            <w:shd w:val="clear" w:color="auto" w:fill="F2F2F2"/>
          </w:tcPr>
          <w:p w14:paraId="6AB80EB5" w14:textId="15AFF29B" w:rsidR="00E16CAB" w:rsidRPr="00CC2ED3" w:rsidRDefault="00E16CAB" w:rsidP="00E16CAB">
            <w:pPr>
              <w:pStyle w:val="TableParagraph"/>
              <w:jc w:val="right"/>
              <w:rPr>
                <w:rFonts w:eastAsia="Calibri" w:cs="Calibri"/>
                <w:sz w:val="20"/>
                <w:szCs w:val="20"/>
              </w:rPr>
            </w:pPr>
            <w:r>
              <w:rPr>
                <w:sz w:val="20"/>
                <w:szCs w:val="20"/>
              </w:rPr>
              <w:t>2.625</w:t>
            </w:r>
          </w:p>
        </w:tc>
        <w:tc>
          <w:tcPr>
            <w:tcW w:w="1149" w:type="dxa"/>
            <w:shd w:val="clear" w:color="auto" w:fill="F2F2F2"/>
          </w:tcPr>
          <w:p w14:paraId="32192F5D" w14:textId="48DB98AE" w:rsidR="00E16CAB" w:rsidRPr="00CC2ED3" w:rsidRDefault="00E16CAB" w:rsidP="00E16CAB">
            <w:pPr>
              <w:pStyle w:val="TableParagraph"/>
              <w:jc w:val="right"/>
              <w:rPr>
                <w:rFonts w:eastAsia="Calibri" w:cs="Calibri"/>
                <w:sz w:val="20"/>
                <w:szCs w:val="20"/>
              </w:rPr>
            </w:pPr>
            <w:r>
              <w:rPr>
                <w:sz w:val="20"/>
                <w:szCs w:val="20"/>
              </w:rPr>
              <w:t>-</w:t>
            </w:r>
            <w:r w:rsidRPr="00BE3780">
              <w:rPr>
                <w:sz w:val="20"/>
                <w:szCs w:val="20"/>
              </w:rPr>
              <w:t>0.</w:t>
            </w:r>
            <w:r>
              <w:rPr>
                <w:sz w:val="20"/>
                <w:szCs w:val="20"/>
              </w:rPr>
              <w:t>121</w:t>
            </w:r>
          </w:p>
        </w:tc>
        <w:tc>
          <w:tcPr>
            <w:tcW w:w="1149" w:type="dxa"/>
            <w:shd w:val="clear" w:color="auto" w:fill="F2F2F2"/>
          </w:tcPr>
          <w:p w14:paraId="0B3AD50F" w14:textId="7C258854" w:rsidR="00E16CAB" w:rsidRPr="00CC2ED3" w:rsidRDefault="00E16CAB" w:rsidP="00E16CAB">
            <w:pPr>
              <w:pStyle w:val="TableParagraph"/>
              <w:jc w:val="right"/>
              <w:rPr>
                <w:rFonts w:eastAsia="Calibri" w:cs="Calibri"/>
                <w:sz w:val="20"/>
                <w:szCs w:val="20"/>
              </w:rPr>
            </w:pPr>
            <w:r w:rsidRPr="00BE3780">
              <w:rPr>
                <w:sz w:val="20"/>
                <w:szCs w:val="20"/>
              </w:rPr>
              <w:t>1</w:t>
            </w:r>
            <w:r>
              <w:rPr>
                <w:sz w:val="20"/>
                <w:szCs w:val="20"/>
              </w:rPr>
              <w:t>3.958</w:t>
            </w:r>
          </w:p>
        </w:tc>
        <w:tc>
          <w:tcPr>
            <w:tcW w:w="1149" w:type="dxa"/>
            <w:shd w:val="clear" w:color="auto" w:fill="F2F2F2"/>
          </w:tcPr>
          <w:p w14:paraId="6B0C64DB" w14:textId="6763C17B" w:rsidR="00E16CAB" w:rsidRPr="00CC2ED3" w:rsidRDefault="00E16CAB" w:rsidP="00E16CAB">
            <w:pPr>
              <w:pStyle w:val="TableParagraph"/>
              <w:jc w:val="right"/>
              <w:rPr>
                <w:rFonts w:eastAsia="Calibri" w:cs="Calibri"/>
                <w:sz w:val="20"/>
                <w:szCs w:val="20"/>
              </w:rPr>
            </w:pPr>
            <w:r w:rsidRPr="00BE3780">
              <w:rPr>
                <w:sz w:val="20"/>
                <w:szCs w:val="20"/>
              </w:rPr>
              <w:t>3.</w:t>
            </w:r>
            <w:r>
              <w:rPr>
                <w:sz w:val="20"/>
                <w:szCs w:val="20"/>
              </w:rPr>
              <w:t>854</w:t>
            </w:r>
          </w:p>
        </w:tc>
        <w:tc>
          <w:tcPr>
            <w:tcW w:w="1148" w:type="dxa"/>
            <w:shd w:val="clear" w:color="auto" w:fill="F2F2F2"/>
          </w:tcPr>
          <w:p w14:paraId="1574E640" w14:textId="3C5F0F61"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40B1D50E" w14:textId="636532E9"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01474F95" w14:textId="660B87CA"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27C4C446" w14:textId="7A6E1520" w:rsidR="00E16CAB" w:rsidRPr="00CC2ED3" w:rsidRDefault="00E16CAB" w:rsidP="00E16CAB">
            <w:pPr>
              <w:pStyle w:val="TableParagraph"/>
              <w:jc w:val="center"/>
              <w:rPr>
                <w:rFonts w:eastAsia="Calibri" w:cs="Calibri"/>
                <w:sz w:val="20"/>
                <w:szCs w:val="20"/>
              </w:rPr>
            </w:pPr>
            <w:r>
              <w:rPr>
                <w:sz w:val="20"/>
                <w:szCs w:val="20"/>
              </w:rPr>
              <w:t>-</w:t>
            </w:r>
            <w:r w:rsidRPr="00BE3780">
              <w:rPr>
                <w:sz w:val="20"/>
                <w:szCs w:val="20"/>
              </w:rPr>
              <w:t>0.</w:t>
            </w:r>
            <w:r>
              <w:rPr>
                <w:sz w:val="20"/>
                <w:szCs w:val="20"/>
              </w:rPr>
              <w:t>207</w:t>
            </w:r>
          </w:p>
        </w:tc>
        <w:tc>
          <w:tcPr>
            <w:tcW w:w="1149" w:type="dxa"/>
            <w:shd w:val="clear" w:color="auto" w:fill="F2F2F2"/>
          </w:tcPr>
          <w:p w14:paraId="42AA6D4C" w14:textId="27867DD0" w:rsidR="00E16CAB" w:rsidRPr="00CC2ED3" w:rsidRDefault="00E16CAB" w:rsidP="00E16CAB">
            <w:pPr>
              <w:pStyle w:val="TableParagraph"/>
              <w:jc w:val="center"/>
              <w:rPr>
                <w:rFonts w:eastAsia="Calibri" w:cs="Calibri"/>
                <w:sz w:val="20"/>
                <w:szCs w:val="20"/>
              </w:rPr>
            </w:pPr>
            <w:r w:rsidRPr="00BE3780">
              <w:rPr>
                <w:sz w:val="20"/>
                <w:szCs w:val="20"/>
              </w:rPr>
              <w:t>0.</w:t>
            </w:r>
            <w:r>
              <w:rPr>
                <w:sz w:val="20"/>
                <w:szCs w:val="20"/>
              </w:rPr>
              <w:t>98</w:t>
            </w:r>
          </w:p>
        </w:tc>
        <w:tc>
          <w:tcPr>
            <w:tcW w:w="1149" w:type="dxa"/>
            <w:shd w:val="clear" w:color="auto" w:fill="F2F2F2"/>
          </w:tcPr>
          <w:p w14:paraId="1F2FE6F9" w14:textId="1766065A" w:rsidR="00E16CAB" w:rsidRPr="00A976EA" w:rsidRDefault="00E16CAB" w:rsidP="00E16CAB">
            <w:pPr>
              <w:pStyle w:val="TableParagraph"/>
              <w:jc w:val="center"/>
              <w:rPr>
                <w:rFonts w:eastAsia="Calibri" w:cs="Calibri"/>
                <w:sz w:val="20"/>
                <w:szCs w:val="20"/>
              </w:rPr>
            </w:pPr>
            <w:r w:rsidRPr="00A976EA">
              <w:rPr>
                <w:sz w:val="20"/>
                <w:szCs w:val="20"/>
              </w:rPr>
              <w:t>1.83</w:t>
            </w:r>
          </w:p>
        </w:tc>
      </w:tr>
      <w:tr w:rsidR="00E16CAB" w:rsidRPr="00CC2ED3" w14:paraId="5CBC9D6E" w14:textId="77777777" w:rsidTr="00CC2ED3">
        <w:trPr>
          <w:trHeight w:hRule="exact" w:val="271"/>
          <w:jc w:val="center"/>
        </w:trPr>
        <w:tc>
          <w:tcPr>
            <w:tcW w:w="1148" w:type="dxa"/>
          </w:tcPr>
          <w:p w14:paraId="5E28991F" w14:textId="7028075E" w:rsidR="00E16CAB" w:rsidRPr="00CC2ED3" w:rsidRDefault="00E16CAB" w:rsidP="00E16CAB">
            <w:pPr>
              <w:pStyle w:val="TableParagraph"/>
              <w:jc w:val="right"/>
              <w:rPr>
                <w:rFonts w:eastAsia="Calibri" w:cs="Calibri"/>
                <w:sz w:val="20"/>
                <w:szCs w:val="20"/>
              </w:rPr>
            </w:pPr>
            <w:r w:rsidRPr="00BE3780">
              <w:rPr>
                <w:sz w:val="20"/>
                <w:szCs w:val="20"/>
              </w:rPr>
              <w:t>(2.</w:t>
            </w:r>
            <w:r>
              <w:rPr>
                <w:sz w:val="20"/>
                <w:szCs w:val="20"/>
              </w:rPr>
              <w:t>65</w:t>
            </w:r>
            <w:r w:rsidRPr="00BE3780">
              <w:rPr>
                <w:sz w:val="20"/>
                <w:szCs w:val="20"/>
              </w:rPr>
              <w:t>)</w:t>
            </w:r>
          </w:p>
        </w:tc>
        <w:tc>
          <w:tcPr>
            <w:tcW w:w="1149" w:type="dxa"/>
          </w:tcPr>
          <w:p w14:paraId="5687239C" w14:textId="4F970263" w:rsidR="00E16CAB" w:rsidRPr="00CC2ED3" w:rsidRDefault="00E16CAB" w:rsidP="00E16CAB">
            <w:pPr>
              <w:pStyle w:val="TableParagraph"/>
              <w:jc w:val="right"/>
              <w:rPr>
                <w:rFonts w:eastAsia="Calibri" w:cs="Calibri"/>
                <w:sz w:val="20"/>
                <w:szCs w:val="20"/>
              </w:rPr>
            </w:pPr>
            <w:r w:rsidRPr="00BE3780">
              <w:rPr>
                <w:sz w:val="20"/>
                <w:szCs w:val="20"/>
              </w:rPr>
              <w:t>(</w:t>
            </w:r>
            <w:r>
              <w:rPr>
                <w:sz w:val="20"/>
                <w:szCs w:val="20"/>
              </w:rPr>
              <w:t>14.18</w:t>
            </w:r>
            <w:r w:rsidRPr="00BE3780">
              <w:rPr>
                <w:sz w:val="20"/>
                <w:szCs w:val="20"/>
              </w:rPr>
              <w:t>)</w:t>
            </w:r>
          </w:p>
        </w:tc>
        <w:tc>
          <w:tcPr>
            <w:tcW w:w="1149" w:type="dxa"/>
          </w:tcPr>
          <w:p w14:paraId="196E0059" w14:textId="0BFC0A72" w:rsidR="00E16CAB" w:rsidRPr="00CC2ED3" w:rsidRDefault="00E16CAB" w:rsidP="00E16CAB">
            <w:pPr>
              <w:pStyle w:val="TableParagraph"/>
              <w:jc w:val="right"/>
              <w:rPr>
                <w:rFonts w:eastAsia="Calibri" w:cs="Calibri"/>
                <w:sz w:val="20"/>
                <w:szCs w:val="20"/>
              </w:rPr>
            </w:pPr>
            <w:r w:rsidRPr="00BE3780">
              <w:rPr>
                <w:sz w:val="20"/>
                <w:szCs w:val="20"/>
              </w:rPr>
              <w:t>(</w:t>
            </w:r>
            <w:r>
              <w:rPr>
                <w:sz w:val="20"/>
                <w:szCs w:val="20"/>
              </w:rPr>
              <w:t>-</w:t>
            </w:r>
            <w:r w:rsidRPr="00BE3780">
              <w:rPr>
                <w:sz w:val="20"/>
                <w:szCs w:val="20"/>
              </w:rPr>
              <w:t>0.</w:t>
            </w:r>
            <w:r>
              <w:rPr>
                <w:sz w:val="20"/>
                <w:szCs w:val="20"/>
              </w:rPr>
              <w:t>39</w:t>
            </w:r>
            <w:r w:rsidRPr="00BE3780">
              <w:rPr>
                <w:sz w:val="20"/>
                <w:szCs w:val="20"/>
              </w:rPr>
              <w:t>)</w:t>
            </w:r>
          </w:p>
        </w:tc>
        <w:tc>
          <w:tcPr>
            <w:tcW w:w="1149" w:type="dxa"/>
          </w:tcPr>
          <w:p w14:paraId="2C1026A8" w14:textId="54387004" w:rsidR="00E16CAB" w:rsidRPr="00CC2ED3" w:rsidRDefault="00E16CAB" w:rsidP="00E16CAB">
            <w:pPr>
              <w:pStyle w:val="TableParagraph"/>
              <w:jc w:val="right"/>
              <w:rPr>
                <w:rFonts w:eastAsia="Calibri" w:cs="Calibri"/>
                <w:sz w:val="20"/>
                <w:szCs w:val="20"/>
              </w:rPr>
            </w:pPr>
            <w:r w:rsidRPr="00BE3780">
              <w:rPr>
                <w:sz w:val="20"/>
                <w:szCs w:val="20"/>
              </w:rPr>
              <w:t>(0.</w:t>
            </w:r>
            <w:r>
              <w:rPr>
                <w:sz w:val="20"/>
                <w:szCs w:val="20"/>
              </w:rPr>
              <w:t>47</w:t>
            </w:r>
            <w:r w:rsidRPr="00BE3780">
              <w:rPr>
                <w:sz w:val="20"/>
                <w:szCs w:val="20"/>
              </w:rPr>
              <w:t>)</w:t>
            </w:r>
          </w:p>
        </w:tc>
        <w:tc>
          <w:tcPr>
            <w:tcW w:w="1149" w:type="dxa"/>
          </w:tcPr>
          <w:p w14:paraId="02A7CA16" w14:textId="48CD88C3" w:rsidR="00E16CAB" w:rsidRPr="00CC2ED3" w:rsidRDefault="00E16CAB" w:rsidP="00E16CAB">
            <w:pPr>
              <w:pStyle w:val="TableParagraph"/>
              <w:jc w:val="right"/>
              <w:rPr>
                <w:rFonts w:eastAsia="Calibri" w:cs="Calibri"/>
                <w:sz w:val="20"/>
                <w:szCs w:val="20"/>
              </w:rPr>
            </w:pPr>
            <w:r w:rsidRPr="00BE3780">
              <w:rPr>
                <w:sz w:val="20"/>
                <w:szCs w:val="20"/>
              </w:rPr>
              <w:t>(</w:t>
            </w:r>
            <w:r>
              <w:rPr>
                <w:sz w:val="20"/>
                <w:szCs w:val="20"/>
              </w:rPr>
              <w:t>6.40</w:t>
            </w:r>
            <w:r w:rsidRPr="00BE3780">
              <w:rPr>
                <w:sz w:val="20"/>
                <w:szCs w:val="20"/>
              </w:rPr>
              <w:t>)</w:t>
            </w:r>
          </w:p>
        </w:tc>
        <w:tc>
          <w:tcPr>
            <w:tcW w:w="1148" w:type="dxa"/>
          </w:tcPr>
          <w:p w14:paraId="7988C2B5" w14:textId="25DDC3F2" w:rsidR="00E16CAB" w:rsidRPr="00CC2ED3" w:rsidRDefault="00E16CAB" w:rsidP="00E16CAB">
            <w:pPr>
              <w:jc w:val="center"/>
              <w:rPr>
                <w:sz w:val="20"/>
                <w:szCs w:val="20"/>
              </w:rPr>
            </w:pPr>
          </w:p>
        </w:tc>
        <w:tc>
          <w:tcPr>
            <w:tcW w:w="1149" w:type="dxa"/>
          </w:tcPr>
          <w:p w14:paraId="0EA295C3" w14:textId="77777777" w:rsidR="00E16CAB" w:rsidRPr="00CC2ED3" w:rsidRDefault="00E16CAB" w:rsidP="00E16CAB">
            <w:pPr>
              <w:jc w:val="center"/>
              <w:rPr>
                <w:sz w:val="20"/>
                <w:szCs w:val="20"/>
              </w:rPr>
            </w:pPr>
          </w:p>
        </w:tc>
        <w:tc>
          <w:tcPr>
            <w:tcW w:w="1149" w:type="dxa"/>
          </w:tcPr>
          <w:p w14:paraId="0E5824FF" w14:textId="77777777" w:rsidR="00E16CAB" w:rsidRPr="00CC2ED3" w:rsidRDefault="00E16CAB" w:rsidP="00E16CAB">
            <w:pPr>
              <w:jc w:val="center"/>
              <w:rPr>
                <w:sz w:val="20"/>
                <w:szCs w:val="20"/>
              </w:rPr>
            </w:pPr>
          </w:p>
        </w:tc>
        <w:tc>
          <w:tcPr>
            <w:tcW w:w="1149" w:type="dxa"/>
          </w:tcPr>
          <w:p w14:paraId="6690053B" w14:textId="0610E3B0" w:rsidR="00E16CAB" w:rsidRPr="00CC2ED3" w:rsidRDefault="00E16CAB" w:rsidP="00E16CAB">
            <w:pPr>
              <w:jc w:val="center"/>
              <w:rPr>
                <w:sz w:val="20"/>
                <w:szCs w:val="20"/>
              </w:rPr>
            </w:pPr>
            <w:r w:rsidRPr="00BE3780">
              <w:rPr>
                <w:sz w:val="20"/>
                <w:szCs w:val="20"/>
              </w:rPr>
              <w:t>(</w:t>
            </w:r>
            <w:r>
              <w:rPr>
                <w:sz w:val="20"/>
                <w:szCs w:val="20"/>
              </w:rPr>
              <w:t>-1</w:t>
            </w:r>
            <w:r w:rsidRPr="00BE3780">
              <w:rPr>
                <w:sz w:val="20"/>
                <w:szCs w:val="20"/>
              </w:rPr>
              <w:t>.</w:t>
            </w:r>
            <w:r>
              <w:rPr>
                <w:sz w:val="20"/>
                <w:szCs w:val="20"/>
              </w:rPr>
              <w:t>32)</w:t>
            </w:r>
          </w:p>
        </w:tc>
        <w:tc>
          <w:tcPr>
            <w:tcW w:w="1149" w:type="dxa"/>
          </w:tcPr>
          <w:p w14:paraId="3E2583EC" w14:textId="77777777" w:rsidR="00E16CAB" w:rsidRPr="00CC2ED3" w:rsidRDefault="00E16CAB" w:rsidP="00E16CAB">
            <w:pPr>
              <w:jc w:val="center"/>
              <w:rPr>
                <w:sz w:val="20"/>
                <w:szCs w:val="20"/>
              </w:rPr>
            </w:pPr>
          </w:p>
        </w:tc>
        <w:tc>
          <w:tcPr>
            <w:tcW w:w="1149" w:type="dxa"/>
          </w:tcPr>
          <w:p w14:paraId="4042C642" w14:textId="77777777" w:rsidR="00E16CAB" w:rsidRPr="00A976EA" w:rsidRDefault="00E16CAB" w:rsidP="00E16CAB">
            <w:pPr>
              <w:jc w:val="center"/>
              <w:rPr>
                <w:sz w:val="20"/>
                <w:szCs w:val="20"/>
              </w:rPr>
            </w:pPr>
          </w:p>
        </w:tc>
      </w:tr>
      <w:tr w:rsidR="00E16CAB" w:rsidRPr="00CC2ED3" w14:paraId="357F2958" w14:textId="77777777" w:rsidTr="00CC2ED3">
        <w:trPr>
          <w:trHeight w:hRule="exact" w:val="271"/>
          <w:jc w:val="center"/>
        </w:trPr>
        <w:tc>
          <w:tcPr>
            <w:tcW w:w="1148" w:type="dxa"/>
            <w:shd w:val="clear" w:color="auto" w:fill="F2F2F2"/>
          </w:tcPr>
          <w:p w14:paraId="7F92EB2D" w14:textId="29E6DF29" w:rsidR="00E16CAB" w:rsidRPr="00CC2ED3" w:rsidRDefault="00E16CAB" w:rsidP="00E16CAB">
            <w:pPr>
              <w:pStyle w:val="TableParagraph"/>
              <w:jc w:val="right"/>
              <w:rPr>
                <w:sz w:val="20"/>
                <w:szCs w:val="20"/>
              </w:rPr>
            </w:pPr>
            <w:r>
              <w:rPr>
                <w:sz w:val="20"/>
                <w:szCs w:val="20"/>
              </w:rPr>
              <w:t>148.07</w:t>
            </w:r>
          </w:p>
          <w:p w14:paraId="4AF05B6E" w14:textId="3BA41FD5" w:rsidR="00E16CAB" w:rsidRPr="00CC2ED3" w:rsidRDefault="00E16CAB" w:rsidP="00E16CAB">
            <w:pPr>
              <w:pStyle w:val="TableParagraph"/>
              <w:jc w:val="right"/>
              <w:rPr>
                <w:rFonts w:eastAsia="Calibri" w:cs="Calibri"/>
                <w:sz w:val="20"/>
                <w:szCs w:val="20"/>
              </w:rPr>
            </w:pPr>
            <w:r w:rsidRPr="00CC2ED3">
              <w:rPr>
                <w:sz w:val="20"/>
                <w:szCs w:val="20"/>
              </w:rPr>
              <w:t>398.6451</w:t>
            </w:r>
          </w:p>
        </w:tc>
        <w:tc>
          <w:tcPr>
            <w:tcW w:w="1149" w:type="dxa"/>
            <w:shd w:val="clear" w:color="auto" w:fill="F2F2F2"/>
          </w:tcPr>
          <w:p w14:paraId="01F055F8" w14:textId="4A4D77E6" w:rsidR="00E16CAB" w:rsidRPr="00CC2ED3" w:rsidRDefault="00E16CAB" w:rsidP="00E16CAB">
            <w:pPr>
              <w:pStyle w:val="TableParagraph"/>
              <w:jc w:val="right"/>
              <w:rPr>
                <w:rFonts w:eastAsia="Calibri" w:cs="Calibri"/>
                <w:sz w:val="20"/>
                <w:szCs w:val="20"/>
              </w:rPr>
            </w:pPr>
            <w:r>
              <w:rPr>
                <w:sz w:val="20"/>
                <w:szCs w:val="20"/>
              </w:rPr>
              <w:t>2.734</w:t>
            </w:r>
          </w:p>
        </w:tc>
        <w:tc>
          <w:tcPr>
            <w:tcW w:w="1149" w:type="dxa"/>
            <w:shd w:val="clear" w:color="auto" w:fill="F2F2F2"/>
          </w:tcPr>
          <w:p w14:paraId="7C1EB7BF" w14:textId="74DCA63F" w:rsidR="00E16CAB" w:rsidRPr="00CC2ED3" w:rsidRDefault="00E16CAB" w:rsidP="00E16CAB">
            <w:pPr>
              <w:pStyle w:val="TableParagraph"/>
              <w:jc w:val="right"/>
              <w:rPr>
                <w:rFonts w:eastAsia="Calibri" w:cs="Calibri"/>
                <w:sz w:val="20"/>
                <w:szCs w:val="20"/>
              </w:rPr>
            </w:pPr>
            <w:r w:rsidRPr="00CC2ED3">
              <w:rPr>
                <w:sz w:val="20"/>
                <w:szCs w:val="20"/>
              </w:rPr>
              <w:t>-0.</w:t>
            </w:r>
            <w:r>
              <w:rPr>
                <w:sz w:val="20"/>
                <w:szCs w:val="20"/>
              </w:rPr>
              <w:t>318</w:t>
            </w:r>
          </w:p>
        </w:tc>
        <w:tc>
          <w:tcPr>
            <w:tcW w:w="1149" w:type="dxa"/>
            <w:shd w:val="clear" w:color="auto" w:fill="F2F2F2"/>
          </w:tcPr>
          <w:p w14:paraId="417C247B" w14:textId="78355378" w:rsidR="00E16CAB" w:rsidRPr="00CC2ED3" w:rsidRDefault="00E16CAB" w:rsidP="00E16CAB">
            <w:pPr>
              <w:pStyle w:val="TableParagraph"/>
              <w:jc w:val="right"/>
              <w:rPr>
                <w:rFonts w:eastAsia="Calibri" w:cs="Calibri"/>
                <w:sz w:val="20"/>
                <w:szCs w:val="20"/>
              </w:rPr>
            </w:pPr>
            <w:r>
              <w:rPr>
                <w:sz w:val="20"/>
                <w:szCs w:val="20"/>
              </w:rPr>
              <w:t>26.900</w:t>
            </w:r>
          </w:p>
        </w:tc>
        <w:tc>
          <w:tcPr>
            <w:tcW w:w="1149" w:type="dxa"/>
            <w:shd w:val="clear" w:color="auto" w:fill="F2F2F2"/>
          </w:tcPr>
          <w:p w14:paraId="52906A75" w14:textId="77777777" w:rsidR="00E16CAB" w:rsidRPr="00CC2ED3" w:rsidRDefault="00E16CAB" w:rsidP="00E16CAB">
            <w:pPr>
              <w:pStyle w:val="TableParagraph"/>
              <w:jc w:val="right"/>
              <w:rPr>
                <w:rFonts w:eastAsia="Calibri" w:cs="Calibri"/>
                <w:sz w:val="20"/>
                <w:szCs w:val="20"/>
              </w:rPr>
            </w:pPr>
          </w:p>
        </w:tc>
        <w:tc>
          <w:tcPr>
            <w:tcW w:w="1148" w:type="dxa"/>
            <w:shd w:val="clear" w:color="auto" w:fill="F2F2F2"/>
          </w:tcPr>
          <w:p w14:paraId="029F0FC1" w14:textId="1D378ACA" w:rsidR="00E16CAB" w:rsidRPr="00CC2ED3" w:rsidRDefault="00E16CAB" w:rsidP="00E16CAB">
            <w:pPr>
              <w:pStyle w:val="TableParagraph"/>
              <w:jc w:val="center"/>
              <w:rPr>
                <w:rFonts w:eastAsia="Calibri" w:cs="Calibri"/>
                <w:sz w:val="20"/>
                <w:szCs w:val="20"/>
              </w:rPr>
            </w:pPr>
            <w:r>
              <w:rPr>
                <w:rFonts w:eastAsia="Calibri" w:cs="Calibri"/>
                <w:sz w:val="20"/>
                <w:szCs w:val="20"/>
              </w:rPr>
              <w:t>92.851</w:t>
            </w:r>
          </w:p>
        </w:tc>
        <w:tc>
          <w:tcPr>
            <w:tcW w:w="1149" w:type="dxa"/>
            <w:shd w:val="clear" w:color="auto" w:fill="F2F2F2"/>
          </w:tcPr>
          <w:p w14:paraId="2B2BFFEF" w14:textId="77777777"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52063CBB" w14:textId="77777777"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5454B8A9" w14:textId="00F4A6A4" w:rsidR="00E16CAB" w:rsidRPr="00CC2ED3" w:rsidRDefault="00E16CAB" w:rsidP="00E16CAB">
            <w:pPr>
              <w:pStyle w:val="TableParagraph"/>
              <w:jc w:val="center"/>
              <w:rPr>
                <w:rFonts w:eastAsia="Calibri" w:cs="Calibri"/>
                <w:sz w:val="20"/>
                <w:szCs w:val="20"/>
              </w:rPr>
            </w:pPr>
            <w:r>
              <w:rPr>
                <w:sz w:val="20"/>
                <w:szCs w:val="20"/>
              </w:rPr>
              <w:t>-</w:t>
            </w:r>
            <w:r w:rsidRPr="00CC2ED3">
              <w:rPr>
                <w:sz w:val="20"/>
                <w:szCs w:val="20"/>
              </w:rPr>
              <w:t>0.</w:t>
            </w:r>
            <w:r>
              <w:rPr>
                <w:sz w:val="20"/>
                <w:szCs w:val="20"/>
              </w:rPr>
              <w:t>010</w:t>
            </w:r>
          </w:p>
        </w:tc>
        <w:tc>
          <w:tcPr>
            <w:tcW w:w="1149" w:type="dxa"/>
            <w:shd w:val="clear" w:color="auto" w:fill="F2F2F2"/>
          </w:tcPr>
          <w:p w14:paraId="513D065B" w14:textId="662DFEAF" w:rsidR="00E16CAB" w:rsidRPr="00CC2ED3" w:rsidRDefault="00E16CAB" w:rsidP="00E16CAB">
            <w:pPr>
              <w:pStyle w:val="TableParagraph"/>
              <w:jc w:val="center"/>
              <w:rPr>
                <w:rFonts w:eastAsia="Calibri" w:cs="Calibri"/>
                <w:sz w:val="20"/>
                <w:szCs w:val="20"/>
              </w:rPr>
            </w:pPr>
            <w:r>
              <w:rPr>
                <w:sz w:val="20"/>
                <w:szCs w:val="20"/>
              </w:rPr>
              <w:t>0.98</w:t>
            </w:r>
          </w:p>
        </w:tc>
        <w:tc>
          <w:tcPr>
            <w:tcW w:w="1149" w:type="dxa"/>
            <w:shd w:val="clear" w:color="auto" w:fill="F2F2F2"/>
          </w:tcPr>
          <w:p w14:paraId="2D29BE88" w14:textId="2D8893BE" w:rsidR="00E16CAB" w:rsidRPr="00A976EA" w:rsidRDefault="00E16CAB" w:rsidP="00E16CAB">
            <w:pPr>
              <w:pStyle w:val="TableParagraph"/>
              <w:jc w:val="center"/>
              <w:rPr>
                <w:rFonts w:eastAsia="Calibri" w:cs="Calibri"/>
                <w:sz w:val="20"/>
                <w:szCs w:val="20"/>
              </w:rPr>
            </w:pPr>
            <w:r w:rsidRPr="00A976EA">
              <w:rPr>
                <w:sz w:val="20"/>
                <w:szCs w:val="20"/>
              </w:rPr>
              <w:t>1.96</w:t>
            </w:r>
          </w:p>
        </w:tc>
      </w:tr>
      <w:tr w:rsidR="00E16CAB" w:rsidRPr="00CC2ED3" w14:paraId="421301E1" w14:textId="77777777" w:rsidTr="00CC2ED3">
        <w:trPr>
          <w:trHeight w:hRule="exact" w:val="271"/>
          <w:jc w:val="center"/>
        </w:trPr>
        <w:tc>
          <w:tcPr>
            <w:tcW w:w="1148" w:type="dxa"/>
          </w:tcPr>
          <w:p w14:paraId="6A61E8D0" w14:textId="14E1A7AA" w:rsidR="00E16CAB" w:rsidRPr="00CC2ED3" w:rsidRDefault="00E16CAB" w:rsidP="00E16CAB">
            <w:pPr>
              <w:pStyle w:val="TableParagraph"/>
              <w:jc w:val="right"/>
              <w:rPr>
                <w:rFonts w:eastAsia="Calibri" w:cs="Calibri"/>
                <w:sz w:val="20"/>
                <w:szCs w:val="20"/>
              </w:rPr>
            </w:pPr>
            <w:r w:rsidRPr="00CC2ED3">
              <w:rPr>
                <w:sz w:val="20"/>
                <w:szCs w:val="20"/>
              </w:rPr>
              <w:t>(</w:t>
            </w:r>
            <w:r>
              <w:rPr>
                <w:sz w:val="20"/>
                <w:szCs w:val="20"/>
              </w:rPr>
              <w:t>6.01</w:t>
            </w:r>
            <w:r w:rsidRPr="00CC2ED3">
              <w:rPr>
                <w:sz w:val="20"/>
                <w:szCs w:val="20"/>
              </w:rPr>
              <w:t>)</w:t>
            </w:r>
          </w:p>
        </w:tc>
        <w:tc>
          <w:tcPr>
            <w:tcW w:w="1149" w:type="dxa"/>
          </w:tcPr>
          <w:p w14:paraId="492D5738" w14:textId="68EABAB1" w:rsidR="00E16CAB" w:rsidRPr="00CC2ED3" w:rsidRDefault="00E16CAB" w:rsidP="00E16CAB">
            <w:pPr>
              <w:pStyle w:val="TableParagraph"/>
              <w:jc w:val="right"/>
              <w:rPr>
                <w:rFonts w:eastAsia="Calibri" w:cs="Calibri"/>
                <w:sz w:val="20"/>
                <w:szCs w:val="20"/>
              </w:rPr>
            </w:pPr>
            <w:r w:rsidRPr="00CC2ED3">
              <w:rPr>
                <w:sz w:val="20"/>
                <w:szCs w:val="20"/>
              </w:rPr>
              <w:t>(</w:t>
            </w:r>
            <w:r>
              <w:rPr>
                <w:sz w:val="20"/>
                <w:szCs w:val="20"/>
              </w:rPr>
              <w:t>14.59</w:t>
            </w:r>
            <w:r w:rsidRPr="00CC2ED3">
              <w:rPr>
                <w:sz w:val="20"/>
                <w:szCs w:val="20"/>
              </w:rPr>
              <w:t>)</w:t>
            </w:r>
          </w:p>
        </w:tc>
        <w:tc>
          <w:tcPr>
            <w:tcW w:w="1149" w:type="dxa"/>
          </w:tcPr>
          <w:p w14:paraId="6B77C925" w14:textId="64755171" w:rsidR="00E16CAB" w:rsidRPr="00CC2ED3" w:rsidRDefault="00E16CAB" w:rsidP="00E16CAB">
            <w:pPr>
              <w:pStyle w:val="TableParagraph"/>
              <w:jc w:val="right"/>
              <w:rPr>
                <w:rFonts w:eastAsia="Calibri" w:cs="Calibri"/>
                <w:sz w:val="20"/>
                <w:szCs w:val="20"/>
              </w:rPr>
            </w:pPr>
            <w:r w:rsidRPr="00CC2ED3">
              <w:rPr>
                <w:sz w:val="20"/>
                <w:szCs w:val="20"/>
              </w:rPr>
              <w:t>(-</w:t>
            </w:r>
            <w:r>
              <w:rPr>
                <w:sz w:val="20"/>
                <w:szCs w:val="20"/>
              </w:rPr>
              <w:t>1.01</w:t>
            </w:r>
            <w:r w:rsidRPr="00CC2ED3">
              <w:rPr>
                <w:sz w:val="20"/>
                <w:szCs w:val="20"/>
              </w:rPr>
              <w:t>)</w:t>
            </w:r>
          </w:p>
        </w:tc>
        <w:tc>
          <w:tcPr>
            <w:tcW w:w="1149" w:type="dxa"/>
          </w:tcPr>
          <w:p w14:paraId="6D6C8D6B" w14:textId="5D8DE29A" w:rsidR="00E16CAB" w:rsidRPr="00CC2ED3" w:rsidRDefault="00E16CAB" w:rsidP="00E16CAB">
            <w:pPr>
              <w:pStyle w:val="TableParagraph"/>
              <w:jc w:val="right"/>
              <w:rPr>
                <w:rFonts w:eastAsia="Calibri" w:cs="Calibri"/>
                <w:sz w:val="20"/>
                <w:szCs w:val="20"/>
              </w:rPr>
            </w:pPr>
            <w:r w:rsidRPr="00CC2ED3">
              <w:rPr>
                <w:sz w:val="20"/>
                <w:szCs w:val="20"/>
              </w:rPr>
              <w:t>(0.</w:t>
            </w:r>
            <w:r>
              <w:rPr>
                <w:sz w:val="20"/>
                <w:szCs w:val="20"/>
              </w:rPr>
              <w:t>83</w:t>
            </w:r>
            <w:r w:rsidRPr="00CC2ED3">
              <w:rPr>
                <w:sz w:val="20"/>
                <w:szCs w:val="20"/>
              </w:rPr>
              <w:t>)</w:t>
            </w:r>
          </w:p>
        </w:tc>
        <w:tc>
          <w:tcPr>
            <w:tcW w:w="1149" w:type="dxa"/>
          </w:tcPr>
          <w:p w14:paraId="787A412C" w14:textId="77777777" w:rsidR="00E16CAB" w:rsidRPr="00CC2ED3" w:rsidRDefault="00E16CAB" w:rsidP="00E16CAB">
            <w:pPr>
              <w:pStyle w:val="TableParagraph"/>
              <w:jc w:val="right"/>
              <w:rPr>
                <w:rFonts w:eastAsia="Calibri" w:cs="Calibri"/>
                <w:sz w:val="20"/>
                <w:szCs w:val="20"/>
              </w:rPr>
            </w:pPr>
          </w:p>
        </w:tc>
        <w:tc>
          <w:tcPr>
            <w:tcW w:w="1148" w:type="dxa"/>
          </w:tcPr>
          <w:p w14:paraId="307D5E0D" w14:textId="228960ED" w:rsidR="00E16CAB" w:rsidRPr="00CC2ED3" w:rsidRDefault="00E16CAB" w:rsidP="00E16CAB">
            <w:pPr>
              <w:jc w:val="center"/>
              <w:rPr>
                <w:sz w:val="20"/>
                <w:szCs w:val="20"/>
              </w:rPr>
            </w:pPr>
            <w:r w:rsidRPr="00CC2ED3">
              <w:rPr>
                <w:sz w:val="20"/>
                <w:szCs w:val="20"/>
              </w:rPr>
              <w:t>(</w:t>
            </w:r>
            <w:r>
              <w:rPr>
                <w:sz w:val="20"/>
                <w:szCs w:val="20"/>
              </w:rPr>
              <w:t>5.69</w:t>
            </w:r>
            <w:r w:rsidRPr="00CC2ED3">
              <w:rPr>
                <w:sz w:val="20"/>
                <w:szCs w:val="20"/>
              </w:rPr>
              <w:t>)</w:t>
            </w:r>
          </w:p>
        </w:tc>
        <w:tc>
          <w:tcPr>
            <w:tcW w:w="1149" w:type="dxa"/>
          </w:tcPr>
          <w:p w14:paraId="548DE54C" w14:textId="77777777" w:rsidR="00E16CAB" w:rsidRPr="00CC2ED3" w:rsidRDefault="00E16CAB" w:rsidP="00E16CAB">
            <w:pPr>
              <w:jc w:val="center"/>
              <w:rPr>
                <w:sz w:val="20"/>
                <w:szCs w:val="20"/>
              </w:rPr>
            </w:pPr>
          </w:p>
        </w:tc>
        <w:tc>
          <w:tcPr>
            <w:tcW w:w="1149" w:type="dxa"/>
          </w:tcPr>
          <w:p w14:paraId="62A286E0" w14:textId="77777777" w:rsidR="00E16CAB" w:rsidRPr="00CC2ED3" w:rsidRDefault="00E16CAB" w:rsidP="00E16CAB">
            <w:pPr>
              <w:jc w:val="center"/>
              <w:rPr>
                <w:sz w:val="20"/>
                <w:szCs w:val="20"/>
              </w:rPr>
            </w:pPr>
          </w:p>
        </w:tc>
        <w:tc>
          <w:tcPr>
            <w:tcW w:w="1149" w:type="dxa"/>
          </w:tcPr>
          <w:p w14:paraId="101D194B" w14:textId="180467E1" w:rsidR="00E16CAB" w:rsidRPr="00CC2ED3" w:rsidRDefault="00E16CAB" w:rsidP="00E16CAB">
            <w:pPr>
              <w:jc w:val="center"/>
              <w:rPr>
                <w:sz w:val="20"/>
                <w:szCs w:val="20"/>
              </w:rPr>
            </w:pPr>
            <w:r w:rsidRPr="00CC2ED3">
              <w:rPr>
                <w:sz w:val="20"/>
                <w:szCs w:val="20"/>
              </w:rPr>
              <w:t>(</w:t>
            </w:r>
            <w:r>
              <w:rPr>
                <w:sz w:val="20"/>
                <w:szCs w:val="20"/>
              </w:rPr>
              <w:t>-0.07</w:t>
            </w:r>
            <w:r w:rsidRPr="00CC2ED3">
              <w:rPr>
                <w:sz w:val="20"/>
                <w:szCs w:val="20"/>
              </w:rPr>
              <w:t>)</w:t>
            </w:r>
          </w:p>
        </w:tc>
        <w:tc>
          <w:tcPr>
            <w:tcW w:w="1149" w:type="dxa"/>
          </w:tcPr>
          <w:p w14:paraId="47600486" w14:textId="77777777" w:rsidR="00E16CAB" w:rsidRPr="00CC2ED3" w:rsidRDefault="00E16CAB" w:rsidP="00E16CAB">
            <w:pPr>
              <w:jc w:val="center"/>
              <w:rPr>
                <w:sz w:val="20"/>
                <w:szCs w:val="20"/>
              </w:rPr>
            </w:pPr>
          </w:p>
        </w:tc>
        <w:tc>
          <w:tcPr>
            <w:tcW w:w="1149" w:type="dxa"/>
          </w:tcPr>
          <w:p w14:paraId="499A5DF3" w14:textId="77777777" w:rsidR="00E16CAB" w:rsidRPr="00A976EA" w:rsidRDefault="00E16CAB" w:rsidP="00E16CAB">
            <w:pPr>
              <w:jc w:val="center"/>
              <w:rPr>
                <w:sz w:val="20"/>
                <w:szCs w:val="20"/>
              </w:rPr>
            </w:pPr>
          </w:p>
        </w:tc>
      </w:tr>
      <w:tr w:rsidR="00E16CAB" w:rsidRPr="00CC2ED3" w14:paraId="3FC82B66" w14:textId="77777777" w:rsidTr="00CC2ED3">
        <w:trPr>
          <w:trHeight w:hRule="exact" w:val="271"/>
          <w:jc w:val="center"/>
        </w:trPr>
        <w:tc>
          <w:tcPr>
            <w:tcW w:w="1148" w:type="dxa"/>
            <w:shd w:val="clear" w:color="auto" w:fill="F2F2F2"/>
          </w:tcPr>
          <w:p w14:paraId="6E3BDCF7" w14:textId="246A6745" w:rsidR="00E16CAB" w:rsidRPr="00CC2ED3" w:rsidRDefault="00E16CAB" w:rsidP="00E16CAB">
            <w:pPr>
              <w:pStyle w:val="TableParagraph"/>
              <w:jc w:val="right"/>
              <w:rPr>
                <w:rFonts w:eastAsia="Calibri" w:cs="Calibri"/>
                <w:sz w:val="20"/>
                <w:szCs w:val="20"/>
              </w:rPr>
            </w:pPr>
            <w:r>
              <w:rPr>
                <w:sz w:val="20"/>
                <w:szCs w:val="20"/>
              </w:rPr>
              <w:t>143.94</w:t>
            </w:r>
          </w:p>
        </w:tc>
        <w:tc>
          <w:tcPr>
            <w:tcW w:w="1149" w:type="dxa"/>
            <w:shd w:val="clear" w:color="auto" w:fill="F2F2F2"/>
          </w:tcPr>
          <w:p w14:paraId="0998F3D5" w14:textId="238379BE" w:rsidR="00E16CAB" w:rsidRPr="00CC2ED3" w:rsidRDefault="00E16CAB" w:rsidP="00E16CAB">
            <w:pPr>
              <w:pStyle w:val="TableParagraph"/>
              <w:jc w:val="right"/>
              <w:rPr>
                <w:rFonts w:eastAsia="Calibri" w:cs="Calibri"/>
                <w:sz w:val="20"/>
                <w:szCs w:val="20"/>
              </w:rPr>
            </w:pPr>
            <w:r>
              <w:rPr>
                <w:sz w:val="20"/>
                <w:szCs w:val="20"/>
              </w:rPr>
              <w:t>2.454</w:t>
            </w:r>
          </w:p>
        </w:tc>
        <w:tc>
          <w:tcPr>
            <w:tcW w:w="1149" w:type="dxa"/>
            <w:shd w:val="clear" w:color="auto" w:fill="F2F2F2"/>
          </w:tcPr>
          <w:p w14:paraId="4BCEEED8" w14:textId="1C9E45E6" w:rsidR="00E16CAB" w:rsidRPr="00CC2ED3" w:rsidRDefault="00E16CAB" w:rsidP="00E16CAB">
            <w:pPr>
              <w:pStyle w:val="TableParagraph"/>
              <w:jc w:val="right"/>
              <w:rPr>
                <w:rFonts w:eastAsia="Calibri" w:cs="Calibri"/>
                <w:sz w:val="20"/>
                <w:szCs w:val="20"/>
              </w:rPr>
            </w:pPr>
            <w:r w:rsidRPr="00CC2ED3">
              <w:rPr>
                <w:sz w:val="20"/>
                <w:szCs w:val="20"/>
              </w:rPr>
              <w:t>0.1</w:t>
            </w:r>
            <w:r>
              <w:rPr>
                <w:sz w:val="20"/>
                <w:szCs w:val="20"/>
              </w:rPr>
              <w:t>50</w:t>
            </w:r>
          </w:p>
        </w:tc>
        <w:tc>
          <w:tcPr>
            <w:tcW w:w="1149" w:type="dxa"/>
            <w:shd w:val="clear" w:color="auto" w:fill="F2F2F2"/>
          </w:tcPr>
          <w:p w14:paraId="5CADC4B6" w14:textId="1A8FCF4D" w:rsidR="00E16CAB" w:rsidRPr="00CC2ED3" w:rsidRDefault="00E16CAB" w:rsidP="00E16CAB">
            <w:pPr>
              <w:pStyle w:val="TableParagraph"/>
              <w:jc w:val="right"/>
              <w:rPr>
                <w:rFonts w:eastAsia="Calibri" w:cs="Calibri"/>
                <w:sz w:val="20"/>
                <w:szCs w:val="20"/>
              </w:rPr>
            </w:pPr>
            <w:r>
              <w:rPr>
                <w:sz w:val="20"/>
                <w:szCs w:val="20"/>
              </w:rPr>
              <w:t>-3.029</w:t>
            </w:r>
          </w:p>
        </w:tc>
        <w:tc>
          <w:tcPr>
            <w:tcW w:w="1149" w:type="dxa"/>
            <w:shd w:val="clear" w:color="auto" w:fill="F2F2F2"/>
          </w:tcPr>
          <w:p w14:paraId="116057B5" w14:textId="77777777" w:rsidR="00E16CAB" w:rsidRPr="00CC2ED3" w:rsidRDefault="00E16CAB" w:rsidP="00E16CAB">
            <w:pPr>
              <w:pStyle w:val="TableParagraph"/>
              <w:jc w:val="right"/>
              <w:rPr>
                <w:rFonts w:eastAsia="Calibri" w:cs="Calibri"/>
                <w:sz w:val="20"/>
                <w:szCs w:val="20"/>
              </w:rPr>
            </w:pPr>
          </w:p>
        </w:tc>
        <w:tc>
          <w:tcPr>
            <w:tcW w:w="1148" w:type="dxa"/>
            <w:shd w:val="clear" w:color="auto" w:fill="F2F2F2"/>
          </w:tcPr>
          <w:p w14:paraId="0EFE07C6" w14:textId="77777777"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427CF186" w14:textId="2F7726BA" w:rsidR="00E16CAB" w:rsidRPr="00CC2ED3" w:rsidRDefault="00E16CAB" w:rsidP="00E16CAB">
            <w:pPr>
              <w:pStyle w:val="TableParagraph"/>
              <w:jc w:val="center"/>
              <w:rPr>
                <w:rFonts w:eastAsia="Calibri" w:cs="Calibri"/>
                <w:sz w:val="20"/>
                <w:szCs w:val="20"/>
              </w:rPr>
            </w:pPr>
            <w:r>
              <w:rPr>
                <w:rFonts w:eastAsia="Calibri" w:cs="Calibri"/>
                <w:sz w:val="20"/>
                <w:szCs w:val="20"/>
              </w:rPr>
              <w:t>89.575</w:t>
            </w:r>
          </w:p>
        </w:tc>
        <w:tc>
          <w:tcPr>
            <w:tcW w:w="1149" w:type="dxa"/>
            <w:shd w:val="clear" w:color="auto" w:fill="F2F2F2"/>
          </w:tcPr>
          <w:p w14:paraId="4E4A7D2B" w14:textId="77777777" w:rsidR="00E16CAB" w:rsidRPr="00CC2ED3" w:rsidRDefault="00E16CAB" w:rsidP="00E16CAB">
            <w:pPr>
              <w:pStyle w:val="TableParagraph"/>
              <w:jc w:val="center"/>
              <w:rPr>
                <w:rFonts w:eastAsia="Calibri" w:cs="Calibri"/>
                <w:sz w:val="20"/>
                <w:szCs w:val="20"/>
              </w:rPr>
            </w:pPr>
          </w:p>
        </w:tc>
        <w:tc>
          <w:tcPr>
            <w:tcW w:w="1149" w:type="dxa"/>
            <w:shd w:val="clear" w:color="auto" w:fill="F2F2F2"/>
          </w:tcPr>
          <w:p w14:paraId="1AB0AC25" w14:textId="4EA9F9BA" w:rsidR="00E16CAB" w:rsidRPr="00CC2ED3" w:rsidRDefault="00E16CAB" w:rsidP="00E16CAB">
            <w:pPr>
              <w:pStyle w:val="TableParagraph"/>
              <w:jc w:val="center"/>
              <w:rPr>
                <w:rFonts w:eastAsia="Calibri" w:cs="Calibri"/>
                <w:sz w:val="20"/>
                <w:szCs w:val="20"/>
              </w:rPr>
            </w:pPr>
            <w:r w:rsidRPr="00CC2ED3">
              <w:rPr>
                <w:sz w:val="20"/>
                <w:szCs w:val="20"/>
              </w:rPr>
              <w:t>0.</w:t>
            </w:r>
            <w:r>
              <w:rPr>
                <w:sz w:val="20"/>
                <w:szCs w:val="20"/>
              </w:rPr>
              <w:t>137</w:t>
            </w:r>
          </w:p>
        </w:tc>
        <w:tc>
          <w:tcPr>
            <w:tcW w:w="1149" w:type="dxa"/>
            <w:shd w:val="clear" w:color="auto" w:fill="F2F2F2"/>
          </w:tcPr>
          <w:p w14:paraId="06C8D2E6" w14:textId="18E8D1CB" w:rsidR="00E16CAB" w:rsidRPr="00CC2ED3" w:rsidRDefault="00E16CAB" w:rsidP="00E16CAB">
            <w:pPr>
              <w:pStyle w:val="TableParagraph"/>
              <w:jc w:val="center"/>
              <w:rPr>
                <w:rFonts w:eastAsia="Calibri" w:cs="Calibri"/>
                <w:sz w:val="20"/>
                <w:szCs w:val="20"/>
              </w:rPr>
            </w:pPr>
            <w:r w:rsidRPr="00CC2ED3">
              <w:rPr>
                <w:sz w:val="20"/>
                <w:szCs w:val="20"/>
              </w:rPr>
              <w:t>0.</w:t>
            </w:r>
            <w:r>
              <w:rPr>
                <w:sz w:val="20"/>
                <w:szCs w:val="20"/>
              </w:rPr>
              <w:t>97</w:t>
            </w:r>
          </w:p>
        </w:tc>
        <w:tc>
          <w:tcPr>
            <w:tcW w:w="1149" w:type="dxa"/>
            <w:shd w:val="clear" w:color="auto" w:fill="F2F2F2"/>
          </w:tcPr>
          <w:p w14:paraId="614F71A8" w14:textId="5D3B533C" w:rsidR="00E16CAB" w:rsidRPr="00A976EA" w:rsidRDefault="00E16CAB" w:rsidP="00E16CAB">
            <w:pPr>
              <w:pStyle w:val="TableParagraph"/>
              <w:jc w:val="center"/>
              <w:rPr>
                <w:rFonts w:eastAsia="Calibri" w:cs="Calibri"/>
                <w:sz w:val="20"/>
                <w:szCs w:val="20"/>
              </w:rPr>
            </w:pPr>
            <w:r w:rsidRPr="00A976EA">
              <w:rPr>
                <w:sz w:val="20"/>
                <w:szCs w:val="20"/>
              </w:rPr>
              <w:t>2.07</w:t>
            </w:r>
          </w:p>
        </w:tc>
      </w:tr>
      <w:tr w:rsidR="00E16CAB" w:rsidRPr="00CC2ED3" w14:paraId="75BBE1C4" w14:textId="77777777" w:rsidTr="00CC2ED3">
        <w:trPr>
          <w:trHeight w:hRule="exact" w:val="271"/>
          <w:jc w:val="center"/>
        </w:trPr>
        <w:tc>
          <w:tcPr>
            <w:tcW w:w="1148" w:type="dxa"/>
          </w:tcPr>
          <w:p w14:paraId="7D35BB12" w14:textId="20E17676" w:rsidR="00E16CAB" w:rsidRPr="00CC2ED3" w:rsidRDefault="00E16CAB" w:rsidP="00E16CAB">
            <w:pPr>
              <w:pStyle w:val="TableParagraph"/>
              <w:jc w:val="right"/>
              <w:rPr>
                <w:rFonts w:eastAsia="Calibri" w:cs="Calibri"/>
                <w:sz w:val="20"/>
                <w:szCs w:val="20"/>
              </w:rPr>
            </w:pPr>
            <w:r w:rsidRPr="00CC2ED3">
              <w:rPr>
                <w:sz w:val="20"/>
                <w:szCs w:val="20"/>
              </w:rPr>
              <w:t>(4.</w:t>
            </w:r>
            <w:r>
              <w:rPr>
                <w:sz w:val="20"/>
                <w:szCs w:val="20"/>
              </w:rPr>
              <w:t>4</w:t>
            </w:r>
            <w:r w:rsidRPr="00CC2ED3">
              <w:rPr>
                <w:sz w:val="20"/>
                <w:szCs w:val="20"/>
              </w:rPr>
              <w:t>8)</w:t>
            </w:r>
          </w:p>
        </w:tc>
        <w:tc>
          <w:tcPr>
            <w:tcW w:w="1149" w:type="dxa"/>
          </w:tcPr>
          <w:p w14:paraId="1156ABA3" w14:textId="476C30F0" w:rsidR="00E16CAB" w:rsidRPr="00CC2ED3" w:rsidRDefault="00E16CAB" w:rsidP="00E16CAB">
            <w:pPr>
              <w:pStyle w:val="TableParagraph"/>
              <w:jc w:val="right"/>
              <w:rPr>
                <w:rFonts w:eastAsia="Calibri" w:cs="Calibri"/>
                <w:sz w:val="20"/>
                <w:szCs w:val="20"/>
              </w:rPr>
            </w:pPr>
            <w:r w:rsidRPr="00CC2ED3">
              <w:rPr>
                <w:sz w:val="20"/>
                <w:szCs w:val="20"/>
              </w:rPr>
              <w:t>(</w:t>
            </w:r>
            <w:r>
              <w:rPr>
                <w:sz w:val="20"/>
                <w:szCs w:val="20"/>
              </w:rPr>
              <w:t>9.94</w:t>
            </w:r>
            <w:r w:rsidRPr="00CC2ED3">
              <w:rPr>
                <w:sz w:val="20"/>
                <w:szCs w:val="20"/>
              </w:rPr>
              <w:t>)</w:t>
            </w:r>
          </w:p>
        </w:tc>
        <w:tc>
          <w:tcPr>
            <w:tcW w:w="1149" w:type="dxa"/>
          </w:tcPr>
          <w:p w14:paraId="450336B3" w14:textId="47B942B8" w:rsidR="00E16CAB" w:rsidRPr="00CC2ED3" w:rsidRDefault="00E16CAB" w:rsidP="00E16CAB">
            <w:pPr>
              <w:pStyle w:val="TableParagraph"/>
              <w:jc w:val="right"/>
              <w:rPr>
                <w:rFonts w:eastAsia="Calibri" w:cs="Calibri"/>
                <w:sz w:val="20"/>
                <w:szCs w:val="20"/>
              </w:rPr>
            </w:pPr>
            <w:r>
              <w:rPr>
                <w:sz w:val="20"/>
                <w:szCs w:val="20"/>
              </w:rPr>
              <w:t>(</w:t>
            </w:r>
            <w:r w:rsidRPr="00CC2ED3">
              <w:rPr>
                <w:sz w:val="20"/>
                <w:szCs w:val="20"/>
              </w:rPr>
              <w:t>0.</w:t>
            </w:r>
            <w:r>
              <w:rPr>
                <w:sz w:val="20"/>
                <w:szCs w:val="20"/>
              </w:rPr>
              <w:t>37</w:t>
            </w:r>
            <w:r w:rsidRPr="00CC2ED3">
              <w:rPr>
                <w:sz w:val="20"/>
                <w:szCs w:val="20"/>
              </w:rPr>
              <w:t>)</w:t>
            </w:r>
          </w:p>
        </w:tc>
        <w:tc>
          <w:tcPr>
            <w:tcW w:w="1149" w:type="dxa"/>
          </w:tcPr>
          <w:p w14:paraId="27564A7E" w14:textId="18B7C1FC" w:rsidR="00E16CAB" w:rsidRPr="00CC2ED3" w:rsidRDefault="00E16CAB" w:rsidP="00E16CAB">
            <w:pPr>
              <w:pStyle w:val="TableParagraph"/>
              <w:jc w:val="right"/>
              <w:rPr>
                <w:rFonts w:eastAsia="Calibri" w:cs="Calibri"/>
                <w:sz w:val="20"/>
                <w:szCs w:val="20"/>
              </w:rPr>
            </w:pPr>
            <w:r w:rsidRPr="00CC2ED3">
              <w:rPr>
                <w:sz w:val="20"/>
                <w:szCs w:val="20"/>
              </w:rPr>
              <w:t>(</w:t>
            </w:r>
            <w:r>
              <w:rPr>
                <w:sz w:val="20"/>
                <w:szCs w:val="20"/>
              </w:rPr>
              <w:t>-</w:t>
            </w:r>
            <w:r w:rsidRPr="00CC2ED3">
              <w:rPr>
                <w:sz w:val="20"/>
                <w:szCs w:val="20"/>
              </w:rPr>
              <w:t>0.</w:t>
            </w:r>
            <w:r>
              <w:rPr>
                <w:sz w:val="20"/>
                <w:szCs w:val="20"/>
              </w:rPr>
              <w:t>08</w:t>
            </w:r>
            <w:r w:rsidRPr="00CC2ED3">
              <w:rPr>
                <w:sz w:val="20"/>
                <w:szCs w:val="20"/>
              </w:rPr>
              <w:t>)</w:t>
            </w:r>
          </w:p>
        </w:tc>
        <w:tc>
          <w:tcPr>
            <w:tcW w:w="1149" w:type="dxa"/>
          </w:tcPr>
          <w:p w14:paraId="347498F8" w14:textId="77777777" w:rsidR="00E16CAB" w:rsidRPr="00CC2ED3" w:rsidRDefault="00E16CAB" w:rsidP="00E16CAB">
            <w:pPr>
              <w:pStyle w:val="TableParagraph"/>
              <w:jc w:val="right"/>
              <w:rPr>
                <w:rFonts w:eastAsia="Calibri" w:cs="Calibri"/>
                <w:sz w:val="20"/>
                <w:szCs w:val="20"/>
              </w:rPr>
            </w:pPr>
          </w:p>
        </w:tc>
        <w:tc>
          <w:tcPr>
            <w:tcW w:w="1148" w:type="dxa"/>
          </w:tcPr>
          <w:p w14:paraId="11D690ED" w14:textId="77777777" w:rsidR="00E16CAB" w:rsidRPr="00CC2ED3" w:rsidRDefault="00E16CAB" w:rsidP="00E16CAB">
            <w:pPr>
              <w:jc w:val="center"/>
              <w:rPr>
                <w:sz w:val="20"/>
                <w:szCs w:val="20"/>
              </w:rPr>
            </w:pPr>
          </w:p>
        </w:tc>
        <w:tc>
          <w:tcPr>
            <w:tcW w:w="1149" w:type="dxa"/>
          </w:tcPr>
          <w:p w14:paraId="6F828B2B" w14:textId="53813ED5" w:rsidR="00E16CAB" w:rsidRPr="00CC2ED3" w:rsidRDefault="00E16CAB" w:rsidP="00E16CAB">
            <w:pPr>
              <w:jc w:val="center"/>
              <w:rPr>
                <w:sz w:val="20"/>
                <w:szCs w:val="20"/>
              </w:rPr>
            </w:pPr>
            <w:r w:rsidRPr="00CC2ED3">
              <w:rPr>
                <w:sz w:val="20"/>
                <w:szCs w:val="20"/>
              </w:rPr>
              <w:t>(</w:t>
            </w:r>
            <w:r>
              <w:rPr>
                <w:sz w:val="20"/>
                <w:szCs w:val="20"/>
              </w:rPr>
              <w:t>3.66</w:t>
            </w:r>
            <w:r w:rsidRPr="00CC2ED3">
              <w:rPr>
                <w:sz w:val="20"/>
                <w:szCs w:val="20"/>
              </w:rPr>
              <w:t>)</w:t>
            </w:r>
          </w:p>
        </w:tc>
        <w:tc>
          <w:tcPr>
            <w:tcW w:w="1149" w:type="dxa"/>
          </w:tcPr>
          <w:p w14:paraId="7E21DDDD" w14:textId="77777777" w:rsidR="00E16CAB" w:rsidRPr="00CC2ED3" w:rsidRDefault="00E16CAB" w:rsidP="00E16CAB">
            <w:pPr>
              <w:jc w:val="center"/>
              <w:rPr>
                <w:sz w:val="20"/>
                <w:szCs w:val="20"/>
              </w:rPr>
            </w:pPr>
          </w:p>
        </w:tc>
        <w:tc>
          <w:tcPr>
            <w:tcW w:w="1149" w:type="dxa"/>
          </w:tcPr>
          <w:p w14:paraId="74496131" w14:textId="0E974976" w:rsidR="00E16CAB" w:rsidRPr="00CC2ED3" w:rsidRDefault="00E16CAB" w:rsidP="00E16CAB">
            <w:pPr>
              <w:jc w:val="center"/>
              <w:rPr>
                <w:sz w:val="20"/>
                <w:szCs w:val="20"/>
              </w:rPr>
            </w:pPr>
            <w:r w:rsidRPr="00CC2ED3">
              <w:rPr>
                <w:sz w:val="20"/>
                <w:szCs w:val="20"/>
              </w:rPr>
              <w:t>(</w:t>
            </w:r>
            <w:r>
              <w:rPr>
                <w:sz w:val="20"/>
                <w:szCs w:val="20"/>
              </w:rPr>
              <w:t>0.86</w:t>
            </w:r>
            <w:r w:rsidRPr="00CC2ED3">
              <w:rPr>
                <w:sz w:val="20"/>
                <w:szCs w:val="20"/>
              </w:rPr>
              <w:t>)</w:t>
            </w:r>
          </w:p>
        </w:tc>
        <w:tc>
          <w:tcPr>
            <w:tcW w:w="1149" w:type="dxa"/>
          </w:tcPr>
          <w:p w14:paraId="3E228305" w14:textId="77777777" w:rsidR="00E16CAB" w:rsidRPr="00CC2ED3" w:rsidRDefault="00E16CAB" w:rsidP="00E16CAB">
            <w:pPr>
              <w:jc w:val="center"/>
              <w:rPr>
                <w:sz w:val="20"/>
                <w:szCs w:val="20"/>
              </w:rPr>
            </w:pPr>
          </w:p>
        </w:tc>
        <w:tc>
          <w:tcPr>
            <w:tcW w:w="1149" w:type="dxa"/>
          </w:tcPr>
          <w:p w14:paraId="4D093826" w14:textId="77777777" w:rsidR="00E16CAB" w:rsidRPr="00A976EA" w:rsidRDefault="00E16CAB" w:rsidP="00E16CAB">
            <w:pPr>
              <w:jc w:val="center"/>
              <w:rPr>
                <w:sz w:val="20"/>
                <w:szCs w:val="20"/>
              </w:rPr>
            </w:pPr>
          </w:p>
        </w:tc>
      </w:tr>
      <w:tr w:rsidR="00E16CAB" w:rsidRPr="00CC2ED3" w14:paraId="64298657" w14:textId="77777777" w:rsidTr="00CC2ED3">
        <w:trPr>
          <w:trHeight w:hRule="exact" w:val="271"/>
          <w:jc w:val="center"/>
        </w:trPr>
        <w:tc>
          <w:tcPr>
            <w:tcW w:w="1148" w:type="dxa"/>
          </w:tcPr>
          <w:p w14:paraId="43D125D9" w14:textId="57C68BC6" w:rsidR="00E16CAB" w:rsidRPr="00CC2ED3" w:rsidRDefault="00E16CAB" w:rsidP="00E16CAB">
            <w:pPr>
              <w:pStyle w:val="TableParagraph"/>
              <w:jc w:val="right"/>
              <w:rPr>
                <w:sz w:val="20"/>
                <w:szCs w:val="20"/>
              </w:rPr>
            </w:pPr>
            <w:r>
              <w:rPr>
                <w:sz w:val="20"/>
                <w:szCs w:val="20"/>
              </w:rPr>
              <w:t>166.00</w:t>
            </w:r>
          </w:p>
        </w:tc>
        <w:tc>
          <w:tcPr>
            <w:tcW w:w="1149" w:type="dxa"/>
          </w:tcPr>
          <w:p w14:paraId="49A5C33C" w14:textId="42B63CF2" w:rsidR="00E16CAB" w:rsidRPr="00CC2ED3" w:rsidRDefault="00E16CAB" w:rsidP="00E16CAB">
            <w:pPr>
              <w:pStyle w:val="TableParagraph"/>
              <w:jc w:val="right"/>
              <w:rPr>
                <w:sz w:val="20"/>
                <w:szCs w:val="20"/>
              </w:rPr>
            </w:pPr>
            <w:r>
              <w:rPr>
                <w:sz w:val="20"/>
                <w:szCs w:val="20"/>
              </w:rPr>
              <w:t>2</w:t>
            </w:r>
            <w:r w:rsidRPr="00CC2ED3">
              <w:rPr>
                <w:sz w:val="20"/>
                <w:szCs w:val="20"/>
              </w:rPr>
              <w:t>.</w:t>
            </w:r>
            <w:r>
              <w:rPr>
                <w:sz w:val="20"/>
                <w:szCs w:val="20"/>
              </w:rPr>
              <w:t>588</w:t>
            </w:r>
          </w:p>
        </w:tc>
        <w:tc>
          <w:tcPr>
            <w:tcW w:w="1149" w:type="dxa"/>
          </w:tcPr>
          <w:p w14:paraId="773FA09F" w14:textId="28DD2589" w:rsidR="00E16CAB" w:rsidRPr="00CC2ED3" w:rsidRDefault="00E16CAB" w:rsidP="00E16CAB">
            <w:pPr>
              <w:pStyle w:val="TableParagraph"/>
              <w:jc w:val="right"/>
              <w:rPr>
                <w:sz w:val="20"/>
                <w:szCs w:val="20"/>
              </w:rPr>
            </w:pPr>
            <w:r w:rsidRPr="00CC2ED3">
              <w:rPr>
                <w:sz w:val="20"/>
                <w:szCs w:val="20"/>
              </w:rPr>
              <w:t>-0.0</w:t>
            </w:r>
            <w:r>
              <w:rPr>
                <w:sz w:val="20"/>
                <w:szCs w:val="20"/>
              </w:rPr>
              <w:t>69</w:t>
            </w:r>
          </w:p>
        </w:tc>
        <w:tc>
          <w:tcPr>
            <w:tcW w:w="1149" w:type="dxa"/>
          </w:tcPr>
          <w:p w14:paraId="5F01ED12" w14:textId="14775A5E" w:rsidR="00E16CAB" w:rsidRPr="00CC2ED3" w:rsidRDefault="00E16CAB" w:rsidP="00E16CAB">
            <w:pPr>
              <w:pStyle w:val="TableParagraph"/>
              <w:jc w:val="right"/>
              <w:rPr>
                <w:sz w:val="20"/>
                <w:szCs w:val="20"/>
              </w:rPr>
            </w:pPr>
            <w:r>
              <w:rPr>
                <w:sz w:val="20"/>
                <w:szCs w:val="20"/>
              </w:rPr>
              <w:t>13.501</w:t>
            </w:r>
          </w:p>
        </w:tc>
        <w:tc>
          <w:tcPr>
            <w:tcW w:w="1149" w:type="dxa"/>
          </w:tcPr>
          <w:p w14:paraId="67F0A860" w14:textId="77777777" w:rsidR="00E16CAB" w:rsidRPr="00CC2ED3" w:rsidRDefault="00E16CAB" w:rsidP="00E16CAB">
            <w:pPr>
              <w:pStyle w:val="TableParagraph"/>
              <w:jc w:val="right"/>
              <w:rPr>
                <w:sz w:val="20"/>
                <w:szCs w:val="20"/>
              </w:rPr>
            </w:pPr>
          </w:p>
        </w:tc>
        <w:tc>
          <w:tcPr>
            <w:tcW w:w="1148" w:type="dxa"/>
          </w:tcPr>
          <w:p w14:paraId="1F3E8EAA" w14:textId="77777777" w:rsidR="00E16CAB" w:rsidRPr="00CC2ED3" w:rsidRDefault="00E16CAB" w:rsidP="00E16CAB">
            <w:pPr>
              <w:jc w:val="center"/>
              <w:rPr>
                <w:sz w:val="20"/>
                <w:szCs w:val="20"/>
              </w:rPr>
            </w:pPr>
          </w:p>
        </w:tc>
        <w:tc>
          <w:tcPr>
            <w:tcW w:w="1149" w:type="dxa"/>
          </w:tcPr>
          <w:p w14:paraId="3DF3C69B" w14:textId="77777777" w:rsidR="00E16CAB" w:rsidRPr="00CC2ED3" w:rsidRDefault="00E16CAB" w:rsidP="00E16CAB">
            <w:pPr>
              <w:jc w:val="center"/>
              <w:rPr>
                <w:sz w:val="20"/>
                <w:szCs w:val="20"/>
              </w:rPr>
            </w:pPr>
          </w:p>
        </w:tc>
        <w:tc>
          <w:tcPr>
            <w:tcW w:w="1149" w:type="dxa"/>
          </w:tcPr>
          <w:p w14:paraId="4C1700A6" w14:textId="78120D1B" w:rsidR="00E16CAB" w:rsidRPr="00CC2ED3" w:rsidRDefault="00E16CAB" w:rsidP="00E16CAB">
            <w:pPr>
              <w:jc w:val="center"/>
              <w:rPr>
                <w:sz w:val="20"/>
                <w:szCs w:val="20"/>
              </w:rPr>
            </w:pPr>
            <w:r>
              <w:rPr>
                <w:sz w:val="20"/>
                <w:szCs w:val="20"/>
              </w:rPr>
              <w:t>77.122</w:t>
            </w:r>
          </w:p>
        </w:tc>
        <w:tc>
          <w:tcPr>
            <w:tcW w:w="1149" w:type="dxa"/>
          </w:tcPr>
          <w:p w14:paraId="2980C011" w14:textId="77B0192A" w:rsidR="00E16CAB" w:rsidRPr="00CC2ED3" w:rsidRDefault="00E16CAB" w:rsidP="00E16CAB">
            <w:pPr>
              <w:jc w:val="center"/>
              <w:rPr>
                <w:sz w:val="20"/>
                <w:szCs w:val="20"/>
              </w:rPr>
            </w:pPr>
            <w:r w:rsidRPr="00CC2ED3">
              <w:rPr>
                <w:sz w:val="20"/>
                <w:szCs w:val="20"/>
              </w:rPr>
              <w:t>0.</w:t>
            </w:r>
            <w:r>
              <w:rPr>
                <w:sz w:val="20"/>
                <w:szCs w:val="20"/>
              </w:rPr>
              <w:t>360</w:t>
            </w:r>
          </w:p>
        </w:tc>
        <w:tc>
          <w:tcPr>
            <w:tcW w:w="1149" w:type="dxa"/>
          </w:tcPr>
          <w:p w14:paraId="4B5504E5" w14:textId="72D8B822" w:rsidR="00E16CAB" w:rsidRPr="00CC2ED3" w:rsidRDefault="00E16CAB" w:rsidP="00E16CAB">
            <w:pPr>
              <w:jc w:val="center"/>
              <w:rPr>
                <w:sz w:val="20"/>
                <w:szCs w:val="20"/>
              </w:rPr>
            </w:pPr>
            <w:r w:rsidRPr="00CC2ED3">
              <w:rPr>
                <w:sz w:val="20"/>
                <w:szCs w:val="20"/>
              </w:rPr>
              <w:t>0.</w:t>
            </w:r>
            <w:r>
              <w:rPr>
                <w:sz w:val="20"/>
                <w:szCs w:val="20"/>
              </w:rPr>
              <w:t>97</w:t>
            </w:r>
          </w:p>
        </w:tc>
        <w:tc>
          <w:tcPr>
            <w:tcW w:w="1149" w:type="dxa"/>
          </w:tcPr>
          <w:p w14:paraId="17A9B24A" w14:textId="0DA18B53" w:rsidR="00E16CAB" w:rsidRPr="00A976EA" w:rsidRDefault="00E16CAB" w:rsidP="00E16CAB">
            <w:pPr>
              <w:jc w:val="center"/>
              <w:rPr>
                <w:sz w:val="20"/>
                <w:szCs w:val="20"/>
              </w:rPr>
            </w:pPr>
            <w:r w:rsidRPr="00A976EA">
              <w:rPr>
                <w:sz w:val="20"/>
                <w:szCs w:val="20"/>
              </w:rPr>
              <w:t>2.30</w:t>
            </w:r>
          </w:p>
        </w:tc>
      </w:tr>
      <w:tr w:rsidR="00E16CAB" w:rsidRPr="00CC2ED3" w14:paraId="544B6808" w14:textId="77777777" w:rsidTr="00CC2ED3">
        <w:trPr>
          <w:trHeight w:hRule="exact" w:val="271"/>
          <w:jc w:val="center"/>
        </w:trPr>
        <w:tc>
          <w:tcPr>
            <w:tcW w:w="1148" w:type="dxa"/>
          </w:tcPr>
          <w:p w14:paraId="2813A00F" w14:textId="34324D1D" w:rsidR="00E16CAB" w:rsidRPr="00CC2ED3" w:rsidRDefault="00E16CAB" w:rsidP="00E16CAB">
            <w:pPr>
              <w:pStyle w:val="TableParagraph"/>
              <w:jc w:val="right"/>
              <w:rPr>
                <w:sz w:val="20"/>
                <w:szCs w:val="20"/>
              </w:rPr>
            </w:pPr>
            <w:r w:rsidRPr="00CC2ED3">
              <w:rPr>
                <w:sz w:val="20"/>
                <w:szCs w:val="20"/>
              </w:rPr>
              <w:t>(4.</w:t>
            </w:r>
            <w:r>
              <w:rPr>
                <w:sz w:val="20"/>
                <w:szCs w:val="20"/>
              </w:rPr>
              <w:t>92</w:t>
            </w:r>
            <w:r w:rsidRPr="00CC2ED3">
              <w:rPr>
                <w:sz w:val="20"/>
                <w:szCs w:val="20"/>
              </w:rPr>
              <w:t>)</w:t>
            </w:r>
          </w:p>
        </w:tc>
        <w:tc>
          <w:tcPr>
            <w:tcW w:w="1149" w:type="dxa"/>
          </w:tcPr>
          <w:p w14:paraId="13F01ADF" w14:textId="58F68364" w:rsidR="00E16CAB" w:rsidRPr="00CC2ED3" w:rsidRDefault="00E16CAB" w:rsidP="00E16CAB">
            <w:pPr>
              <w:pStyle w:val="TableParagraph"/>
              <w:jc w:val="right"/>
              <w:rPr>
                <w:sz w:val="20"/>
                <w:szCs w:val="20"/>
              </w:rPr>
            </w:pPr>
            <w:r w:rsidRPr="00CC2ED3">
              <w:rPr>
                <w:sz w:val="20"/>
                <w:szCs w:val="20"/>
              </w:rPr>
              <w:t>(1</w:t>
            </w:r>
            <w:r>
              <w:rPr>
                <w:sz w:val="20"/>
                <w:szCs w:val="20"/>
              </w:rPr>
              <w:t>0</w:t>
            </w:r>
            <w:r w:rsidRPr="00CC2ED3">
              <w:rPr>
                <w:sz w:val="20"/>
                <w:szCs w:val="20"/>
              </w:rPr>
              <w:t>.</w:t>
            </w:r>
            <w:r>
              <w:rPr>
                <w:sz w:val="20"/>
                <w:szCs w:val="20"/>
              </w:rPr>
              <w:t>2</w:t>
            </w:r>
            <w:r w:rsidRPr="00CC2ED3">
              <w:rPr>
                <w:sz w:val="20"/>
                <w:szCs w:val="20"/>
              </w:rPr>
              <w:t>7)</w:t>
            </w:r>
          </w:p>
        </w:tc>
        <w:tc>
          <w:tcPr>
            <w:tcW w:w="1149" w:type="dxa"/>
          </w:tcPr>
          <w:p w14:paraId="7D43920F" w14:textId="6F93073E" w:rsidR="00E16CAB" w:rsidRPr="00CC2ED3" w:rsidRDefault="00E16CAB" w:rsidP="00E16CAB">
            <w:pPr>
              <w:pStyle w:val="TableParagraph"/>
              <w:jc w:val="right"/>
              <w:rPr>
                <w:sz w:val="20"/>
                <w:szCs w:val="20"/>
              </w:rPr>
            </w:pPr>
            <w:r w:rsidRPr="00CC2ED3">
              <w:rPr>
                <w:sz w:val="20"/>
                <w:szCs w:val="20"/>
              </w:rPr>
              <w:t>(-0.</w:t>
            </w:r>
            <w:r>
              <w:rPr>
                <w:sz w:val="20"/>
                <w:szCs w:val="20"/>
              </w:rPr>
              <w:t>17</w:t>
            </w:r>
            <w:r w:rsidRPr="00CC2ED3">
              <w:rPr>
                <w:sz w:val="20"/>
                <w:szCs w:val="20"/>
              </w:rPr>
              <w:t>)</w:t>
            </w:r>
          </w:p>
        </w:tc>
        <w:tc>
          <w:tcPr>
            <w:tcW w:w="1149" w:type="dxa"/>
          </w:tcPr>
          <w:p w14:paraId="24473A5E" w14:textId="0DF9087C" w:rsidR="00E16CAB" w:rsidRPr="00CC2ED3" w:rsidRDefault="00E16CAB" w:rsidP="00E16CAB">
            <w:pPr>
              <w:pStyle w:val="TableParagraph"/>
              <w:jc w:val="right"/>
              <w:rPr>
                <w:sz w:val="20"/>
                <w:szCs w:val="20"/>
              </w:rPr>
            </w:pPr>
            <w:r w:rsidRPr="00CC2ED3">
              <w:rPr>
                <w:sz w:val="20"/>
                <w:szCs w:val="20"/>
              </w:rPr>
              <w:t>(0.</w:t>
            </w:r>
            <w:r>
              <w:rPr>
                <w:sz w:val="20"/>
                <w:szCs w:val="20"/>
              </w:rPr>
              <w:t>42</w:t>
            </w:r>
            <w:r w:rsidRPr="00CC2ED3">
              <w:rPr>
                <w:sz w:val="20"/>
                <w:szCs w:val="20"/>
              </w:rPr>
              <w:t>)</w:t>
            </w:r>
          </w:p>
        </w:tc>
        <w:tc>
          <w:tcPr>
            <w:tcW w:w="1149" w:type="dxa"/>
          </w:tcPr>
          <w:p w14:paraId="5B96F7CC" w14:textId="77777777" w:rsidR="00E16CAB" w:rsidRPr="00CC2ED3" w:rsidRDefault="00E16CAB" w:rsidP="00E16CAB">
            <w:pPr>
              <w:pStyle w:val="TableParagraph"/>
              <w:jc w:val="right"/>
              <w:rPr>
                <w:sz w:val="20"/>
                <w:szCs w:val="20"/>
              </w:rPr>
            </w:pPr>
          </w:p>
        </w:tc>
        <w:tc>
          <w:tcPr>
            <w:tcW w:w="1148" w:type="dxa"/>
          </w:tcPr>
          <w:p w14:paraId="1337A464" w14:textId="77777777" w:rsidR="00E16CAB" w:rsidRPr="00CC2ED3" w:rsidRDefault="00E16CAB" w:rsidP="00E16CAB">
            <w:pPr>
              <w:jc w:val="center"/>
              <w:rPr>
                <w:sz w:val="20"/>
                <w:szCs w:val="20"/>
              </w:rPr>
            </w:pPr>
          </w:p>
        </w:tc>
        <w:tc>
          <w:tcPr>
            <w:tcW w:w="1149" w:type="dxa"/>
          </w:tcPr>
          <w:p w14:paraId="58AA51F7" w14:textId="77777777" w:rsidR="00E16CAB" w:rsidRPr="00CC2ED3" w:rsidRDefault="00E16CAB" w:rsidP="00E16CAB">
            <w:pPr>
              <w:jc w:val="center"/>
              <w:rPr>
                <w:sz w:val="20"/>
                <w:szCs w:val="20"/>
              </w:rPr>
            </w:pPr>
          </w:p>
        </w:tc>
        <w:tc>
          <w:tcPr>
            <w:tcW w:w="1149" w:type="dxa"/>
          </w:tcPr>
          <w:p w14:paraId="19174F11" w14:textId="5CFD34DE" w:rsidR="00E16CAB" w:rsidRPr="00CC2ED3" w:rsidRDefault="00E16CAB" w:rsidP="00E16CAB">
            <w:pPr>
              <w:jc w:val="center"/>
              <w:rPr>
                <w:sz w:val="20"/>
                <w:szCs w:val="20"/>
              </w:rPr>
            </w:pPr>
            <w:r w:rsidRPr="00CC2ED3">
              <w:rPr>
                <w:sz w:val="20"/>
                <w:szCs w:val="20"/>
              </w:rPr>
              <w:t>(</w:t>
            </w:r>
            <w:r>
              <w:rPr>
                <w:sz w:val="20"/>
                <w:szCs w:val="20"/>
              </w:rPr>
              <w:t>2.33</w:t>
            </w:r>
            <w:r w:rsidRPr="00CC2ED3">
              <w:rPr>
                <w:sz w:val="20"/>
                <w:szCs w:val="20"/>
              </w:rPr>
              <w:t>)</w:t>
            </w:r>
          </w:p>
        </w:tc>
        <w:tc>
          <w:tcPr>
            <w:tcW w:w="1149" w:type="dxa"/>
          </w:tcPr>
          <w:p w14:paraId="2E410CF4" w14:textId="2F152D84" w:rsidR="00E16CAB" w:rsidRPr="00CC2ED3" w:rsidRDefault="00E16CAB" w:rsidP="00E16CAB">
            <w:pPr>
              <w:jc w:val="center"/>
              <w:rPr>
                <w:sz w:val="20"/>
                <w:szCs w:val="20"/>
              </w:rPr>
            </w:pPr>
            <w:r w:rsidRPr="00CC2ED3">
              <w:rPr>
                <w:sz w:val="20"/>
                <w:szCs w:val="20"/>
              </w:rPr>
              <w:t>(</w:t>
            </w:r>
            <w:r>
              <w:rPr>
                <w:sz w:val="20"/>
                <w:szCs w:val="20"/>
              </w:rPr>
              <w:t>2.51</w:t>
            </w:r>
            <w:r w:rsidRPr="00CC2ED3">
              <w:rPr>
                <w:sz w:val="20"/>
                <w:szCs w:val="20"/>
              </w:rPr>
              <w:t>)</w:t>
            </w:r>
          </w:p>
        </w:tc>
        <w:tc>
          <w:tcPr>
            <w:tcW w:w="1149" w:type="dxa"/>
          </w:tcPr>
          <w:p w14:paraId="109AB4F3" w14:textId="77777777" w:rsidR="00E16CAB" w:rsidRPr="00CC2ED3" w:rsidRDefault="00E16CAB" w:rsidP="00E16CAB">
            <w:pPr>
              <w:jc w:val="center"/>
              <w:rPr>
                <w:sz w:val="20"/>
                <w:szCs w:val="20"/>
              </w:rPr>
            </w:pPr>
          </w:p>
        </w:tc>
        <w:tc>
          <w:tcPr>
            <w:tcW w:w="1149" w:type="dxa"/>
          </w:tcPr>
          <w:p w14:paraId="1A1C8C9F" w14:textId="77777777" w:rsidR="00E16CAB" w:rsidRPr="00A976EA" w:rsidRDefault="00E16CAB" w:rsidP="00E16CAB">
            <w:pPr>
              <w:jc w:val="center"/>
              <w:rPr>
                <w:sz w:val="20"/>
                <w:szCs w:val="20"/>
              </w:rPr>
            </w:pPr>
          </w:p>
        </w:tc>
      </w:tr>
      <w:tr w:rsidR="00E16CAB" w:rsidRPr="00CC2ED3" w14:paraId="4E48A510" w14:textId="77777777" w:rsidTr="00CC2ED3">
        <w:trPr>
          <w:trHeight w:hRule="exact" w:val="271"/>
          <w:jc w:val="center"/>
        </w:trPr>
        <w:tc>
          <w:tcPr>
            <w:tcW w:w="1148" w:type="dxa"/>
          </w:tcPr>
          <w:p w14:paraId="6BE2E48E" w14:textId="7EBCBBE3" w:rsidR="00E16CAB" w:rsidRPr="00CC2ED3" w:rsidRDefault="008D2DB8" w:rsidP="00E16CAB">
            <w:pPr>
              <w:pStyle w:val="TableParagraph"/>
              <w:jc w:val="right"/>
              <w:rPr>
                <w:sz w:val="20"/>
                <w:szCs w:val="20"/>
              </w:rPr>
            </w:pPr>
            <w:r>
              <w:rPr>
                <w:sz w:val="20"/>
                <w:szCs w:val="20"/>
              </w:rPr>
              <w:t>81.102</w:t>
            </w:r>
          </w:p>
        </w:tc>
        <w:tc>
          <w:tcPr>
            <w:tcW w:w="1149" w:type="dxa"/>
          </w:tcPr>
          <w:p w14:paraId="7A66F9C4" w14:textId="31D04ACC" w:rsidR="00E16CAB" w:rsidRPr="00CC2ED3" w:rsidRDefault="008D2DB8" w:rsidP="00E16CAB">
            <w:pPr>
              <w:pStyle w:val="TableParagraph"/>
              <w:jc w:val="right"/>
              <w:rPr>
                <w:sz w:val="20"/>
                <w:szCs w:val="20"/>
              </w:rPr>
            </w:pPr>
            <w:r>
              <w:rPr>
                <w:sz w:val="20"/>
                <w:szCs w:val="20"/>
              </w:rPr>
              <w:t>2.946</w:t>
            </w:r>
          </w:p>
        </w:tc>
        <w:tc>
          <w:tcPr>
            <w:tcW w:w="1149" w:type="dxa"/>
          </w:tcPr>
          <w:p w14:paraId="5B88E0D8" w14:textId="5A3FE04F" w:rsidR="00E16CAB" w:rsidRPr="00CC2ED3" w:rsidRDefault="00E16CAB" w:rsidP="00E16CAB">
            <w:pPr>
              <w:pStyle w:val="TableParagraph"/>
              <w:jc w:val="right"/>
              <w:rPr>
                <w:sz w:val="20"/>
                <w:szCs w:val="20"/>
              </w:rPr>
            </w:pPr>
            <w:r w:rsidRPr="00CC2ED3">
              <w:rPr>
                <w:sz w:val="20"/>
                <w:szCs w:val="20"/>
              </w:rPr>
              <w:t>-0.</w:t>
            </w:r>
            <w:r w:rsidR="008D2DB8">
              <w:rPr>
                <w:sz w:val="20"/>
                <w:szCs w:val="20"/>
              </w:rPr>
              <w:t>636</w:t>
            </w:r>
          </w:p>
        </w:tc>
        <w:tc>
          <w:tcPr>
            <w:tcW w:w="1149" w:type="dxa"/>
          </w:tcPr>
          <w:p w14:paraId="2D269610" w14:textId="5F86E3A6" w:rsidR="00E16CAB" w:rsidRPr="00CC2ED3" w:rsidRDefault="008D2DB8" w:rsidP="00E16CAB">
            <w:pPr>
              <w:pStyle w:val="TableParagraph"/>
              <w:jc w:val="right"/>
              <w:rPr>
                <w:sz w:val="20"/>
                <w:szCs w:val="20"/>
              </w:rPr>
            </w:pPr>
            <w:r>
              <w:rPr>
                <w:sz w:val="20"/>
                <w:szCs w:val="20"/>
              </w:rPr>
              <w:t>26.150</w:t>
            </w:r>
          </w:p>
        </w:tc>
        <w:tc>
          <w:tcPr>
            <w:tcW w:w="1149" w:type="dxa"/>
          </w:tcPr>
          <w:p w14:paraId="3C57A440" w14:textId="54812DB5" w:rsidR="00E16CAB" w:rsidRPr="00CC2ED3" w:rsidRDefault="008D2DB8" w:rsidP="00E16CAB">
            <w:pPr>
              <w:pStyle w:val="TableParagraph"/>
              <w:jc w:val="right"/>
              <w:rPr>
                <w:sz w:val="20"/>
                <w:szCs w:val="20"/>
              </w:rPr>
            </w:pPr>
            <w:r>
              <w:rPr>
                <w:sz w:val="20"/>
                <w:szCs w:val="20"/>
              </w:rPr>
              <w:t>6.677</w:t>
            </w:r>
          </w:p>
        </w:tc>
        <w:tc>
          <w:tcPr>
            <w:tcW w:w="1148" w:type="dxa"/>
          </w:tcPr>
          <w:p w14:paraId="39178710" w14:textId="03E8C1A4" w:rsidR="00E16CAB" w:rsidRPr="00CC2ED3" w:rsidRDefault="00E16CAB" w:rsidP="00E16CAB">
            <w:pPr>
              <w:jc w:val="center"/>
              <w:rPr>
                <w:sz w:val="20"/>
                <w:szCs w:val="20"/>
              </w:rPr>
            </w:pPr>
            <w:r w:rsidRPr="00CC2ED3">
              <w:rPr>
                <w:sz w:val="20"/>
                <w:szCs w:val="20"/>
              </w:rPr>
              <w:t>-</w:t>
            </w:r>
            <w:r w:rsidR="008D2DB8">
              <w:rPr>
                <w:sz w:val="20"/>
                <w:szCs w:val="20"/>
              </w:rPr>
              <w:t>30.089</w:t>
            </w:r>
          </w:p>
        </w:tc>
        <w:tc>
          <w:tcPr>
            <w:tcW w:w="1149" w:type="dxa"/>
          </w:tcPr>
          <w:p w14:paraId="56A5331F" w14:textId="7FA8002B" w:rsidR="00E16CAB" w:rsidRPr="00CC2ED3" w:rsidRDefault="00E16CAB" w:rsidP="00E16CAB">
            <w:pPr>
              <w:jc w:val="center"/>
              <w:rPr>
                <w:sz w:val="20"/>
                <w:szCs w:val="20"/>
              </w:rPr>
            </w:pPr>
            <w:r w:rsidRPr="00CC2ED3">
              <w:rPr>
                <w:sz w:val="20"/>
                <w:szCs w:val="20"/>
              </w:rPr>
              <w:t>-</w:t>
            </w:r>
            <w:r w:rsidR="008D2DB8">
              <w:rPr>
                <w:sz w:val="20"/>
                <w:szCs w:val="20"/>
              </w:rPr>
              <w:t>8.322</w:t>
            </w:r>
          </w:p>
        </w:tc>
        <w:tc>
          <w:tcPr>
            <w:tcW w:w="1149" w:type="dxa"/>
          </w:tcPr>
          <w:p w14:paraId="1AA722F3" w14:textId="117EB1E0" w:rsidR="00E16CAB" w:rsidRPr="00CC2ED3" w:rsidRDefault="008D2DB8" w:rsidP="00E16CAB">
            <w:pPr>
              <w:jc w:val="center"/>
              <w:rPr>
                <w:sz w:val="20"/>
                <w:szCs w:val="20"/>
              </w:rPr>
            </w:pPr>
            <w:r>
              <w:rPr>
                <w:sz w:val="20"/>
                <w:szCs w:val="20"/>
              </w:rPr>
              <w:t>-86.962</w:t>
            </w:r>
          </w:p>
        </w:tc>
        <w:tc>
          <w:tcPr>
            <w:tcW w:w="1149" w:type="dxa"/>
          </w:tcPr>
          <w:p w14:paraId="18F49354" w14:textId="0994B5D5" w:rsidR="00E16CAB" w:rsidRPr="00CC2ED3" w:rsidRDefault="008D2DB8" w:rsidP="00E16CAB">
            <w:pPr>
              <w:jc w:val="center"/>
              <w:rPr>
                <w:sz w:val="20"/>
                <w:szCs w:val="20"/>
              </w:rPr>
            </w:pPr>
            <w:r>
              <w:rPr>
                <w:sz w:val="20"/>
                <w:szCs w:val="20"/>
              </w:rPr>
              <w:t>-</w:t>
            </w:r>
            <w:r w:rsidR="00E16CAB" w:rsidRPr="00CC2ED3">
              <w:rPr>
                <w:sz w:val="20"/>
                <w:szCs w:val="20"/>
              </w:rPr>
              <w:t>0.</w:t>
            </w:r>
            <w:r>
              <w:rPr>
                <w:sz w:val="20"/>
                <w:szCs w:val="20"/>
              </w:rPr>
              <w:t>482</w:t>
            </w:r>
          </w:p>
        </w:tc>
        <w:tc>
          <w:tcPr>
            <w:tcW w:w="1149" w:type="dxa"/>
          </w:tcPr>
          <w:p w14:paraId="79C4C931" w14:textId="5C426608" w:rsidR="00E16CAB" w:rsidRPr="00CC2ED3" w:rsidRDefault="00E16CAB" w:rsidP="00E16CAB">
            <w:pPr>
              <w:jc w:val="center"/>
              <w:rPr>
                <w:sz w:val="20"/>
                <w:szCs w:val="20"/>
              </w:rPr>
            </w:pPr>
            <w:r w:rsidRPr="00CC2ED3">
              <w:rPr>
                <w:sz w:val="20"/>
                <w:szCs w:val="20"/>
              </w:rPr>
              <w:t>0.</w:t>
            </w:r>
            <w:r w:rsidR="008D2DB8">
              <w:rPr>
                <w:sz w:val="20"/>
                <w:szCs w:val="20"/>
              </w:rPr>
              <w:t>99</w:t>
            </w:r>
          </w:p>
        </w:tc>
        <w:tc>
          <w:tcPr>
            <w:tcW w:w="1149" w:type="dxa"/>
          </w:tcPr>
          <w:p w14:paraId="0D67482D" w14:textId="65DF95F9" w:rsidR="00E16CAB" w:rsidRPr="00A976EA" w:rsidRDefault="00E16CAB" w:rsidP="00E16CAB">
            <w:pPr>
              <w:jc w:val="center"/>
              <w:rPr>
                <w:sz w:val="20"/>
                <w:szCs w:val="20"/>
              </w:rPr>
            </w:pPr>
            <w:r w:rsidRPr="00A976EA">
              <w:rPr>
                <w:sz w:val="20"/>
                <w:szCs w:val="20"/>
              </w:rPr>
              <w:t>1.</w:t>
            </w:r>
            <w:r w:rsidR="008D2DB8" w:rsidRPr="00A976EA">
              <w:rPr>
                <w:sz w:val="20"/>
                <w:szCs w:val="20"/>
              </w:rPr>
              <w:t>99</w:t>
            </w:r>
          </w:p>
        </w:tc>
      </w:tr>
      <w:tr w:rsidR="00E16CAB" w:rsidRPr="00CC2ED3" w14:paraId="6799736F" w14:textId="77777777" w:rsidTr="00CC2ED3">
        <w:trPr>
          <w:trHeight w:hRule="exact" w:val="271"/>
          <w:jc w:val="center"/>
        </w:trPr>
        <w:tc>
          <w:tcPr>
            <w:tcW w:w="1148" w:type="dxa"/>
          </w:tcPr>
          <w:p w14:paraId="53F131ED" w14:textId="51B47D6B" w:rsidR="00E16CAB" w:rsidRPr="00CC2ED3" w:rsidRDefault="00E16CAB" w:rsidP="00E16CAB">
            <w:pPr>
              <w:pStyle w:val="TableParagraph"/>
              <w:jc w:val="right"/>
              <w:rPr>
                <w:sz w:val="20"/>
                <w:szCs w:val="20"/>
              </w:rPr>
            </w:pPr>
            <w:r w:rsidRPr="00CC2ED3">
              <w:rPr>
                <w:sz w:val="20"/>
                <w:szCs w:val="20"/>
              </w:rPr>
              <w:t>(</w:t>
            </w:r>
            <w:r w:rsidR="008D2DB8">
              <w:rPr>
                <w:sz w:val="20"/>
                <w:szCs w:val="20"/>
              </w:rPr>
              <w:t>3.72</w:t>
            </w:r>
            <w:r w:rsidRPr="00CC2ED3">
              <w:rPr>
                <w:sz w:val="20"/>
                <w:szCs w:val="20"/>
              </w:rPr>
              <w:t>)</w:t>
            </w:r>
          </w:p>
        </w:tc>
        <w:tc>
          <w:tcPr>
            <w:tcW w:w="1149" w:type="dxa"/>
          </w:tcPr>
          <w:p w14:paraId="67152624" w14:textId="0B40C222" w:rsidR="00E16CAB" w:rsidRPr="00CC2ED3" w:rsidRDefault="00E16CAB" w:rsidP="00E16CAB">
            <w:pPr>
              <w:pStyle w:val="TableParagraph"/>
              <w:jc w:val="right"/>
              <w:rPr>
                <w:sz w:val="20"/>
                <w:szCs w:val="20"/>
              </w:rPr>
            </w:pPr>
            <w:r w:rsidRPr="00CC2ED3">
              <w:rPr>
                <w:sz w:val="20"/>
                <w:szCs w:val="20"/>
              </w:rPr>
              <w:t>(</w:t>
            </w:r>
            <w:r w:rsidR="008D2DB8">
              <w:rPr>
                <w:sz w:val="20"/>
                <w:szCs w:val="20"/>
              </w:rPr>
              <w:t>15.00</w:t>
            </w:r>
            <w:r w:rsidRPr="00CC2ED3">
              <w:rPr>
                <w:sz w:val="20"/>
                <w:szCs w:val="20"/>
              </w:rPr>
              <w:t>)</w:t>
            </w:r>
          </w:p>
        </w:tc>
        <w:tc>
          <w:tcPr>
            <w:tcW w:w="1149" w:type="dxa"/>
          </w:tcPr>
          <w:p w14:paraId="31651323" w14:textId="119B7505" w:rsidR="00E16CAB" w:rsidRPr="00CC2ED3" w:rsidRDefault="00E16CAB" w:rsidP="00E16CAB">
            <w:pPr>
              <w:pStyle w:val="TableParagraph"/>
              <w:jc w:val="right"/>
              <w:rPr>
                <w:sz w:val="20"/>
                <w:szCs w:val="20"/>
              </w:rPr>
            </w:pPr>
            <w:r w:rsidRPr="00CC2ED3">
              <w:rPr>
                <w:sz w:val="20"/>
                <w:szCs w:val="20"/>
              </w:rPr>
              <w:t>(-</w:t>
            </w:r>
            <w:r w:rsidR="008D2DB8">
              <w:rPr>
                <w:sz w:val="20"/>
                <w:szCs w:val="20"/>
              </w:rPr>
              <w:t>1.98</w:t>
            </w:r>
            <w:r w:rsidRPr="00CC2ED3">
              <w:rPr>
                <w:sz w:val="20"/>
                <w:szCs w:val="20"/>
              </w:rPr>
              <w:t>)</w:t>
            </w:r>
          </w:p>
        </w:tc>
        <w:tc>
          <w:tcPr>
            <w:tcW w:w="1149" w:type="dxa"/>
          </w:tcPr>
          <w:p w14:paraId="0D9BFA50" w14:textId="611C0F5E" w:rsidR="00E16CAB" w:rsidRPr="00CC2ED3" w:rsidRDefault="00E16CAB" w:rsidP="00E16CAB">
            <w:pPr>
              <w:pStyle w:val="TableParagraph"/>
              <w:jc w:val="right"/>
              <w:rPr>
                <w:sz w:val="20"/>
                <w:szCs w:val="20"/>
              </w:rPr>
            </w:pPr>
            <w:r w:rsidRPr="00CC2ED3">
              <w:rPr>
                <w:sz w:val="20"/>
                <w:szCs w:val="20"/>
              </w:rPr>
              <w:t>(0.</w:t>
            </w:r>
            <w:r w:rsidR="008D2DB8">
              <w:rPr>
                <w:sz w:val="20"/>
                <w:szCs w:val="20"/>
              </w:rPr>
              <w:t>64</w:t>
            </w:r>
            <w:r w:rsidRPr="00CC2ED3">
              <w:rPr>
                <w:sz w:val="20"/>
                <w:szCs w:val="20"/>
              </w:rPr>
              <w:t>)</w:t>
            </w:r>
          </w:p>
        </w:tc>
        <w:tc>
          <w:tcPr>
            <w:tcW w:w="1149" w:type="dxa"/>
          </w:tcPr>
          <w:p w14:paraId="33DE8550" w14:textId="33C97417" w:rsidR="00E16CAB" w:rsidRPr="00CC2ED3" w:rsidRDefault="00E16CAB" w:rsidP="00E16CAB">
            <w:pPr>
              <w:pStyle w:val="TableParagraph"/>
              <w:jc w:val="right"/>
              <w:rPr>
                <w:sz w:val="20"/>
                <w:szCs w:val="20"/>
              </w:rPr>
            </w:pPr>
            <w:r w:rsidRPr="00CC2ED3">
              <w:rPr>
                <w:sz w:val="20"/>
                <w:szCs w:val="20"/>
              </w:rPr>
              <w:t>(</w:t>
            </w:r>
            <w:r w:rsidR="008D2DB8">
              <w:rPr>
                <w:sz w:val="20"/>
                <w:szCs w:val="20"/>
              </w:rPr>
              <w:t>5.35</w:t>
            </w:r>
            <w:r w:rsidRPr="00CC2ED3">
              <w:rPr>
                <w:sz w:val="20"/>
                <w:szCs w:val="20"/>
              </w:rPr>
              <w:t>)</w:t>
            </w:r>
          </w:p>
        </w:tc>
        <w:tc>
          <w:tcPr>
            <w:tcW w:w="1148" w:type="dxa"/>
          </w:tcPr>
          <w:p w14:paraId="5D0C3B2E" w14:textId="33F35F82" w:rsidR="00E16CAB" w:rsidRPr="00CC2ED3" w:rsidRDefault="00E16CAB" w:rsidP="00E16CAB">
            <w:pPr>
              <w:jc w:val="center"/>
              <w:rPr>
                <w:sz w:val="20"/>
                <w:szCs w:val="20"/>
              </w:rPr>
            </w:pPr>
            <w:r w:rsidRPr="00CC2ED3">
              <w:rPr>
                <w:sz w:val="20"/>
                <w:szCs w:val="20"/>
              </w:rPr>
              <w:t>(-</w:t>
            </w:r>
            <w:r w:rsidR="008D2DB8">
              <w:rPr>
                <w:sz w:val="20"/>
                <w:szCs w:val="20"/>
              </w:rPr>
              <w:t>1.34</w:t>
            </w:r>
            <w:r w:rsidRPr="00CC2ED3">
              <w:rPr>
                <w:sz w:val="20"/>
                <w:szCs w:val="20"/>
              </w:rPr>
              <w:t>)</w:t>
            </w:r>
          </w:p>
        </w:tc>
        <w:tc>
          <w:tcPr>
            <w:tcW w:w="1149" w:type="dxa"/>
          </w:tcPr>
          <w:p w14:paraId="39472FF3" w14:textId="2E5362D4" w:rsidR="00E16CAB" w:rsidRPr="00CC2ED3" w:rsidRDefault="00E16CAB" w:rsidP="00E16CAB">
            <w:pPr>
              <w:jc w:val="center"/>
              <w:rPr>
                <w:sz w:val="20"/>
                <w:szCs w:val="20"/>
              </w:rPr>
            </w:pPr>
            <w:r w:rsidRPr="00CC2ED3">
              <w:rPr>
                <w:sz w:val="20"/>
                <w:szCs w:val="20"/>
              </w:rPr>
              <w:t>(-0.</w:t>
            </w:r>
            <w:r w:rsidR="008D2DB8">
              <w:rPr>
                <w:sz w:val="20"/>
                <w:szCs w:val="20"/>
              </w:rPr>
              <w:t>38</w:t>
            </w:r>
            <w:r w:rsidRPr="00CC2ED3">
              <w:rPr>
                <w:sz w:val="20"/>
                <w:szCs w:val="20"/>
              </w:rPr>
              <w:t>)</w:t>
            </w:r>
          </w:p>
        </w:tc>
        <w:tc>
          <w:tcPr>
            <w:tcW w:w="1149" w:type="dxa"/>
          </w:tcPr>
          <w:p w14:paraId="7B0747C1" w14:textId="7674E4D8" w:rsidR="00E16CAB" w:rsidRPr="00CC2ED3" w:rsidRDefault="00E16CAB" w:rsidP="00E16CAB">
            <w:pPr>
              <w:jc w:val="center"/>
              <w:rPr>
                <w:sz w:val="20"/>
                <w:szCs w:val="20"/>
              </w:rPr>
            </w:pPr>
            <w:r w:rsidRPr="00CC2ED3">
              <w:rPr>
                <w:sz w:val="20"/>
                <w:szCs w:val="20"/>
              </w:rPr>
              <w:t>(</w:t>
            </w:r>
            <w:r w:rsidR="008D2DB8">
              <w:rPr>
                <w:sz w:val="20"/>
                <w:szCs w:val="20"/>
              </w:rPr>
              <w:t>-3.97</w:t>
            </w:r>
            <w:r w:rsidRPr="00CC2ED3">
              <w:rPr>
                <w:sz w:val="20"/>
                <w:szCs w:val="20"/>
              </w:rPr>
              <w:t>)</w:t>
            </w:r>
          </w:p>
        </w:tc>
        <w:tc>
          <w:tcPr>
            <w:tcW w:w="1149" w:type="dxa"/>
          </w:tcPr>
          <w:p w14:paraId="6158A615" w14:textId="5EEEC03B" w:rsidR="00E16CAB" w:rsidRPr="00CC2ED3" w:rsidRDefault="00E16CAB" w:rsidP="00E16CAB">
            <w:pPr>
              <w:jc w:val="center"/>
              <w:rPr>
                <w:sz w:val="20"/>
                <w:szCs w:val="20"/>
              </w:rPr>
            </w:pPr>
            <w:r w:rsidRPr="00CC2ED3">
              <w:rPr>
                <w:sz w:val="20"/>
                <w:szCs w:val="20"/>
              </w:rPr>
              <w:t>(</w:t>
            </w:r>
            <w:r w:rsidR="00D14C6E">
              <w:rPr>
                <w:sz w:val="20"/>
                <w:szCs w:val="20"/>
              </w:rPr>
              <w:t>-3.35</w:t>
            </w:r>
            <w:r w:rsidRPr="00CC2ED3">
              <w:rPr>
                <w:sz w:val="20"/>
                <w:szCs w:val="20"/>
              </w:rPr>
              <w:t>)</w:t>
            </w:r>
          </w:p>
        </w:tc>
        <w:tc>
          <w:tcPr>
            <w:tcW w:w="1149" w:type="dxa"/>
          </w:tcPr>
          <w:p w14:paraId="20E84DEB" w14:textId="77777777" w:rsidR="00E16CAB" w:rsidRPr="00CC2ED3" w:rsidRDefault="00E16CAB" w:rsidP="00E16CAB">
            <w:pPr>
              <w:jc w:val="center"/>
              <w:rPr>
                <w:sz w:val="20"/>
                <w:szCs w:val="20"/>
              </w:rPr>
            </w:pPr>
          </w:p>
        </w:tc>
        <w:tc>
          <w:tcPr>
            <w:tcW w:w="1149" w:type="dxa"/>
          </w:tcPr>
          <w:p w14:paraId="0B02057E" w14:textId="77777777" w:rsidR="00E16CAB" w:rsidRPr="00CC2ED3" w:rsidRDefault="00E16CAB" w:rsidP="00E16CAB">
            <w:pPr>
              <w:jc w:val="center"/>
              <w:rPr>
                <w:sz w:val="20"/>
                <w:szCs w:val="20"/>
              </w:rPr>
            </w:pPr>
          </w:p>
        </w:tc>
      </w:tr>
    </w:tbl>
    <w:p w14:paraId="3458B887" w14:textId="77777777" w:rsidR="00374E2E" w:rsidRPr="00976892" w:rsidRDefault="00374E2E" w:rsidP="00374E2E">
      <w:pPr>
        <w:tabs>
          <w:tab w:val="left" w:pos="1579"/>
          <w:tab w:val="left" w:pos="3739"/>
          <w:tab w:val="left" w:pos="5899"/>
          <w:tab w:val="left" w:pos="10219"/>
        </w:tabs>
        <w:jc w:val="center"/>
        <w:rPr>
          <w:rFonts w:eastAsia="Calibri" w:cs="Calibri"/>
          <w:sz w:val="20"/>
          <w:szCs w:val="20"/>
        </w:rPr>
      </w:pPr>
      <w:r>
        <w:rPr>
          <w:w w:val="95"/>
          <w:sz w:val="20"/>
          <w:szCs w:val="20"/>
        </w:rPr>
        <w:t>Notes: t</w:t>
      </w:r>
      <w:r w:rsidRPr="00976892">
        <w:rPr>
          <w:sz w:val="20"/>
          <w:szCs w:val="20"/>
        </w:rPr>
        <w:t>-statistics</w:t>
      </w:r>
      <w:r w:rsidRPr="00976892">
        <w:rPr>
          <w:spacing w:val="-4"/>
          <w:sz w:val="20"/>
          <w:szCs w:val="20"/>
        </w:rPr>
        <w:t xml:space="preserve"> </w:t>
      </w:r>
      <w:r w:rsidRPr="00976892">
        <w:rPr>
          <w:sz w:val="20"/>
          <w:szCs w:val="20"/>
        </w:rPr>
        <w:t>are</w:t>
      </w:r>
      <w:r w:rsidRPr="00976892">
        <w:rPr>
          <w:spacing w:val="-4"/>
          <w:sz w:val="20"/>
          <w:szCs w:val="20"/>
        </w:rPr>
        <w:t xml:space="preserve"> </w:t>
      </w:r>
      <w:r w:rsidRPr="00976892">
        <w:rPr>
          <w:sz w:val="20"/>
          <w:szCs w:val="20"/>
        </w:rPr>
        <w:t>in</w:t>
      </w:r>
      <w:r w:rsidRPr="00976892">
        <w:rPr>
          <w:spacing w:val="-4"/>
          <w:sz w:val="20"/>
          <w:szCs w:val="20"/>
        </w:rPr>
        <w:t xml:space="preserve"> </w:t>
      </w:r>
      <w:r w:rsidRPr="00976892">
        <w:rPr>
          <w:sz w:val="20"/>
          <w:szCs w:val="20"/>
        </w:rPr>
        <w:t>brackets</w:t>
      </w:r>
    </w:p>
    <w:p w14:paraId="635DA0E8" w14:textId="60F39DF6" w:rsidR="00374E2E" w:rsidRDefault="001E698B" w:rsidP="00374E2E">
      <w:pPr>
        <w:jc w:val="center"/>
        <w:rPr>
          <w:rFonts w:eastAsia="Calibri" w:cs="Calibri"/>
          <w:b/>
        </w:rPr>
      </w:pPr>
      <w:r>
        <w:rPr>
          <w:rFonts w:eastAsia="Calibri" w:cs="Calibri"/>
          <w:b/>
        </w:rPr>
        <w:lastRenderedPageBreak/>
        <w:t xml:space="preserve">Appendix </w:t>
      </w:r>
      <w:r w:rsidR="00374E2E" w:rsidRPr="006B14FA">
        <w:rPr>
          <w:rFonts w:eastAsia="Calibri" w:cs="Calibri"/>
          <w:b/>
        </w:rPr>
        <w:t>Table</w:t>
      </w:r>
      <w:r w:rsidR="00374E2E" w:rsidRPr="006B14FA">
        <w:rPr>
          <w:rFonts w:eastAsia="Calibri" w:cs="Calibri"/>
          <w:b/>
          <w:spacing w:val="-4"/>
        </w:rPr>
        <w:t xml:space="preserve"> </w:t>
      </w:r>
      <w:r>
        <w:rPr>
          <w:rFonts w:eastAsia="Calibri" w:cs="Calibri"/>
          <w:b/>
          <w:spacing w:val="-4"/>
        </w:rPr>
        <w:t>5</w:t>
      </w:r>
      <w:r w:rsidR="00374E2E" w:rsidRPr="006B14FA">
        <w:rPr>
          <w:rFonts w:eastAsia="Calibri" w:cs="Calibri"/>
          <w:b/>
        </w:rPr>
        <w:t>.</w:t>
      </w:r>
      <w:r w:rsidR="00374E2E" w:rsidRPr="006B14FA">
        <w:rPr>
          <w:rFonts w:eastAsia="Calibri" w:cs="Calibri"/>
          <w:b/>
          <w:spacing w:val="-4"/>
        </w:rPr>
        <w:t xml:space="preserve"> </w:t>
      </w:r>
      <w:r>
        <w:rPr>
          <w:rFonts w:eastAsia="Calibri" w:cs="Calibri"/>
          <w:b/>
          <w:spacing w:val="-4"/>
        </w:rPr>
        <w:t>AR1</w:t>
      </w:r>
      <w:r w:rsidR="00374E2E" w:rsidRPr="006B14FA">
        <w:rPr>
          <w:rFonts w:eastAsia="Calibri" w:cs="Calibri"/>
          <w:b/>
          <w:spacing w:val="-4"/>
        </w:rPr>
        <w:t xml:space="preserve"> </w:t>
      </w:r>
      <w:r w:rsidR="00BF249C">
        <w:rPr>
          <w:rFonts w:eastAsia="Calibri" w:cs="Calibri"/>
          <w:b/>
          <w:spacing w:val="-4"/>
        </w:rPr>
        <w:t>e</w:t>
      </w:r>
      <w:r w:rsidR="00374E2E" w:rsidRPr="006B14FA">
        <w:rPr>
          <w:rFonts w:eastAsia="Calibri" w:cs="Calibri"/>
          <w:b/>
        </w:rPr>
        <w:t>stimates</w:t>
      </w:r>
      <w:r w:rsidR="00374E2E" w:rsidRPr="006B14FA">
        <w:rPr>
          <w:rFonts w:eastAsia="Calibri" w:cs="Calibri"/>
          <w:b/>
          <w:spacing w:val="-4"/>
        </w:rPr>
        <w:t xml:space="preserve"> </w:t>
      </w:r>
      <w:r w:rsidR="00374E2E" w:rsidRPr="006B14FA">
        <w:rPr>
          <w:rFonts w:eastAsia="Calibri" w:cs="Calibri"/>
          <w:b/>
        </w:rPr>
        <w:t>for</w:t>
      </w:r>
      <w:r w:rsidR="00374E2E" w:rsidRPr="006B14FA">
        <w:rPr>
          <w:rFonts w:eastAsia="Calibri" w:cs="Calibri"/>
          <w:b/>
          <w:spacing w:val="-4"/>
        </w:rPr>
        <w:t xml:space="preserve"> </w:t>
      </w:r>
      <w:r w:rsidR="00BF249C">
        <w:rPr>
          <w:rFonts w:eastAsia="Calibri" w:cs="Calibri"/>
          <w:b/>
          <w:spacing w:val="-4"/>
        </w:rPr>
        <w:t>r</w:t>
      </w:r>
      <w:r w:rsidR="00374E2E" w:rsidRPr="006B14FA">
        <w:rPr>
          <w:rFonts w:eastAsia="Calibri" w:cs="Calibri"/>
          <w:b/>
        </w:rPr>
        <w:t>eal</w:t>
      </w:r>
      <w:r w:rsidR="00374E2E" w:rsidRPr="006B14FA">
        <w:rPr>
          <w:rFonts w:eastAsia="Calibri" w:cs="Calibri"/>
          <w:b/>
          <w:spacing w:val="-4"/>
        </w:rPr>
        <w:t xml:space="preserve"> </w:t>
      </w:r>
      <w:r w:rsidR="005413C1">
        <w:rPr>
          <w:rFonts w:eastAsia="Calibri" w:cs="Calibri"/>
          <w:b/>
          <w:spacing w:val="-4"/>
        </w:rPr>
        <w:t xml:space="preserve">domestic </w:t>
      </w:r>
      <w:r w:rsidR="00BF249C">
        <w:rPr>
          <w:rFonts w:eastAsia="Calibri" w:cs="Calibri"/>
          <w:b/>
          <w:spacing w:val="-4"/>
        </w:rPr>
        <w:t>p</w:t>
      </w:r>
      <w:r w:rsidR="00374E2E">
        <w:rPr>
          <w:rFonts w:eastAsia="Calibri" w:cs="Calibri"/>
          <w:b/>
          <w:spacing w:val="-4"/>
        </w:rPr>
        <w:t>ork</w:t>
      </w:r>
      <w:r w:rsidR="00374E2E" w:rsidRPr="006B14FA">
        <w:rPr>
          <w:rFonts w:eastAsia="Calibri" w:cs="Calibri"/>
          <w:b/>
          <w:spacing w:val="-4"/>
        </w:rPr>
        <w:t xml:space="preserve"> </w:t>
      </w:r>
      <w:r w:rsidR="00BF249C">
        <w:rPr>
          <w:rFonts w:eastAsia="Calibri" w:cs="Calibri"/>
          <w:b/>
          <w:spacing w:val="-4"/>
        </w:rPr>
        <w:t>m</w:t>
      </w:r>
      <w:r w:rsidR="00374E2E" w:rsidRPr="006B14FA">
        <w:rPr>
          <w:rFonts w:eastAsia="Calibri" w:cs="Calibri"/>
          <w:b/>
        </w:rPr>
        <w:t>argin</w:t>
      </w:r>
      <w:r w:rsidR="00B73A45">
        <w:rPr>
          <w:rFonts w:eastAsia="Calibri" w:cs="Calibri"/>
          <w:b/>
        </w:rPr>
        <w:t xml:space="preserve"> </w:t>
      </w:r>
      <w:r w:rsidR="00BF249C">
        <w:rPr>
          <w:rFonts w:eastAsia="Calibri" w:cs="Calibri"/>
          <w:b/>
        </w:rPr>
        <w:t>e</w:t>
      </w:r>
      <w:r w:rsidR="00374E2E" w:rsidRPr="006B14FA">
        <w:rPr>
          <w:rFonts w:eastAsia="Calibri" w:cs="Calibri"/>
          <w:b/>
        </w:rPr>
        <w:t>quations</w:t>
      </w:r>
      <w:r w:rsidR="00374E2E" w:rsidRPr="006B14FA">
        <w:rPr>
          <w:rFonts w:eastAsia="Calibri" w:cs="Calibri"/>
          <w:b/>
          <w:spacing w:val="-4"/>
        </w:rPr>
        <w:t xml:space="preserve"> </w:t>
      </w:r>
      <w:r w:rsidR="00374E2E" w:rsidRPr="006B14FA">
        <w:rPr>
          <w:rFonts w:eastAsia="Calibri" w:cs="Calibri"/>
          <w:b/>
        </w:rPr>
        <w:t>197</w:t>
      </w:r>
      <w:r w:rsidR="003174F3">
        <w:rPr>
          <w:rFonts w:eastAsia="Calibri" w:cs="Calibri"/>
          <w:b/>
        </w:rPr>
        <w:t>6</w:t>
      </w:r>
      <w:r w:rsidR="00374E2E" w:rsidRPr="006B14FA">
        <w:rPr>
          <w:rFonts w:eastAsia="Calibri" w:cs="Calibri"/>
          <w:b/>
          <w:spacing w:val="-4"/>
        </w:rPr>
        <w:t xml:space="preserve"> </w:t>
      </w:r>
      <w:r w:rsidR="00374E2E" w:rsidRPr="006B14FA">
        <w:rPr>
          <w:rFonts w:eastAsia="Calibri" w:cs="Calibri"/>
          <w:b/>
        </w:rPr>
        <w:t>–</w:t>
      </w:r>
      <w:r w:rsidR="00374E2E" w:rsidRPr="006B14FA">
        <w:rPr>
          <w:rFonts w:eastAsia="Calibri" w:cs="Calibri"/>
          <w:b/>
          <w:spacing w:val="-4"/>
        </w:rPr>
        <w:t xml:space="preserve"> </w:t>
      </w:r>
      <w:r w:rsidR="00374E2E" w:rsidRPr="006B14FA">
        <w:rPr>
          <w:rFonts w:eastAsia="Calibri" w:cs="Calibri"/>
          <w:b/>
        </w:rPr>
        <w:t>20</w:t>
      </w:r>
      <w:r w:rsidR="003174F3">
        <w:rPr>
          <w:rFonts w:eastAsia="Calibri" w:cs="Calibri"/>
          <w:b/>
        </w:rPr>
        <w:t>21</w:t>
      </w:r>
    </w:p>
    <w:p w14:paraId="3B1DC717" w14:textId="77777777" w:rsidR="00031498" w:rsidRPr="00661BD2" w:rsidRDefault="00031498" w:rsidP="00374E2E">
      <w:pPr>
        <w:jc w:val="center"/>
        <w:rPr>
          <w:rFonts w:eastAsia="Calibri" w:cs="Calibri"/>
        </w:rPr>
      </w:pPr>
    </w:p>
    <w:tbl>
      <w:tblPr>
        <w:tblW w:w="12637" w:type="dxa"/>
        <w:jc w:val="center"/>
        <w:tblBorders>
          <w:top w:val="single" w:sz="4" w:space="0" w:color="BFBFBF"/>
          <w:bottom w:val="single" w:sz="4" w:space="0" w:color="BFBFBF"/>
          <w:insideH w:val="single" w:sz="4" w:space="0" w:color="BFBFBF"/>
        </w:tblBorders>
        <w:tblLayout w:type="fixed"/>
        <w:tblCellMar>
          <w:left w:w="0" w:type="dxa"/>
          <w:right w:w="0" w:type="dxa"/>
        </w:tblCellMar>
        <w:tblLook w:val="01E0" w:firstRow="1" w:lastRow="1" w:firstColumn="1" w:lastColumn="1" w:noHBand="0" w:noVBand="0"/>
      </w:tblPr>
      <w:tblGrid>
        <w:gridCol w:w="1148"/>
        <w:gridCol w:w="1149"/>
        <w:gridCol w:w="1149"/>
        <w:gridCol w:w="1149"/>
        <w:gridCol w:w="1149"/>
        <w:gridCol w:w="1149"/>
        <w:gridCol w:w="1148"/>
        <w:gridCol w:w="1149"/>
        <w:gridCol w:w="1149"/>
        <w:gridCol w:w="1149"/>
        <w:gridCol w:w="1149"/>
      </w:tblGrid>
      <w:tr w:rsidR="00374E2E" w:rsidRPr="00CC2ED3" w14:paraId="7441B1CF" w14:textId="77777777" w:rsidTr="00CC2ED3">
        <w:trPr>
          <w:trHeight w:hRule="exact" w:val="271"/>
          <w:jc w:val="center"/>
        </w:trPr>
        <w:tc>
          <w:tcPr>
            <w:tcW w:w="1148" w:type="dxa"/>
          </w:tcPr>
          <w:p w14:paraId="19F2DBF2" w14:textId="77777777" w:rsidR="00374E2E" w:rsidRPr="00CC2ED3" w:rsidRDefault="00374E2E" w:rsidP="00B437CB">
            <w:pPr>
              <w:pStyle w:val="TableParagraph"/>
              <w:jc w:val="right"/>
              <w:rPr>
                <w:rFonts w:eastAsia="Calibri" w:cs="Calibri"/>
                <w:sz w:val="20"/>
                <w:szCs w:val="20"/>
              </w:rPr>
            </w:pPr>
            <w:r w:rsidRPr="00CC2ED3">
              <w:rPr>
                <w:b/>
                <w:sz w:val="20"/>
                <w:szCs w:val="20"/>
              </w:rPr>
              <w:t>Constant</w:t>
            </w:r>
          </w:p>
        </w:tc>
        <w:tc>
          <w:tcPr>
            <w:tcW w:w="1149" w:type="dxa"/>
          </w:tcPr>
          <w:p w14:paraId="14EC8977" w14:textId="77777777" w:rsidR="00374E2E" w:rsidRPr="00CC2ED3" w:rsidRDefault="00374E2E" w:rsidP="00B437CB">
            <w:pPr>
              <w:pStyle w:val="TableParagraph"/>
              <w:jc w:val="right"/>
              <w:rPr>
                <w:rFonts w:eastAsia="Calibri" w:cs="Calibri"/>
                <w:sz w:val="20"/>
                <w:szCs w:val="20"/>
              </w:rPr>
            </w:pPr>
            <w:r w:rsidRPr="00CC2ED3">
              <w:rPr>
                <w:b/>
                <w:sz w:val="20"/>
                <w:szCs w:val="20"/>
              </w:rPr>
              <w:t>COSTIND</w:t>
            </w:r>
          </w:p>
        </w:tc>
        <w:tc>
          <w:tcPr>
            <w:tcW w:w="1149" w:type="dxa"/>
          </w:tcPr>
          <w:p w14:paraId="516256B2" w14:textId="125DF6C0" w:rsidR="00374E2E" w:rsidRPr="00CC2ED3" w:rsidRDefault="00374E2E" w:rsidP="00374E2E">
            <w:pPr>
              <w:pStyle w:val="TableParagraph"/>
              <w:jc w:val="right"/>
              <w:rPr>
                <w:rFonts w:eastAsia="Calibri" w:cs="Calibri"/>
                <w:sz w:val="20"/>
                <w:szCs w:val="20"/>
              </w:rPr>
            </w:pPr>
            <w:r w:rsidRPr="00CC2ED3">
              <w:rPr>
                <w:b/>
                <w:sz w:val="20"/>
                <w:szCs w:val="20"/>
              </w:rPr>
              <w:t>DMPK</w:t>
            </w:r>
          </w:p>
        </w:tc>
        <w:tc>
          <w:tcPr>
            <w:tcW w:w="1149" w:type="dxa"/>
          </w:tcPr>
          <w:p w14:paraId="44A4DAE8" w14:textId="729E42EE" w:rsidR="00374E2E" w:rsidRPr="00CC2ED3" w:rsidRDefault="00374E2E" w:rsidP="00374E2E">
            <w:pPr>
              <w:pStyle w:val="TableParagraph"/>
              <w:jc w:val="right"/>
              <w:rPr>
                <w:rFonts w:eastAsia="Calibri" w:cs="Calibri"/>
                <w:sz w:val="20"/>
                <w:szCs w:val="20"/>
              </w:rPr>
            </w:pPr>
            <w:proofErr w:type="spellStart"/>
            <w:r w:rsidRPr="00CC2ED3">
              <w:rPr>
                <w:b/>
                <w:sz w:val="20"/>
                <w:szCs w:val="20"/>
              </w:rPr>
              <w:t>DMPKi</w:t>
            </w:r>
            <w:proofErr w:type="spellEnd"/>
          </w:p>
        </w:tc>
        <w:tc>
          <w:tcPr>
            <w:tcW w:w="1149" w:type="dxa"/>
          </w:tcPr>
          <w:p w14:paraId="036ED3DF" w14:textId="77777777" w:rsidR="00374E2E" w:rsidRPr="00CC2ED3" w:rsidRDefault="00374E2E" w:rsidP="00B437CB">
            <w:pPr>
              <w:pStyle w:val="TableParagraph"/>
              <w:jc w:val="right"/>
              <w:rPr>
                <w:rFonts w:eastAsia="Calibri" w:cs="Calibri"/>
                <w:sz w:val="20"/>
                <w:szCs w:val="20"/>
              </w:rPr>
            </w:pPr>
            <w:r w:rsidRPr="00CC2ED3">
              <w:rPr>
                <w:b/>
                <w:sz w:val="20"/>
                <w:szCs w:val="20"/>
              </w:rPr>
              <w:t>TIME</w:t>
            </w:r>
          </w:p>
        </w:tc>
        <w:tc>
          <w:tcPr>
            <w:tcW w:w="1149" w:type="dxa"/>
          </w:tcPr>
          <w:p w14:paraId="4DC2C077" w14:textId="7A36918A" w:rsidR="00374E2E" w:rsidRPr="00CC2ED3" w:rsidRDefault="00374E2E" w:rsidP="00374E2E">
            <w:pPr>
              <w:pStyle w:val="TableParagraph"/>
              <w:jc w:val="right"/>
              <w:rPr>
                <w:rFonts w:eastAsia="Calibri" w:cs="Calibri"/>
                <w:b/>
                <w:sz w:val="20"/>
                <w:szCs w:val="20"/>
              </w:rPr>
            </w:pPr>
            <w:r w:rsidRPr="00CC2ED3">
              <w:rPr>
                <w:rFonts w:eastAsia="Calibri" w:cs="Calibri"/>
                <w:b/>
                <w:sz w:val="20"/>
                <w:szCs w:val="20"/>
              </w:rPr>
              <w:t>DUM90</w:t>
            </w:r>
          </w:p>
        </w:tc>
        <w:tc>
          <w:tcPr>
            <w:tcW w:w="1148" w:type="dxa"/>
          </w:tcPr>
          <w:p w14:paraId="435E86BF" w14:textId="77777777" w:rsidR="00374E2E" w:rsidRPr="00CC2ED3" w:rsidRDefault="00374E2E" w:rsidP="00B437CB">
            <w:pPr>
              <w:pStyle w:val="TableParagraph"/>
              <w:jc w:val="center"/>
              <w:rPr>
                <w:rFonts w:eastAsia="Calibri" w:cs="Calibri"/>
                <w:b/>
                <w:sz w:val="20"/>
                <w:szCs w:val="20"/>
              </w:rPr>
            </w:pPr>
            <w:r w:rsidRPr="00CC2ED3">
              <w:rPr>
                <w:rFonts w:eastAsia="Calibri" w:cs="Calibri"/>
                <w:b/>
                <w:sz w:val="20"/>
                <w:szCs w:val="20"/>
              </w:rPr>
              <w:t>DUM95</w:t>
            </w:r>
          </w:p>
        </w:tc>
        <w:tc>
          <w:tcPr>
            <w:tcW w:w="1149" w:type="dxa"/>
          </w:tcPr>
          <w:p w14:paraId="1C642E59" w14:textId="77777777" w:rsidR="00374E2E" w:rsidRPr="00CC2ED3" w:rsidRDefault="00374E2E" w:rsidP="00B437CB">
            <w:pPr>
              <w:pStyle w:val="TableParagraph"/>
              <w:jc w:val="center"/>
              <w:rPr>
                <w:rFonts w:eastAsia="Calibri" w:cs="Calibri"/>
                <w:b/>
                <w:sz w:val="20"/>
                <w:szCs w:val="20"/>
              </w:rPr>
            </w:pPr>
            <w:r w:rsidRPr="00CC2ED3">
              <w:rPr>
                <w:rFonts w:eastAsia="Calibri" w:cs="Calibri"/>
                <w:b/>
                <w:sz w:val="20"/>
                <w:szCs w:val="20"/>
              </w:rPr>
              <w:t>DUM07</w:t>
            </w:r>
          </w:p>
        </w:tc>
        <w:tc>
          <w:tcPr>
            <w:tcW w:w="1149" w:type="dxa"/>
          </w:tcPr>
          <w:p w14:paraId="63D47706" w14:textId="77777777" w:rsidR="00374E2E" w:rsidRPr="00CC2ED3" w:rsidRDefault="00374E2E" w:rsidP="00B437CB">
            <w:pPr>
              <w:pStyle w:val="TableParagraph"/>
              <w:jc w:val="center"/>
              <w:rPr>
                <w:rFonts w:eastAsia="Calibri" w:cs="Calibri"/>
                <w:sz w:val="20"/>
                <w:szCs w:val="20"/>
              </w:rPr>
            </w:pPr>
            <w:r w:rsidRPr="00CC2ED3">
              <w:rPr>
                <w:b/>
                <w:sz w:val="20"/>
                <w:szCs w:val="20"/>
              </w:rPr>
              <w:t>RHO</w:t>
            </w:r>
          </w:p>
        </w:tc>
        <w:tc>
          <w:tcPr>
            <w:tcW w:w="1149" w:type="dxa"/>
          </w:tcPr>
          <w:p w14:paraId="68E712FE" w14:textId="77777777" w:rsidR="00374E2E" w:rsidRPr="00CC2ED3" w:rsidRDefault="00374E2E" w:rsidP="00B437CB">
            <w:pPr>
              <w:pStyle w:val="TableParagraph"/>
              <w:jc w:val="center"/>
              <w:rPr>
                <w:rFonts w:eastAsia="Calibri" w:cs="Calibri"/>
                <w:sz w:val="20"/>
                <w:szCs w:val="20"/>
              </w:rPr>
            </w:pPr>
            <w:r w:rsidRPr="00CC2ED3">
              <w:rPr>
                <w:b/>
                <w:sz w:val="20"/>
                <w:szCs w:val="20"/>
              </w:rPr>
              <w:t>R</w:t>
            </w:r>
            <w:r w:rsidRPr="00CC2ED3">
              <w:rPr>
                <w:b/>
                <w:sz w:val="20"/>
                <w:szCs w:val="20"/>
                <w:vertAlign w:val="superscript"/>
              </w:rPr>
              <w:t>2</w:t>
            </w:r>
          </w:p>
        </w:tc>
        <w:tc>
          <w:tcPr>
            <w:tcW w:w="1149" w:type="dxa"/>
          </w:tcPr>
          <w:p w14:paraId="03D0971C" w14:textId="77777777" w:rsidR="00374E2E" w:rsidRPr="00CC2ED3" w:rsidRDefault="00374E2E" w:rsidP="00B437CB">
            <w:pPr>
              <w:pStyle w:val="TableParagraph"/>
              <w:jc w:val="center"/>
              <w:rPr>
                <w:rFonts w:eastAsia="Calibri" w:cs="Calibri"/>
                <w:sz w:val="20"/>
                <w:szCs w:val="20"/>
              </w:rPr>
            </w:pPr>
            <w:r w:rsidRPr="00CC2ED3">
              <w:rPr>
                <w:b/>
                <w:sz w:val="20"/>
                <w:szCs w:val="20"/>
              </w:rPr>
              <w:t>DW</w:t>
            </w:r>
          </w:p>
        </w:tc>
      </w:tr>
      <w:tr w:rsidR="003174F3" w:rsidRPr="00CC2ED3" w14:paraId="129B8991" w14:textId="77777777" w:rsidTr="00CC2ED3">
        <w:trPr>
          <w:trHeight w:hRule="exact" w:val="271"/>
          <w:jc w:val="center"/>
        </w:trPr>
        <w:tc>
          <w:tcPr>
            <w:tcW w:w="1148" w:type="dxa"/>
            <w:shd w:val="clear" w:color="auto" w:fill="F2F2F2"/>
          </w:tcPr>
          <w:p w14:paraId="174F4B96" w14:textId="10882AF3" w:rsidR="003174F3" w:rsidRPr="003174F3" w:rsidRDefault="003174F3" w:rsidP="003174F3">
            <w:pPr>
              <w:pStyle w:val="TableParagraph"/>
              <w:jc w:val="right"/>
              <w:rPr>
                <w:rFonts w:eastAsia="Calibri" w:cs="Calibri"/>
                <w:sz w:val="20"/>
                <w:szCs w:val="20"/>
              </w:rPr>
            </w:pPr>
            <w:r>
              <w:rPr>
                <w:sz w:val="20"/>
                <w:szCs w:val="20"/>
              </w:rPr>
              <w:t>271.49</w:t>
            </w:r>
          </w:p>
        </w:tc>
        <w:tc>
          <w:tcPr>
            <w:tcW w:w="1149" w:type="dxa"/>
            <w:shd w:val="clear" w:color="auto" w:fill="F2F2F2"/>
          </w:tcPr>
          <w:p w14:paraId="581376DB" w14:textId="207C06CB" w:rsidR="003174F3" w:rsidRPr="003174F3" w:rsidRDefault="003174F3" w:rsidP="003174F3">
            <w:pPr>
              <w:pStyle w:val="TableParagraph"/>
              <w:jc w:val="right"/>
              <w:rPr>
                <w:rFonts w:eastAsia="Calibri" w:cs="Calibri"/>
                <w:sz w:val="20"/>
                <w:szCs w:val="20"/>
              </w:rPr>
            </w:pPr>
            <w:r>
              <w:rPr>
                <w:sz w:val="20"/>
                <w:szCs w:val="20"/>
              </w:rPr>
              <w:t>1.590</w:t>
            </w:r>
          </w:p>
        </w:tc>
        <w:tc>
          <w:tcPr>
            <w:tcW w:w="1149" w:type="dxa"/>
            <w:shd w:val="clear" w:color="auto" w:fill="F2F2F2"/>
          </w:tcPr>
          <w:p w14:paraId="7DC3A6B1" w14:textId="6E6FDB20" w:rsidR="003174F3" w:rsidRPr="003174F3" w:rsidRDefault="003174F3" w:rsidP="003174F3">
            <w:pPr>
              <w:pStyle w:val="TableParagraph"/>
              <w:jc w:val="right"/>
              <w:rPr>
                <w:rFonts w:eastAsia="Calibri" w:cs="Calibri"/>
                <w:sz w:val="20"/>
                <w:szCs w:val="20"/>
              </w:rPr>
            </w:pPr>
            <w:r w:rsidRPr="00AF2782">
              <w:rPr>
                <w:sz w:val="20"/>
                <w:szCs w:val="20"/>
              </w:rPr>
              <w:t>-0.2</w:t>
            </w:r>
            <w:r>
              <w:rPr>
                <w:sz w:val="20"/>
                <w:szCs w:val="20"/>
              </w:rPr>
              <w:t>77</w:t>
            </w:r>
          </w:p>
        </w:tc>
        <w:tc>
          <w:tcPr>
            <w:tcW w:w="1149" w:type="dxa"/>
            <w:shd w:val="clear" w:color="auto" w:fill="F2F2F2"/>
          </w:tcPr>
          <w:p w14:paraId="55DECD29" w14:textId="3F92DEE0" w:rsidR="003174F3" w:rsidRPr="003174F3" w:rsidRDefault="003174F3" w:rsidP="003174F3">
            <w:pPr>
              <w:pStyle w:val="TableParagraph"/>
              <w:jc w:val="right"/>
              <w:rPr>
                <w:rFonts w:eastAsia="Calibri" w:cs="Calibri"/>
                <w:sz w:val="20"/>
                <w:szCs w:val="20"/>
              </w:rPr>
            </w:pPr>
            <w:r>
              <w:rPr>
                <w:sz w:val="20"/>
                <w:szCs w:val="20"/>
              </w:rPr>
              <w:t>84.434</w:t>
            </w:r>
          </w:p>
        </w:tc>
        <w:tc>
          <w:tcPr>
            <w:tcW w:w="1149" w:type="dxa"/>
            <w:shd w:val="clear" w:color="auto" w:fill="F2F2F2"/>
          </w:tcPr>
          <w:p w14:paraId="5F717748" w14:textId="59075CC8" w:rsidR="003174F3" w:rsidRPr="003174F3" w:rsidRDefault="003174F3" w:rsidP="003174F3">
            <w:pPr>
              <w:pStyle w:val="TableParagraph"/>
              <w:jc w:val="right"/>
              <w:rPr>
                <w:rFonts w:eastAsia="Calibri" w:cs="Calibri"/>
                <w:sz w:val="20"/>
                <w:szCs w:val="20"/>
              </w:rPr>
            </w:pPr>
            <w:r w:rsidRPr="00AF2782">
              <w:rPr>
                <w:sz w:val="20"/>
                <w:szCs w:val="20"/>
              </w:rPr>
              <w:t>0.</w:t>
            </w:r>
            <w:r>
              <w:rPr>
                <w:sz w:val="20"/>
                <w:szCs w:val="20"/>
              </w:rPr>
              <w:t>092</w:t>
            </w:r>
          </w:p>
        </w:tc>
        <w:tc>
          <w:tcPr>
            <w:tcW w:w="1149" w:type="dxa"/>
            <w:shd w:val="clear" w:color="auto" w:fill="F2F2F2"/>
          </w:tcPr>
          <w:p w14:paraId="1EF9F9BF" w14:textId="757AB300" w:rsidR="003174F3" w:rsidRPr="003174F3" w:rsidRDefault="003174F3" w:rsidP="003174F3">
            <w:pPr>
              <w:pStyle w:val="TableParagraph"/>
              <w:jc w:val="right"/>
              <w:rPr>
                <w:rFonts w:eastAsia="Calibri" w:cs="Calibri"/>
                <w:sz w:val="20"/>
                <w:szCs w:val="20"/>
              </w:rPr>
            </w:pPr>
          </w:p>
        </w:tc>
        <w:tc>
          <w:tcPr>
            <w:tcW w:w="1148" w:type="dxa"/>
            <w:shd w:val="clear" w:color="auto" w:fill="F2F2F2"/>
          </w:tcPr>
          <w:p w14:paraId="76EEE023" w14:textId="127A361D" w:rsidR="003174F3" w:rsidRPr="003174F3" w:rsidRDefault="003174F3" w:rsidP="003174F3">
            <w:pPr>
              <w:pStyle w:val="TableParagraph"/>
              <w:jc w:val="center"/>
              <w:rPr>
                <w:rFonts w:eastAsia="Calibri" w:cs="Calibri"/>
                <w:sz w:val="20"/>
                <w:szCs w:val="20"/>
              </w:rPr>
            </w:pPr>
          </w:p>
        </w:tc>
        <w:tc>
          <w:tcPr>
            <w:tcW w:w="1149" w:type="dxa"/>
            <w:shd w:val="clear" w:color="auto" w:fill="F2F2F2"/>
          </w:tcPr>
          <w:p w14:paraId="4519910E" w14:textId="7D5073DF" w:rsidR="003174F3" w:rsidRPr="003174F3" w:rsidRDefault="003174F3" w:rsidP="003174F3">
            <w:pPr>
              <w:pStyle w:val="TableParagraph"/>
              <w:jc w:val="center"/>
              <w:rPr>
                <w:rFonts w:eastAsia="Calibri" w:cs="Calibri"/>
                <w:sz w:val="20"/>
                <w:szCs w:val="20"/>
              </w:rPr>
            </w:pPr>
          </w:p>
        </w:tc>
        <w:tc>
          <w:tcPr>
            <w:tcW w:w="1149" w:type="dxa"/>
            <w:shd w:val="clear" w:color="auto" w:fill="F2F2F2"/>
          </w:tcPr>
          <w:p w14:paraId="78BE0C5A" w14:textId="6CA119DA" w:rsidR="003174F3" w:rsidRPr="003174F3" w:rsidRDefault="003174F3" w:rsidP="003174F3">
            <w:pPr>
              <w:pStyle w:val="TableParagraph"/>
              <w:jc w:val="center"/>
              <w:rPr>
                <w:rFonts w:eastAsia="Calibri" w:cs="Calibri"/>
                <w:sz w:val="20"/>
                <w:szCs w:val="20"/>
              </w:rPr>
            </w:pPr>
            <w:r>
              <w:rPr>
                <w:sz w:val="20"/>
                <w:szCs w:val="20"/>
              </w:rPr>
              <w:t>-</w:t>
            </w:r>
            <w:r w:rsidRPr="00AF2782">
              <w:rPr>
                <w:sz w:val="20"/>
                <w:szCs w:val="20"/>
              </w:rPr>
              <w:t>0.9</w:t>
            </w:r>
            <w:r>
              <w:rPr>
                <w:sz w:val="20"/>
                <w:szCs w:val="20"/>
              </w:rPr>
              <w:t>92</w:t>
            </w:r>
          </w:p>
        </w:tc>
        <w:tc>
          <w:tcPr>
            <w:tcW w:w="1149" w:type="dxa"/>
            <w:shd w:val="clear" w:color="auto" w:fill="F2F2F2"/>
          </w:tcPr>
          <w:p w14:paraId="2DECCC76" w14:textId="1E4CB153" w:rsidR="003174F3" w:rsidRPr="003174F3" w:rsidRDefault="003174F3" w:rsidP="003174F3">
            <w:pPr>
              <w:pStyle w:val="TableParagraph"/>
              <w:jc w:val="center"/>
              <w:rPr>
                <w:rFonts w:eastAsia="Calibri" w:cs="Calibri"/>
                <w:sz w:val="20"/>
                <w:szCs w:val="20"/>
              </w:rPr>
            </w:pPr>
            <w:r w:rsidRPr="00AF2782">
              <w:rPr>
                <w:sz w:val="20"/>
                <w:szCs w:val="20"/>
              </w:rPr>
              <w:t>0.</w:t>
            </w:r>
            <w:r>
              <w:rPr>
                <w:sz w:val="20"/>
                <w:szCs w:val="20"/>
              </w:rPr>
              <w:t>99</w:t>
            </w:r>
          </w:p>
        </w:tc>
        <w:tc>
          <w:tcPr>
            <w:tcW w:w="1149" w:type="dxa"/>
            <w:shd w:val="clear" w:color="auto" w:fill="F2F2F2"/>
          </w:tcPr>
          <w:p w14:paraId="706CA24E" w14:textId="29AF7BE2" w:rsidR="003174F3" w:rsidRPr="00A976EA" w:rsidRDefault="003174F3" w:rsidP="003174F3">
            <w:pPr>
              <w:pStyle w:val="TableParagraph"/>
              <w:jc w:val="center"/>
              <w:rPr>
                <w:rFonts w:eastAsia="Calibri" w:cs="Calibri"/>
                <w:sz w:val="20"/>
                <w:szCs w:val="20"/>
              </w:rPr>
            </w:pPr>
            <w:r w:rsidRPr="00A976EA">
              <w:rPr>
                <w:sz w:val="20"/>
                <w:szCs w:val="20"/>
              </w:rPr>
              <w:t>0.84</w:t>
            </w:r>
          </w:p>
        </w:tc>
      </w:tr>
      <w:tr w:rsidR="003174F3" w:rsidRPr="00CC2ED3" w14:paraId="3AE0DC25" w14:textId="77777777" w:rsidTr="00CC2ED3">
        <w:trPr>
          <w:trHeight w:hRule="exact" w:val="271"/>
          <w:jc w:val="center"/>
        </w:trPr>
        <w:tc>
          <w:tcPr>
            <w:tcW w:w="1148" w:type="dxa"/>
          </w:tcPr>
          <w:p w14:paraId="73F943A2" w14:textId="4F1A44EF" w:rsidR="003174F3" w:rsidRPr="003174F3" w:rsidRDefault="003174F3" w:rsidP="003174F3">
            <w:pPr>
              <w:pStyle w:val="TableParagraph"/>
              <w:jc w:val="right"/>
              <w:rPr>
                <w:rFonts w:eastAsia="Calibri" w:cs="Calibri"/>
                <w:sz w:val="20"/>
                <w:szCs w:val="20"/>
              </w:rPr>
            </w:pPr>
            <w:r w:rsidRPr="00AF2782">
              <w:rPr>
                <w:sz w:val="20"/>
                <w:szCs w:val="20"/>
              </w:rPr>
              <w:t>(</w:t>
            </w:r>
            <w:r>
              <w:rPr>
                <w:sz w:val="20"/>
                <w:szCs w:val="20"/>
              </w:rPr>
              <w:t>8.04</w:t>
            </w:r>
            <w:r w:rsidRPr="00AF2782">
              <w:rPr>
                <w:sz w:val="20"/>
                <w:szCs w:val="20"/>
              </w:rPr>
              <w:t>)</w:t>
            </w:r>
          </w:p>
        </w:tc>
        <w:tc>
          <w:tcPr>
            <w:tcW w:w="1149" w:type="dxa"/>
          </w:tcPr>
          <w:p w14:paraId="3CA49463" w14:textId="73DA4F49" w:rsidR="003174F3" w:rsidRPr="003174F3" w:rsidRDefault="003174F3" w:rsidP="003174F3">
            <w:pPr>
              <w:pStyle w:val="TableParagraph"/>
              <w:jc w:val="right"/>
              <w:rPr>
                <w:rFonts w:eastAsia="Calibri" w:cs="Calibri"/>
                <w:sz w:val="20"/>
                <w:szCs w:val="20"/>
              </w:rPr>
            </w:pPr>
            <w:r w:rsidRPr="00AF2782">
              <w:rPr>
                <w:sz w:val="20"/>
                <w:szCs w:val="20"/>
              </w:rPr>
              <w:t>(</w:t>
            </w:r>
            <w:r>
              <w:rPr>
                <w:sz w:val="20"/>
                <w:szCs w:val="20"/>
              </w:rPr>
              <w:t>4.28</w:t>
            </w:r>
            <w:r w:rsidRPr="00AF2782">
              <w:rPr>
                <w:sz w:val="20"/>
                <w:szCs w:val="20"/>
              </w:rPr>
              <w:t>)</w:t>
            </w:r>
          </w:p>
        </w:tc>
        <w:tc>
          <w:tcPr>
            <w:tcW w:w="1149" w:type="dxa"/>
          </w:tcPr>
          <w:p w14:paraId="10DD8198" w14:textId="12139A87" w:rsidR="003174F3" w:rsidRPr="003174F3" w:rsidRDefault="003174F3" w:rsidP="003174F3">
            <w:pPr>
              <w:pStyle w:val="TableParagraph"/>
              <w:jc w:val="right"/>
              <w:rPr>
                <w:rFonts w:eastAsia="Calibri" w:cs="Calibri"/>
                <w:sz w:val="20"/>
                <w:szCs w:val="20"/>
              </w:rPr>
            </w:pPr>
            <w:r w:rsidRPr="00AF2782">
              <w:rPr>
                <w:sz w:val="20"/>
                <w:szCs w:val="20"/>
              </w:rPr>
              <w:t>(-</w:t>
            </w:r>
            <w:r>
              <w:rPr>
                <w:sz w:val="20"/>
                <w:szCs w:val="20"/>
              </w:rPr>
              <w:t>0.94</w:t>
            </w:r>
            <w:r w:rsidRPr="00AF2782">
              <w:rPr>
                <w:sz w:val="20"/>
                <w:szCs w:val="20"/>
              </w:rPr>
              <w:t>)</w:t>
            </w:r>
          </w:p>
        </w:tc>
        <w:tc>
          <w:tcPr>
            <w:tcW w:w="1149" w:type="dxa"/>
          </w:tcPr>
          <w:p w14:paraId="1CC15FB7" w14:textId="6CD6D993" w:rsidR="003174F3" w:rsidRPr="003174F3" w:rsidRDefault="003174F3" w:rsidP="003174F3">
            <w:pPr>
              <w:pStyle w:val="TableParagraph"/>
              <w:jc w:val="right"/>
              <w:rPr>
                <w:rFonts w:eastAsia="Calibri" w:cs="Calibri"/>
                <w:sz w:val="20"/>
                <w:szCs w:val="20"/>
              </w:rPr>
            </w:pPr>
            <w:r w:rsidRPr="00AF2782">
              <w:rPr>
                <w:sz w:val="20"/>
                <w:szCs w:val="20"/>
              </w:rPr>
              <w:t>(2.</w:t>
            </w:r>
            <w:r>
              <w:rPr>
                <w:sz w:val="20"/>
                <w:szCs w:val="20"/>
              </w:rPr>
              <w:t>07</w:t>
            </w:r>
            <w:r w:rsidRPr="00AF2782">
              <w:rPr>
                <w:sz w:val="20"/>
                <w:szCs w:val="20"/>
              </w:rPr>
              <w:t>)</w:t>
            </w:r>
          </w:p>
        </w:tc>
        <w:tc>
          <w:tcPr>
            <w:tcW w:w="1149" w:type="dxa"/>
          </w:tcPr>
          <w:p w14:paraId="4181AB80" w14:textId="24489292" w:rsidR="003174F3" w:rsidRPr="003174F3" w:rsidRDefault="003174F3" w:rsidP="003174F3">
            <w:pPr>
              <w:pStyle w:val="TableParagraph"/>
              <w:jc w:val="right"/>
              <w:rPr>
                <w:rFonts w:eastAsia="Calibri" w:cs="Calibri"/>
                <w:sz w:val="20"/>
                <w:szCs w:val="20"/>
              </w:rPr>
            </w:pPr>
            <w:r w:rsidRPr="00AF2782">
              <w:rPr>
                <w:sz w:val="20"/>
                <w:szCs w:val="20"/>
              </w:rPr>
              <w:t>(0.</w:t>
            </w:r>
            <w:r>
              <w:rPr>
                <w:sz w:val="20"/>
                <w:szCs w:val="20"/>
              </w:rPr>
              <w:t>05</w:t>
            </w:r>
            <w:r w:rsidRPr="00AF2782">
              <w:rPr>
                <w:sz w:val="20"/>
                <w:szCs w:val="20"/>
              </w:rPr>
              <w:t>)</w:t>
            </w:r>
          </w:p>
        </w:tc>
        <w:tc>
          <w:tcPr>
            <w:tcW w:w="1149" w:type="dxa"/>
          </w:tcPr>
          <w:p w14:paraId="269D13EF" w14:textId="7F31F73D" w:rsidR="003174F3" w:rsidRPr="003174F3" w:rsidRDefault="003174F3" w:rsidP="003174F3">
            <w:pPr>
              <w:pStyle w:val="TableParagraph"/>
              <w:jc w:val="right"/>
              <w:rPr>
                <w:rFonts w:eastAsia="Calibri" w:cs="Calibri"/>
                <w:sz w:val="20"/>
                <w:szCs w:val="20"/>
              </w:rPr>
            </w:pPr>
          </w:p>
        </w:tc>
        <w:tc>
          <w:tcPr>
            <w:tcW w:w="1148" w:type="dxa"/>
          </w:tcPr>
          <w:p w14:paraId="731287C5" w14:textId="77777777" w:rsidR="003174F3" w:rsidRPr="003174F3" w:rsidRDefault="003174F3" w:rsidP="003174F3">
            <w:pPr>
              <w:jc w:val="center"/>
              <w:rPr>
                <w:sz w:val="20"/>
                <w:szCs w:val="20"/>
              </w:rPr>
            </w:pPr>
          </w:p>
        </w:tc>
        <w:tc>
          <w:tcPr>
            <w:tcW w:w="1149" w:type="dxa"/>
          </w:tcPr>
          <w:p w14:paraId="28EF8981" w14:textId="77777777" w:rsidR="003174F3" w:rsidRPr="003174F3" w:rsidRDefault="003174F3" w:rsidP="003174F3">
            <w:pPr>
              <w:jc w:val="center"/>
              <w:rPr>
                <w:sz w:val="20"/>
                <w:szCs w:val="20"/>
              </w:rPr>
            </w:pPr>
          </w:p>
        </w:tc>
        <w:tc>
          <w:tcPr>
            <w:tcW w:w="1149" w:type="dxa"/>
          </w:tcPr>
          <w:p w14:paraId="6B2148E5" w14:textId="7349B281" w:rsidR="003174F3" w:rsidRPr="003174F3" w:rsidRDefault="003174F3" w:rsidP="003174F3">
            <w:pPr>
              <w:jc w:val="center"/>
              <w:rPr>
                <w:sz w:val="20"/>
                <w:szCs w:val="20"/>
              </w:rPr>
            </w:pPr>
            <w:r w:rsidRPr="00AF2782">
              <w:rPr>
                <w:sz w:val="20"/>
                <w:szCs w:val="20"/>
              </w:rPr>
              <w:t>(</w:t>
            </w:r>
            <w:r>
              <w:rPr>
                <w:sz w:val="20"/>
                <w:szCs w:val="20"/>
              </w:rPr>
              <w:t>-101.30</w:t>
            </w:r>
            <w:r w:rsidRPr="00AF2782">
              <w:rPr>
                <w:sz w:val="20"/>
                <w:szCs w:val="20"/>
              </w:rPr>
              <w:t>)</w:t>
            </w:r>
          </w:p>
        </w:tc>
        <w:tc>
          <w:tcPr>
            <w:tcW w:w="1149" w:type="dxa"/>
          </w:tcPr>
          <w:p w14:paraId="76F6678F" w14:textId="77777777" w:rsidR="003174F3" w:rsidRPr="003174F3" w:rsidRDefault="003174F3" w:rsidP="003174F3">
            <w:pPr>
              <w:jc w:val="center"/>
              <w:rPr>
                <w:sz w:val="20"/>
                <w:szCs w:val="20"/>
              </w:rPr>
            </w:pPr>
          </w:p>
        </w:tc>
        <w:tc>
          <w:tcPr>
            <w:tcW w:w="1149" w:type="dxa"/>
          </w:tcPr>
          <w:p w14:paraId="65EFC837" w14:textId="77777777" w:rsidR="003174F3" w:rsidRPr="00A976EA" w:rsidRDefault="003174F3" w:rsidP="003174F3">
            <w:pPr>
              <w:jc w:val="center"/>
              <w:rPr>
                <w:sz w:val="20"/>
                <w:szCs w:val="20"/>
              </w:rPr>
            </w:pPr>
          </w:p>
        </w:tc>
      </w:tr>
      <w:tr w:rsidR="003174F3" w:rsidRPr="00CC2ED3" w14:paraId="7D73A0FE" w14:textId="77777777" w:rsidTr="00CC2ED3">
        <w:trPr>
          <w:trHeight w:hRule="exact" w:val="271"/>
          <w:jc w:val="center"/>
        </w:trPr>
        <w:tc>
          <w:tcPr>
            <w:tcW w:w="1148" w:type="dxa"/>
            <w:shd w:val="clear" w:color="auto" w:fill="F2F2F2"/>
          </w:tcPr>
          <w:p w14:paraId="5F6A3C13" w14:textId="2D3956CB" w:rsidR="003174F3" w:rsidRPr="003174F3" w:rsidRDefault="00475395" w:rsidP="003174F3">
            <w:pPr>
              <w:pStyle w:val="TableParagraph"/>
              <w:jc w:val="right"/>
              <w:rPr>
                <w:rFonts w:eastAsia="Calibri" w:cs="Calibri"/>
                <w:sz w:val="20"/>
                <w:szCs w:val="20"/>
              </w:rPr>
            </w:pPr>
            <w:r>
              <w:rPr>
                <w:sz w:val="20"/>
                <w:szCs w:val="20"/>
              </w:rPr>
              <w:t>369.20</w:t>
            </w:r>
          </w:p>
        </w:tc>
        <w:tc>
          <w:tcPr>
            <w:tcW w:w="1149" w:type="dxa"/>
            <w:shd w:val="clear" w:color="auto" w:fill="F2F2F2"/>
          </w:tcPr>
          <w:p w14:paraId="098F8D6E" w14:textId="7D5531E6" w:rsidR="003174F3" w:rsidRPr="003174F3" w:rsidRDefault="003174F3" w:rsidP="003174F3">
            <w:pPr>
              <w:pStyle w:val="TableParagraph"/>
              <w:jc w:val="right"/>
              <w:rPr>
                <w:rFonts w:eastAsia="Calibri" w:cs="Calibri"/>
                <w:sz w:val="20"/>
                <w:szCs w:val="20"/>
              </w:rPr>
            </w:pPr>
            <w:r w:rsidRPr="003174F3">
              <w:rPr>
                <w:sz w:val="20"/>
                <w:szCs w:val="20"/>
              </w:rPr>
              <w:t>0.</w:t>
            </w:r>
            <w:r w:rsidR="00475395">
              <w:rPr>
                <w:sz w:val="20"/>
                <w:szCs w:val="20"/>
              </w:rPr>
              <w:t>611</w:t>
            </w:r>
          </w:p>
        </w:tc>
        <w:tc>
          <w:tcPr>
            <w:tcW w:w="1149" w:type="dxa"/>
            <w:shd w:val="clear" w:color="auto" w:fill="F2F2F2"/>
          </w:tcPr>
          <w:p w14:paraId="63317758" w14:textId="0FAC1A5B" w:rsidR="003174F3" w:rsidRPr="003174F3" w:rsidRDefault="003174F3" w:rsidP="003174F3">
            <w:pPr>
              <w:pStyle w:val="TableParagraph"/>
              <w:jc w:val="right"/>
              <w:rPr>
                <w:rFonts w:eastAsia="Calibri" w:cs="Calibri"/>
                <w:sz w:val="20"/>
                <w:szCs w:val="20"/>
              </w:rPr>
            </w:pPr>
            <w:r w:rsidRPr="003174F3">
              <w:rPr>
                <w:sz w:val="20"/>
                <w:szCs w:val="20"/>
              </w:rPr>
              <w:t>-0.2</w:t>
            </w:r>
            <w:r w:rsidR="00475395">
              <w:rPr>
                <w:sz w:val="20"/>
                <w:szCs w:val="20"/>
              </w:rPr>
              <w:t>43</w:t>
            </w:r>
          </w:p>
        </w:tc>
        <w:tc>
          <w:tcPr>
            <w:tcW w:w="1149" w:type="dxa"/>
            <w:shd w:val="clear" w:color="auto" w:fill="F2F2F2"/>
          </w:tcPr>
          <w:p w14:paraId="7BBC689F" w14:textId="483BF77C" w:rsidR="003174F3" w:rsidRPr="003174F3" w:rsidRDefault="00475395" w:rsidP="003174F3">
            <w:pPr>
              <w:pStyle w:val="TableParagraph"/>
              <w:jc w:val="right"/>
              <w:rPr>
                <w:rFonts w:eastAsia="Calibri" w:cs="Calibri"/>
                <w:sz w:val="20"/>
                <w:szCs w:val="20"/>
              </w:rPr>
            </w:pPr>
            <w:r>
              <w:rPr>
                <w:sz w:val="20"/>
                <w:szCs w:val="20"/>
              </w:rPr>
              <w:t>95.128</w:t>
            </w:r>
          </w:p>
        </w:tc>
        <w:tc>
          <w:tcPr>
            <w:tcW w:w="1149" w:type="dxa"/>
            <w:shd w:val="clear" w:color="auto" w:fill="F2F2F2"/>
          </w:tcPr>
          <w:p w14:paraId="06068D0F" w14:textId="77777777" w:rsidR="003174F3" w:rsidRPr="003174F3" w:rsidRDefault="003174F3" w:rsidP="003174F3">
            <w:pPr>
              <w:pStyle w:val="TableParagraph"/>
              <w:jc w:val="right"/>
              <w:rPr>
                <w:rFonts w:eastAsia="Calibri" w:cs="Calibri"/>
                <w:sz w:val="20"/>
                <w:szCs w:val="20"/>
              </w:rPr>
            </w:pPr>
          </w:p>
        </w:tc>
        <w:tc>
          <w:tcPr>
            <w:tcW w:w="1149" w:type="dxa"/>
            <w:shd w:val="clear" w:color="auto" w:fill="F2F2F2"/>
          </w:tcPr>
          <w:p w14:paraId="445E1E23" w14:textId="664A6D38" w:rsidR="003174F3" w:rsidRPr="003174F3" w:rsidRDefault="003174F3" w:rsidP="003174F3">
            <w:pPr>
              <w:pStyle w:val="TableParagraph"/>
              <w:jc w:val="right"/>
              <w:rPr>
                <w:rFonts w:eastAsia="Calibri" w:cs="Calibri"/>
                <w:sz w:val="20"/>
                <w:szCs w:val="20"/>
              </w:rPr>
            </w:pPr>
            <w:r w:rsidRPr="003174F3">
              <w:rPr>
                <w:rFonts w:eastAsia="Calibri" w:cs="Calibri"/>
                <w:sz w:val="20"/>
                <w:szCs w:val="20"/>
              </w:rPr>
              <w:t>-</w:t>
            </w:r>
            <w:r w:rsidR="00475395">
              <w:rPr>
                <w:rFonts w:eastAsia="Calibri" w:cs="Calibri"/>
                <w:sz w:val="20"/>
                <w:szCs w:val="20"/>
              </w:rPr>
              <w:t>44</w:t>
            </w:r>
            <w:r w:rsidRPr="003174F3">
              <w:rPr>
                <w:rFonts w:eastAsia="Calibri" w:cs="Calibri"/>
                <w:sz w:val="20"/>
                <w:szCs w:val="20"/>
              </w:rPr>
              <w:t>.</w:t>
            </w:r>
            <w:r w:rsidR="00475395">
              <w:rPr>
                <w:rFonts w:eastAsia="Calibri" w:cs="Calibri"/>
                <w:sz w:val="20"/>
                <w:szCs w:val="20"/>
              </w:rPr>
              <w:t>882</w:t>
            </w:r>
          </w:p>
        </w:tc>
        <w:tc>
          <w:tcPr>
            <w:tcW w:w="1148" w:type="dxa"/>
            <w:shd w:val="clear" w:color="auto" w:fill="F2F2F2"/>
          </w:tcPr>
          <w:p w14:paraId="69B70C90" w14:textId="77777777" w:rsidR="003174F3" w:rsidRPr="003174F3" w:rsidRDefault="003174F3" w:rsidP="003174F3">
            <w:pPr>
              <w:pStyle w:val="TableParagraph"/>
              <w:jc w:val="center"/>
              <w:rPr>
                <w:rFonts w:eastAsia="Calibri" w:cs="Calibri"/>
                <w:sz w:val="20"/>
                <w:szCs w:val="20"/>
              </w:rPr>
            </w:pPr>
          </w:p>
        </w:tc>
        <w:tc>
          <w:tcPr>
            <w:tcW w:w="1149" w:type="dxa"/>
            <w:shd w:val="clear" w:color="auto" w:fill="F2F2F2"/>
          </w:tcPr>
          <w:p w14:paraId="2E69E713" w14:textId="77777777" w:rsidR="003174F3" w:rsidRPr="003174F3" w:rsidRDefault="003174F3" w:rsidP="003174F3">
            <w:pPr>
              <w:pStyle w:val="TableParagraph"/>
              <w:jc w:val="center"/>
              <w:rPr>
                <w:rFonts w:eastAsia="Calibri" w:cs="Calibri"/>
                <w:sz w:val="20"/>
                <w:szCs w:val="20"/>
              </w:rPr>
            </w:pPr>
          </w:p>
        </w:tc>
        <w:tc>
          <w:tcPr>
            <w:tcW w:w="1149" w:type="dxa"/>
            <w:shd w:val="clear" w:color="auto" w:fill="F2F2F2"/>
          </w:tcPr>
          <w:p w14:paraId="3D67BA4B" w14:textId="0A882FAF" w:rsidR="003174F3" w:rsidRPr="003174F3" w:rsidRDefault="00475395" w:rsidP="003174F3">
            <w:pPr>
              <w:pStyle w:val="TableParagraph"/>
              <w:jc w:val="center"/>
              <w:rPr>
                <w:rFonts w:eastAsia="Calibri" w:cs="Calibri"/>
                <w:sz w:val="20"/>
                <w:szCs w:val="20"/>
              </w:rPr>
            </w:pPr>
            <w:r>
              <w:rPr>
                <w:sz w:val="20"/>
                <w:szCs w:val="20"/>
              </w:rPr>
              <w:t>-0.996</w:t>
            </w:r>
          </w:p>
        </w:tc>
        <w:tc>
          <w:tcPr>
            <w:tcW w:w="1149" w:type="dxa"/>
            <w:shd w:val="clear" w:color="auto" w:fill="F2F2F2"/>
          </w:tcPr>
          <w:p w14:paraId="4F6294A1" w14:textId="3F960ED3" w:rsidR="003174F3" w:rsidRPr="003174F3" w:rsidRDefault="003174F3" w:rsidP="003174F3">
            <w:pPr>
              <w:pStyle w:val="TableParagraph"/>
              <w:jc w:val="center"/>
              <w:rPr>
                <w:rFonts w:eastAsia="Calibri" w:cs="Calibri"/>
                <w:sz w:val="20"/>
                <w:szCs w:val="20"/>
              </w:rPr>
            </w:pPr>
            <w:r w:rsidRPr="003174F3">
              <w:rPr>
                <w:sz w:val="20"/>
                <w:szCs w:val="20"/>
              </w:rPr>
              <w:t>0.</w:t>
            </w:r>
            <w:r w:rsidR="00475395">
              <w:rPr>
                <w:sz w:val="20"/>
                <w:szCs w:val="20"/>
              </w:rPr>
              <w:t>99</w:t>
            </w:r>
          </w:p>
        </w:tc>
        <w:tc>
          <w:tcPr>
            <w:tcW w:w="1149" w:type="dxa"/>
            <w:shd w:val="clear" w:color="auto" w:fill="F2F2F2"/>
          </w:tcPr>
          <w:p w14:paraId="13ECC5F9" w14:textId="7B49BE54" w:rsidR="003174F3" w:rsidRPr="00A976EA" w:rsidRDefault="00475395" w:rsidP="003174F3">
            <w:pPr>
              <w:pStyle w:val="TableParagraph"/>
              <w:jc w:val="center"/>
              <w:rPr>
                <w:rFonts w:eastAsia="Calibri" w:cs="Calibri"/>
                <w:sz w:val="20"/>
                <w:szCs w:val="20"/>
              </w:rPr>
            </w:pPr>
            <w:r w:rsidRPr="00A976EA">
              <w:rPr>
                <w:sz w:val="20"/>
                <w:szCs w:val="20"/>
              </w:rPr>
              <w:t>0.72</w:t>
            </w:r>
          </w:p>
        </w:tc>
      </w:tr>
      <w:tr w:rsidR="003174F3" w:rsidRPr="00CC2ED3" w14:paraId="6B90AE4B" w14:textId="77777777" w:rsidTr="00CC2ED3">
        <w:trPr>
          <w:trHeight w:hRule="exact" w:val="271"/>
          <w:jc w:val="center"/>
        </w:trPr>
        <w:tc>
          <w:tcPr>
            <w:tcW w:w="1148" w:type="dxa"/>
          </w:tcPr>
          <w:p w14:paraId="57F431AC" w14:textId="7E20ABEF" w:rsidR="003174F3" w:rsidRPr="003174F3" w:rsidRDefault="003174F3" w:rsidP="003174F3">
            <w:pPr>
              <w:pStyle w:val="TableParagraph"/>
              <w:jc w:val="right"/>
              <w:rPr>
                <w:rFonts w:eastAsia="Calibri" w:cs="Calibri"/>
                <w:sz w:val="20"/>
                <w:szCs w:val="20"/>
              </w:rPr>
            </w:pPr>
            <w:r w:rsidRPr="003174F3">
              <w:rPr>
                <w:sz w:val="20"/>
                <w:szCs w:val="20"/>
              </w:rPr>
              <w:t>(</w:t>
            </w:r>
            <w:r w:rsidR="00475395">
              <w:rPr>
                <w:sz w:val="20"/>
                <w:szCs w:val="20"/>
              </w:rPr>
              <w:t>7.68</w:t>
            </w:r>
            <w:r w:rsidRPr="003174F3">
              <w:rPr>
                <w:sz w:val="20"/>
                <w:szCs w:val="20"/>
              </w:rPr>
              <w:t>)</w:t>
            </w:r>
          </w:p>
        </w:tc>
        <w:tc>
          <w:tcPr>
            <w:tcW w:w="1149" w:type="dxa"/>
          </w:tcPr>
          <w:p w14:paraId="4E2287FF" w14:textId="7F325988" w:rsidR="003174F3" w:rsidRPr="003174F3" w:rsidRDefault="003174F3" w:rsidP="003174F3">
            <w:pPr>
              <w:pStyle w:val="TableParagraph"/>
              <w:jc w:val="right"/>
              <w:rPr>
                <w:rFonts w:eastAsia="Calibri" w:cs="Calibri"/>
                <w:sz w:val="20"/>
                <w:szCs w:val="20"/>
              </w:rPr>
            </w:pPr>
            <w:r w:rsidRPr="003174F3">
              <w:rPr>
                <w:sz w:val="20"/>
                <w:szCs w:val="20"/>
              </w:rPr>
              <w:t>(1.</w:t>
            </w:r>
            <w:r w:rsidR="00475395">
              <w:rPr>
                <w:sz w:val="20"/>
                <w:szCs w:val="20"/>
              </w:rPr>
              <w:t>29</w:t>
            </w:r>
            <w:r w:rsidRPr="003174F3">
              <w:rPr>
                <w:sz w:val="20"/>
                <w:szCs w:val="20"/>
              </w:rPr>
              <w:t>)</w:t>
            </w:r>
          </w:p>
        </w:tc>
        <w:tc>
          <w:tcPr>
            <w:tcW w:w="1149" w:type="dxa"/>
          </w:tcPr>
          <w:p w14:paraId="1DC82CC9" w14:textId="0D4B53EA" w:rsidR="003174F3" w:rsidRPr="003174F3" w:rsidRDefault="003174F3" w:rsidP="003174F3">
            <w:pPr>
              <w:pStyle w:val="TableParagraph"/>
              <w:jc w:val="right"/>
              <w:rPr>
                <w:rFonts w:eastAsia="Calibri" w:cs="Calibri"/>
                <w:sz w:val="20"/>
                <w:szCs w:val="20"/>
              </w:rPr>
            </w:pPr>
            <w:r w:rsidRPr="003174F3">
              <w:rPr>
                <w:sz w:val="20"/>
                <w:szCs w:val="20"/>
              </w:rPr>
              <w:t>(-1.</w:t>
            </w:r>
            <w:r w:rsidR="00475395">
              <w:rPr>
                <w:sz w:val="20"/>
                <w:szCs w:val="20"/>
              </w:rPr>
              <w:t>54</w:t>
            </w:r>
            <w:r w:rsidRPr="003174F3">
              <w:rPr>
                <w:sz w:val="20"/>
                <w:szCs w:val="20"/>
              </w:rPr>
              <w:t>)</w:t>
            </w:r>
          </w:p>
        </w:tc>
        <w:tc>
          <w:tcPr>
            <w:tcW w:w="1149" w:type="dxa"/>
          </w:tcPr>
          <w:p w14:paraId="236AEB1F" w14:textId="7353146E" w:rsidR="003174F3" w:rsidRPr="003174F3" w:rsidRDefault="003174F3" w:rsidP="003174F3">
            <w:pPr>
              <w:pStyle w:val="TableParagraph"/>
              <w:jc w:val="right"/>
              <w:rPr>
                <w:rFonts w:eastAsia="Calibri" w:cs="Calibri"/>
                <w:sz w:val="20"/>
                <w:szCs w:val="20"/>
              </w:rPr>
            </w:pPr>
            <w:r w:rsidRPr="003174F3">
              <w:rPr>
                <w:sz w:val="20"/>
                <w:szCs w:val="20"/>
              </w:rPr>
              <w:t>(</w:t>
            </w:r>
            <w:r w:rsidR="00475395">
              <w:rPr>
                <w:sz w:val="20"/>
                <w:szCs w:val="20"/>
              </w:rPr>
              <w:t>2.48</w:t>
            </w:r>
            <w:r w:rsidRPr="003174F3">
              <w:rPr>
                <w:sz w:val="20"/>
                <w:szCs w:val="20"/>
              </w:rPr>
              <w:t>)</w:t>
            </w:r>
          </w:p>
        </w:tc>
        <w:tc>
          <w:tcPr>
            <w:tcW w:w="1149" w:type="dxa"/>
          </w:tcPr>
          <w:p w14:paraId="57CABE68" w14:textId="77777777" w:rsidR="003174F3" w:rsidRPr="003174F3" w:rsidRDefault="003174F3" w:rsidP="003174F3">
            <w:pPr>
              <w:pStyle w:val="TableParagraph"/>
              <w:jc w:val="right"/>
              <w:rPr>
                <w:rFonts w:eastAsia="Calibri" w:cs="Calibri"/>
                <w:sz w:val="20"/>
                <w:szCs w:val="20"/>
              </w:rPr>
            </w:pPr>
          </w:p>
        </w:tc>
        <w:tc>
          <w:tcPr>
            <w:tcW w:w="1149" w:type="dxa"/>
          </w:tcPr>
          <w:p w14:paraId="17F773D3" w14:textId="286B09CB" w:rsidR="003174F3" w:rsidRPr="003174F3" w:rsidRDefault="003174F3" w:rsidP="003174F3">
            <w:pPr>
              <w:pStyle w:val="TableParagraph"/>
              <w:jc w:val="right"/>
              <w:rPr>
                <w:rFonts w:eastAsia="Calibri" w:cs="Calibri"/>
                <w:sz w:val="20"/>
                <w:szCs w:val="20"/>
              </w:rPr>
            </w:pPr>
            <w:r w:rsidRPr="003174F3">
              <w:rPr>
                <w:rFonts w:eastAsia="Calibri" w:cs="Calibri"/>
                <w:sz w:val="20"/>
                <w:szCs w:val="20"/>
              </w:rPr>
              <w:t>(-</w:t>
            </w:r>
            <w:r w:rsidR="00475395">
              <w:rPr>
                <w:rFonts w:eastAsia="Calibri" w:cs="Calibri"/>
                <w:sz w:val="20"/>
                <w:szCs w:val="20"/>
              </w:rPr>
              <w:t>2.29</w:t>
            </w:r>
            <w:r w:rsidRPr="003174F3">
              <w:rPr>
                <w:rFonts w:eastAsia="Calibri" w:cs="Calibri"/>
                <w:sz w:val="20"/>
                <w:szCs w:val="20"/>
              </w:rPr>
              <w:t>)</w:t>
            </w:r>
          </w:p>
        </w:tc>
        <w:tc>
          <w:tcPr>
            <w:tcW w:w="1148" w:type="dxa"/>
          </w:tcPr>
          <w:p w14:paraId="0B23298A" w14:textId="77777777" w:rsidR="003174F3" w:rsidRPr="003174F3" w:rsidRDefault="003174F3" w:rsidP="003174F3">
            <w:pPr>
              <w:jc w:val="center"/>
              <w:rPr>
                <w:sz w:val="20"/>
                <w:szCs w:val="20"/>
              </w:rPr>
            </w:pPr>
          </w:p>
        </w:tc>
        <w:tc>
          <w:tcPr>
            <w:tcW w:w="1149" w:type="dxa"/>
          </w:tcPr>
          <w:p w14:paraId="5EFD5C56" w14:textId="77777777" w:rsidR="003174F3" w:rsidRPr="003174F3" w:rsidRDefault="003174F3" w:rsidP="003174F3">
            <w:pPr>
              <w:jc w:val="center"/>
              <w:rPr>
                <w:sz w:val="20"/>
                <w:szCs w:val="20"/>
              </w:rPr>
            </w:pPr>
          </w:p>
        </w:tc>
        <w:tc>
          <w:tcPr>
            <w:tcW w:w="1149" w:type="dxa"/>
          </w:tcPr>
          <w:p w14:paraId="0DFA1DA7" w14:textId="4AAB70C8" w:rsidR="003174F3" w:rsidRPr="003174F3" w:rsidRDefault="003174F3" w:rsidP="003174F3">
            <w:pPr>
              <w:jc w:val="center"/>
              <w:rPr>
                <w:sz w:val="20"/>
                <w:szCs w:val="20"/>
              </w:rPr>
            </w:pPr>
            <w:r w:rsidRPr="003174F3">
              <w:rPr>
                <w:sz w:val="20"/>
                <w:szCs w:val="20"/>
              </w:rPr>
              <w:t>(</w:t>
            </w:r>
            <w:r w:rsidR="00475395">
              <w:rPr>
                <w:sz w:val="20"/>
                <w:szCs w:val="20"/>
              </w:rPr>
              <w:t>-201.10</w:t>
            </w:r>
            <w:r w:rsidRPr="003174F3">
              <w:rPr>
                <w:sz w:val="20"/>
                <w:szCs w:val="20"/>
              </w:rPr>
              <w:t>)</w:t>
            </w:r>
          </w:p>
        </w:tc>
        <w:tc>
          <w:tcPr>
            <w:tcW w:w="1149" w:type="dxa"/>
          </w:tcPr>
          <w:p w14:paraId="4F505773" w14:textId="77777777" w:rsidR="003174F3" w:rsidRPr="003174F3" w:rsidRDefault="003174F3" w:rsidP="003174F3">
            <w:pPr>
              <w:jc w:val="center"/>
              <w:rPr>
                <w:sz w:val="20"/>
                <w:szCs w:val="20"/>
              </w:rPr>
            </w:pPr>
          </w:p>
        </w:tc>
        <w:tc>
          <w:tcPr>
            <w:tcW w:w="1149" w:type="dxa"/>
          </w:tcPr>
          <w:p w14:paraId="5837B111" w14:textId="77777777" w:rsidR="003174F3" w:rsidRPr="00A976EA" w:rsidRDefault="003174F3" w:rsidP="003174F3">
            <w:pPr>
              <w:jc w:val="center"/>
              <w:rPr>
                <w:sz w:val="20"/>
                <w:szCs w:val="20"/>
              </w:rPr>
            </w:pPr>
          </w:p>
        </w:tc>
      </w:tr>
      <w:tr w:rsidR="003174F3" w:rsidRPr="00CC2ED3" w14:paraId="3037DFBF" w14:textId="77777777" w:rsidTr="00CC2ED3">
        <w:trPr>
          <w:trHeight w:hRule="exact" w:val="271"/>
          <w:jc w:val="center"/>
        </w:trPr>
        <w:tc>
          <w:tcPr>
            <w:tcW w:w="1148" w:type="dxa"/>
            <w:shd w:val="clear" w:color="auto" w:fill="F2F2F2"/>
          </w:tcPr>
          <w:p w14:paraId="287B5A46" w14:textId="08ACC024" w:rsidR="003174F3" w:rsidRPr="003174F3" w:rsidRDefault="00475395" w:rsidP="003174F3">
            <w:pPr>
              <w:pStyle w:val="TableParagraph"/>
              <w:jc w:val="right"/>
              <w:rPr>
                <w:rFonts w:eastAsia="Calibri" w:cs="Calibri"/>
                <w:sz w:val="20"/>
                <w:szCs w:val="20"/>
              </w:rPr>
            </w:pPr>
            <w:r>
              <w:rPr>
                <w:sz w:val="20"/>
                <w:szCs w:val="20"/>
              </w:rPr>
              <w:t>272.30</w:t>
            </w:r>
          </w:p>
        </w:tc>
        <w:tc>
          <w:tcPr>
            <w:tcW w:w="1149" w:type="dxa"/>
            <w:shd w:val="clear" w:color="auto" w:fill="F2F2F2"/>
          </w:tcPr>
          <w:p w14:paraId="1F42FFFB" w14:textId="7F69CB2C" w:rsidR="003174F3" w:rsidRPr="003174F3" w:rsidRDefault="00475395" w:rsidP="003174F3">
            <w:pPr>
              <w:pStyle w:val="TableParagraph"/>
              <w:jc w:val="right"/>
              <w:rPr>
                <w:rFonts w:eastAsia="Calibri" w:cs="Calibri"/>
                <w:sz w:val="20"/>
                <w:szCs w:val="20"/>
              </w:rPr>
            </w:pPr>
            <w:r>
              <w:rPr>
                <w:sz w:val="20"/>
                <w:szCs w:val="20"/>
              </w:rPr>
              <w:t>1.580</w:t>
            </w:r>
          </w:p>
        </w:tc>
        <w:tc>
          <w:tcPr>
            <w:tcW w:w="1149" w:type="dxa"/>
            <w:shd w:val="clear" w:color="auto" w:fill="F2F2F2"/>
          </w:tcPr>
          <w:p w14:paraId="6862FDC6" w14:textId="4C606CA7" w:rsidR="003174F3" w:rsidRPr="003174F3" w:rsidRDefault="003174F3" w:rsidP="003174F3">
            <w:pPr>
              <w:pStyle w:val="TableParagraph"/>
              <w:jc w:val="right"/>
              <w:rPr>
                <w:rFonts w:eastAsia="Calibri" w:cs="Calibri"/>
                <w:sz w:val="20"/>
                <w:szCs w:val="20"/>
              </w:rPr>
            </w:pPr>
            <w:r w:rsidRPr="003174F3">
              <w:rPr>
                <w:sz w:val="20"/>
                <w:szCs w:val="20"/>
              </w:rPr>
              <w:t>-0.</w:t>
            </w:r>
            <w:r w:rsidR="00475395">
              <w:rPr>
                <w:sz w:val="20"/>
                <w:szCs w:val="20"/>
              </w:rPr>
              <w:t>266</w:t>
            </w:r>
          </w:p>
        </w:tc>
        <w:tc>
          <w:tcPr>
            <w:tcW w:w="1149" w:type="dxa"/>
            <w:shd w:val="clear" w:color="auto" w:fill="F2F2F2"/>
          </w:tcPr>
          <w:p w14:paraId="38AE7A9C" w14:textId="63023933" w:rsidR="003174F3" w:rsidRPr="003174F3" w:rsidRDefault="00475395" w:rsidP="003174F3">
            <w:pPr>
              <w:pStyle w:val="TableParagraph"/>
              <w:jc w:val="right"/>
              <w:rPr>
                <w:rFonts w:eastAsia="Calibri" w:cs="Calibri"/>
                <w:sz w:val="20"/>
                <w:szCs w:val="20"/>
              </w:rPr>
            </w:pPr>
            <w:r>
              <w:rPr>
                <w:sz w:val="20"/>
                <w:szCs w:val="20"/>
              </w:rPr>
              <w:t>84.452</w:t>
            </w:r>
          </w:p>
        </w:tc>
        <w:tc>
          <w:tcPr>
            <w:tcW w:w="1149" w:type="dxa"/>
            <w:shd w:val="clear" w:color="auto" w:fill="F2F2F2"/>
          </w:tcPr>
          <w:p w14:paraId="18A278CF" w14:textId="77777777" w:rsidR="003174F3" w:rsidRPr="003174F3" w:rsidRDefault="003174F3" w:rsidP="003174F3">
            <w:pPr>
              <w:pStyle w:val="TableParagraph"/>
              <w:jc w:val="right"/>
              <w:rPr>
                <w:rFonts w:eastAsia="Calibri" w:cs="Calibri"/>
                <w:sz w:val="20"/>
                <w:szCs w:val="20"/>
              </w:rPr>
            </w:pPr>
          </w:p>
        </w:tc>
        <w:tc>
          <w:tcPr>
            <w:tcW w:w="1149" w:type="dxa"/>
            <w:shd w:val="clear" w:color="auto" w:fill="F2F2F2"/>
          </w:tcPr>
          <w:p w14:paraId="2C015147" w14:textId="77777777" w:rsidR="003174F3" w:rsidRPr="003174F3" w:rsidRDefault="003174F3" w:rsidP="003174F3">
            <w:pPr>
              <w:pStyle w:val="TableParagraph"/>
              <w:jc w:val="right"/>
              <w:rPr>
                <w:rFonts w:eastAsia="Calibri" w:cs="Calibri"/>
                <w:sz w:val="20"/>
                <w:szCs w:val="20"/>
              </w:rPr>
            </w:pPr>
          </w:p>
        </w:tc>
        <w:tc>
          <w:tcPr>
            <w:tcW w:w="1148" w:type="dxa"/>
            <w:shd w:val="clear" w:color="auto" w:fill="F2F2F2"/>
          </w:tcPr>
          <w:p w14:paraId="4997CD7C" w14:textId="7B884E5D" w:rsidR="003174F3" w:rsidRPr="003174F3" w:rsidRDefault="00475395" w:rsidP="003174F3">
            <w:pPr>
              <w:pStyle w:val="TableParagraph"/>
              <w:jc w:val="center"/>
              <w:rPr>
                <w:rFonts w:eastAsia="Calibri" w:cs="Calibri"/>
                <w:sz w:val="20"/>
                <w:szCs w:val="20"/>
              </w:rPr>
            </w:pPr>
            <w:r>
              <w:rPr>
                <w:rFonts w:eastAsia="Calibri" w:cs="Calibri"/>
                <w:sz w:val="20"/>
                <w:szCs w:val="20"/>
              </w:rPr>
              <w:t>0.445</w:t>
            </w:r>
          </w:p>
        </w:tc>
        <w:tc>
          <w:tcPr>
            <w:tcW w:w="1149" w:type="dxa"/>
            <w:shd w:val="clear" w:color="auto" w:fill="F2F2F2"/>
          </w:tcPr>
          <w:p w14:paraId="5FB2ECD4" w14:textId="77777777" w:rsidR="003174F3" w:rsidRPr="003174F3" w:rsidRDefault="003174F3" w:rsidP="003174F3">
            <w:pPr>
              <w:pStyle w:val="TableParagraph"/>
              <w:jc w:val="center"/>
              <w:rPr>
                <w:rFonts w:eastAsia="Calibri" w:cs="Calibri"/>
                <w:sz w:val="20"/>
                <w:szCs w:val="20"/>
              </w:rPr>
            </w:pPr>
          </w:p>
        </w:tc>
        <w:tc>
          <w:tcPr>
            <w:tcW w:w="1149" w:type="dxa"/>
            <w:shd w:val="clear" w:color="auto" w:fill="F2F2F2"/>
          </w:tcPr>
          <w:p w14:paraId="6E0381E3" w14:textId="216A0A46" w:rsidR="003174F3" w:rsidRPr="003174F3" w:rsidRDefault="00475395" w:rsidP="003174F3">
            <w:pPr>
              <w:pStyle w:val="TableParagraph"/>
              <w:jc w:val="center"/>
              <w:rPr>
                <w:rFonts w:eastAsia="Calibri" w:cs="Calibri"/>
                <w:sz w:val="20"/>
                <w:szCs w:val="20"/>
              </w:rPr>
            </w:pPr>
            <w:r>
              <w:rPr>
                <w:sz w:val="20"/>
                <w:szCs w:val="20"/>
              </w:rPr>
              <w:t>-</w:t>
            </w:r>
            <w:r w:rsidR="003174F3" w:rsidRPr="003174F3">
              <w:rPr>
                <w:sz w:val="20"/>
                <w:szCs w:val="20"/>
              </w:rPr>
              <w:t>0.</w:t>
            </w:r>
            <w:r>
              <w:rPr>
                <w:sz w:val="20"/>
                <w:szCs w:val="20"/>
              </w:rPr>
              <w:t>992</w:t>
            </w:r>
          </w:p>
        </w:tc>
        <w:tc>
          <w:tcPr>
            <w:tcW w:w="1149" w:type="dxa"/>
            <w:shd w:val="clear" w:color="auto" w:fill="F2F2F2"/>
          </w:tcPr>
          <w:p w14:paraId="179AC87E" w14:textId="35FCD630" w:rsidR="003174F3" w:rsidRPr="003174F3" w:rsidRDefault="003174F3" w:rsidP="003174F3">
            <w:pPr>
              <w:pStyle w:val="TableParagraph"/>
              <w:jc w:val="center"/>
              <w:rPr>
                <w:rFonts w:eastAsia="Calibri" w:cs="Calibri"/>
                <w:sz w:val="20"/>
                <w:szCs w:val="20"/>
              </w:rPr>
            </w:pPr>
            <w:r w:rsidRPr="003174F3">
              <w:rPr>
                <w:sz w:val="20"/>
                <w:szCs w:val="20"/>
              </w:rPr>
              <w:t>0.</w:t>
            </w:r>
            <w:r w:rsidR="00475395">
              <w:rPr>
                <w:sz w:val="20"/>
                <w:szCs w:val="20"/>
              </w:rPr>
              <w:t>99</w:t>
            </w:r>
          </w:p>
        </w:tc>
        <w:tc>
          <w:tcPr>
            <w:tcW w:w="1149" w:type="dxa"/>
            <w:shd w:val="clear" w:color="auto" w:fill="F2F2F2"/>
          </w:tcPr>
          <w:p w14:paraId="280A5A53" w14:textId="6E1026D0" w:rsidR="003174F3" w:rsidRPr="00A976EA" w:rsidRDefault="00475395" w:rsidP="003174F3">
            <w:pPr>
              <w:pStyle w:val="TableParagraph"/>
              <w:jc w:val="center"/>
              <w:rPr>
                <w:rFonts w:eastAsia="Calibri" w:cs="Calibri"/>
                <w:sz w:val="20"/>
                <w:szCs w:val="20"/>
              </w:rPr>
            </w:pPr>
            <w:r w:rsidRPr="00A976EA">
              <w:rPr>
                <w:sz w:val="20"/>
                <w:szCs w:val="20"/>
              </w:rPr>
              <w:t>0.83</w:t>
            </w:r>
          </w:p>
        </w:tc>
      </w:tr>
      <w:tr w:rsidR="003174F3" w:rsidRPr="00CC2ED3" w14:paraId="52C675BF" w14:textId="77777777" w:rsidTr="00CC2ED3">
        <w:trPr>
          <w:trHeight w:hRule="exact" w:val="271"/>
          <w:jc w:val="center"/>
        </w:trPr>
        <w:tc>
          <w:tcPr>
            <w:tcW w:w="1148" w:type="dxa"/>
          </w:tcPr>
          <w:p w14:paraId="6A8F61B3" w14:textId="773CA05E" w:rsidR="003174F3" w:rsidRPr="003174F3" w:rsidRDefault="003174F3" w:rsidP="003174F3">
            <w:pPr>
              <w:pStyle w:val="TableParagraph"/>
              <w:jc w:val="right"/>
              <w:rPr>
                <w:rFonts w:eastAsia="Calibri" w:cs="Calibri"/>
                <w:sz w:val="20"/>
                <w:szCs w:val="20"/>
              </w:rPr>
            </w:pPr>
            <w:r w:rsidRPr="003174F3">
              <w:rPr>
                <w:sz w:val="20"/>
                <w:szCs w:val="20"/>
              </w:rPr>
              <w:t>(</w:t>
            </w:r>
            <w:r w:rsidR="00475395">
              <w:rPr>
                <w:sz w:val="20"/>
                <w:szCs w:val="20"/>
              </w:rPr>
              <w:t>10.39</w:t>
            </w:r>
            <w:r w:rsidRPr="003174F3">
              <w:rPr>
                <w:sz w:val="20"/>
                <w:szCs w:val="20"/>
              </w:rPr>
              <w:t>)</w:t>
            </w:r>
          </w:p>
        </w:tc>
        <w:tc>
          <w:tcPr>
            <w:tcW w:w="1149" w:type="dxa"/>
          </w:tcPr>
          <w:p w14:paraId="19A3FC87" w14:textId="39C29364" w:rsidR="003174F3" w:rsidRPr="003174F3" w:rsidRDefault="003174F3" w:rsidP="003174F3">
            <w:pPr>
              <w:pStyle w:val="TableParagraph"/>
              <w:jc w:val="right"/>
              <w:rPr>
                <w:rFonts w:eastAsia="Calibri" w:cs="Calibri"/>
                <w:sz w:val="20"/>
                <w:szCs w:val="20"/>
              </w:rPr>
            </w:pPr>
            <w:r w:rsidRPr="003174F3">
              <w:rPr>
                <w:sz w:val="20"/>
                <w:szCs w:val="20"/>
              </w:rPr>
              <w:t>(</w:t>
            </w:r>
            <w:r w:rsidR="00475395">
              <w:rPr>
                <w:sz w:val="20"/>
                <w:szCs w:val="20"/>
              </w:rPr>
              <w:t>6.10</w:t>
            </w:r>
            <w:r w:rsidRPr="003174F3">
              <w:rPr>
                <w:sz w:val="20"/>
                <w:szCs w:val="20"/>
              </w:rPr>
              <w:t>)</w:t>
            </w:r>
          </w:p>
        </w:tc>
        <w:tc>
          <w:tcPr>
            <w:tcW w:w="1149" w:type="dxa"/>
          </w:tcPr>
          <w:p w14:paraId="431B7B1E" w14:textId="40D73A58" w:rsidR="003174F3" w:rsidRPr="003174F3" w:rsidRDefault="003174F3" w:rsidP="003174F3">
            <w:pPr>
              <w:pStyle w:val="TableParagraph"/>
              <w:jc w:val="right"/>
              <w:rPr>
                <w:rFonts w:eastAsia="Calibri" w:cs="Calibri"/>
                <w:sz w:val="20"/>
                <w:szCs w:val="20"/>
              </w:rPr>
            </w:pPr>
            <w:r w:rsidRPr="003174F3">
              <w:rPr>
                <w:sz w:val="20"/>
                <w:szCs w:val="20"/>
              </w:rPr>
              <w:t>(-1.</w:t>
            </w:r>
            <w:r w:rsidR="00475395">
              <w:rPr>
                <w:sz w:val="20"/>
                <w:szCs w:val="20"/>
              </w:rPr>
              <w:t>57</w:t>
            </w:r>
            <w:r w:rsidRPr="003174F3">
              <w:rPr>
                <w:sz w:val="20"/>
                <w:szCs w:val="20"/>
              </w:rPr>
              <w:t>)</w:t>
            </w:r>
          </w:p>
        </w:tc>
        <w:tc>
          <w:tcPr>
            <w:tcW w:w="1149" w:type="dxa"/>
          </w:tcPr>
          <w:p w14:paraId="104F10F5" w14:textId="0677E312" w:rsidR="003174F3" w:rsidRPr="003174F3" w:rsidRDefault="003174F3" w:rsidP="003174F3">
            <w:pPr>
              <w:pStyle w:val="TableParagraph"/>
              <w:jc w:val="right"/>
              <w:rPr>
                <w:rFonts w:eastAsia="Calibri" w:cs="Calibri"/>
                <w:sz w:val="20"/>
                <w:szCs w:val="20"/>
              </w:rPr>
            </w:pPr>
            <w:r w:rsidRPr="003174F3">
              <w:rPr>
                <w:sz w:val="20"/>
                <w:szCs w:val="20"/>
              </w:rPr>
              <w:t>(2.</w:t>
            </w:r>
            <w:r w:rsidR="00475395">
              <w:rPr>
                <w:sz w:val="20"/>
                <w:szCs w:val="20"/>
              </w:rPr>
              <w:t>07</w:t>
            </w:r>
            <w:r w:rsidRPr="003174F3">
              <w:rPr>
                <w:sz w:val="20"/>
                <w:szCs w:val="20"/>
              </w:rPr>
              <w:t>)</w:t>
            </w:r>
          </w:p>
        </w:tc>
        <w:tc>
          <w:tcPr>
            <w:tcW w:w="1149" w:type="dxa"/>
          </w:tcPr>
          <w:p w14:paraId="444A3F6D" w14:textId="77777777" w:rsidR="003174F3" w:rsidRPr="003174F3" w:rsidRDefault="003174F3" w:rsidP="003174F3">
            <w:pPr>
              <w:pStyle w:val="TableParagraph"/>
              <w:jc w:val="right"/>
              <w:rPr>
                <w:rFonts w:eastAsia="Calibri" w:cs="Calibri"/>
                <w:sz w:val="20"/>
                <w:szCs w:val="20"/>
              </w:rPr>
            </w:pPr>
          </w:p>
        </w:tc>
        <w:tc>
          <w:tcPr>
            <w:tcW w:w="1149" w:type="dxa"/>
          </w:tcPr>
          <w:p w14:paraId="6F7009D1" w14:textId="77777777" w:rsidR="003174F3" w:rsidRPr="003174F3" w:rsidRDefault="003174F3" w:rsidP="003174F3">
            <w:pPr>
              <w:pStyle w:val="TableParagraph"/>
              <w:jc w:val="right"/>
              <w:rPr>
                <w:rFonts w:eastAsia="Calibri" w:cs="Calibri"/>
                <w:sz w:val="20"/>
                <w:szCs w:val="20"/>
              </w:rPr>
            </w:pPr>
          </w:p>
        </w:tc>
        <w:tc>
          <w:tcPr>
            <w:tcW w:w="1148" w:type="dxa"/>
          </w:tcPr>
          <w:p w14:paraId="3835933C" w14:textId="6BD5D51A" w:rsidR="003174F3" w:rsidRPr="003174F3" w:rsidRDefault="003174F3" w:rsidP="003174F3">
            <w:pPr>
              <w:jc w:val="center"/>
              <w:rPr>
                <w:sz w:val="20"/>
                <w:szCs w:val="20"/>
              </w:rPr>
            </w:pPr>
            <w:r w:rsidRPr="003174F3">
              <w:rPr>
                <w:sz w:val="20"/>
                <w:szCs w:val="20"/>
              </w:rPr>
              <w:t>(0.</w:t>
            </w:r>
            <w:r w:rsidR="00475395">
              <w:rPr>
                <w:sz w:val="20"/>
                <w:szCs w:val="20"/>
              </w:rPr>
              <w:t>04</w:t>
            </w:r>
            <w:r w:rsidRPr="003174F3">
              <w:rPr>
                <w:sz w:val="20"/>
                <w:szCs w:val="20"/>
              </w:rPr>
              <w:t>)</w:t>
            </w:r>
          </w:p>
        </w:tc>
        <w:tc>
          <w:tcPr>
            <w:tcW w:w="1149" w:type="dxa"/>
          </w:tcPr>
          <w:p w14:paraId="7A5E2575" w14:textId="77777777" w:rsidR="003174F3" w:rsidRPr="003174F3" w:rsidRDefault="003174F3" w:rsidP="003174F3">
            <w:pPr>
              <w:jc w:val="center"/>
              <w:rPr>
                <w:sz w:val="20"/>
                <w:szCs w:val="20"/>
              </w:rPr>
            </w:pPr>
          </w:p>
        </w:tc>
        <w:tc>
          <w:tcPr>
            <w:tcW w:w="1149" w:type="dxa"/>
          </w:tcPr>
          <w:p w14:paraId="2C4416BE" w14:textId="0E1FEB23" w:rsidR="003174F3" w:rsidRPr="003174F3" w:rsidRDefault="003174F3" w:rsidP="003174F3">
            <w:pPr>
              <w:jc w:val="center"/>
              <w:rPr>
                <w:sz w:val="20"/>
                <w:szCs w:val="20"/>
              </w:rPr>
            </w:pPr>
            <w:r w:rsidRPr="003174F3">
              <w:rPr>
                <w:sz w:val="20"/>
                <w:szCs w:val="20"/>
              </w:rPr>
              <w:t>(</w:t>
            </w:r>
            <w:r w:rsidR="00475395">
              <w:rPr>
                <w:sz w:val="20"/>
                <w:szCs w:val="20"/>
              </w:rPr>
              <w:t>-101.22</w:t>
            </w:r>
            <w:r w:rsidRPr="003174F3">
              <w:rPr>
                <w:sz w:val="20"/>
                <w:szCs w:val="20"/>
              </w:rPr>
              <w:t>)</w:t>
            </w:r>
          </w:p>
        </w:tc>
        <w:tc>
          <w:tcPr>
            <w:tcW w:w="1149" w:type="dxa"/>
          </w:tcPr>
          <w:p w14:paraId="4B294865" w14:textId="77777777" w:rsidR="003174F3" w:rsidRPr="003174F3" w:rsidRDefault="003174F3" w:rsidP="003174F3">
            <w:pPr>
              <w:jc w:val="center"/>
              <w:rPr>
                <w:sz w:val="20"/>
                <w:szCs w:val="20"/>
              </w:rPr>
            </w:pPr>
          </w:p>
        </w:tc>
        <w:tc>
          <w:tcPr>
            <w:tcW w:w="1149" w:type="dxa"/>
          </w:tcPr>
          <w:p w14:paraId="09CB2E93" w14:textId="77777777" w:rsidR="003174F3" w:rsidRPr="00A976EA" w:rsidRDefault="003174F3" w:rsidP="003174F3">
            <w:pPr>
              <w:jc w:val="center"/>
              <w:rPr>
                <w:sz w:val="20"/>
                <w:szCs w:val="20"/>
              </w:rPr>
            </w:pPr>
          </w:p>
        </w:tc>
      </w:tr>
      <w:tr w:rsidR="003174F3" w:rsidRPr="00CC2ED3" w14:paraId="03BBC710" w14:textId="77777777" w:rsidTr="00CC2ED3">
        <w:trPr>
          <w:trHeight w:hRule="exact" w:val="271"/>
          <w:jc w:val="center"/>
        </w:trPr>
        <w:tc>
          <w:tcPr>
            <w:tcW w:w="1148" w:type="dxa"/>
          </w:tcPr>
          <w:p w14:paraId="22A01102" w14:textId="6CA4916C" w:rsidR="003174F3" w:rsidRPr="003174F3" w:rsidRDefault="00475395" w:rsidP="003174F3">
            <w:pPr>
              <w:pStyle w:val="TableParagraph"/>
              <w:jc w:val="right"/>
              <w:rPr>
                <w:sz w:val="20"/>
                <w:szCs w:val="20"/>
              </w:rPr>
            </w:pPr>
            <w:r>
              <w:rPr>
                <w:sz w:val="20"/>
                <w:szCs w:val="20"/>
              </w:rPr>
              <w:t>226.41</w:t>
            </w:r>
          </w:p>
        </w:tc>
        <w:tc>
          <w:tcPr>
            <w:tcW w:w="1149" w:type="dxa"/>
          </w:tcPr>
          <w:p w14:paraId="71B92D6D" w14:textId="34311CE7" w:rsidR="003174F3" w:rsidRPr="003174F3" w:rsidRDefault="00475395" w:rsidP="003174F3">
            <w:pPr>
              <w:pStyle w:val="TableParagraph"/>
              <w:jc w:val="right"/>
              <w:rPr>
                <w:sz w:val="20"/>
                <w:szCs w:val="20"/>
              </w:rPr>
            </w:pPr>
            <w:r>
              <w:rPr>
                <w:sz w:val="20"/>
                <w:szCs w:val="20"/>
              </w:rPr>
              <w:t>1.807</w:t>
            </w:r>
          </w:p>
        </w:tc>
        <w:tc>
          <w:tcPr>
            <w:tcW w:w="1149" w:type="dxa"/>
          </w:tcPr>
          <w:p w14:paraId="6810952C" w14:textId="6A76A1F8" w:rsidR="003174F3" w:rsidRPr="003174F3" w:rsidRDefault="003174F3" w:rsidP="003174F3">
            <w:pPr>
              <w:pStyle w:val="TableParagraph"/>
              <w:jc w:val="right"/>
              <w:rPr>
                <w:sz w:val="20"/>
                <w:szCs w:val="20"/>
              </w:rPr>
            </w:pPr>
            <w:r w:rsidRPr="003174F3">
              <w:rPr>
                <w:sz w:val="20"/>
                <w:szCs w:val="20"/>
              </w:rPr>
              <w:t>-0.</w:t>
            </w:r>
            <w:r w:rsidR="00475395">
              <w:rPr>
                <w:sz w:val="20"/>
                <w:szCs w:val="20"/>
              </w:rPr>
              <w:t>055</w:t>
            </w:r>
          </w:p>
        </w:tc>
        <w:tc>
          <w:tcPr>
            <w:tcW w:w="1149" w:type="dxa"/>
          </w:tcPr>
          <w:p w14:paraId="5F37AC73" w14:textId="01A1E73A" w:rsidR="003174F3" w:rsidRPr="003174F3" w:rsidRDefault="00475395" w:rsidP="003174F3">
            <w:pPr>
              <w:pStyle w:val="TableParagraph"/>
              <w:jc w:val="right"/>
              <w:rPr>
                <w:sz w:val="20"/>
                <w:szCs w:val="20"/>
              </w:rPr>
            </w:pPr>
            <w:r>
              <w:rPr>
                <w:sz w:val="20"/>
                <w:szCs w:val="20"/>
              </w:rPr>
              <w:t>72.469</w:t>
            </w:r>
          </w:p>
        </w:tc>
        <w:tc>
          <w:tcPr>
            <w:tcW w:w="1149" w:type="dxa"/>
          </w:tcPr>
          <w:p w14:paraId="75DF8E17" w14:textId="77777777" w:rsidR="003174F3" w:rsidRPr="003174F3" w:rsidRDefault="003174F3" w:rsidP="003174F3">
            <w:pPr>
              <w:pStyle w:val="TableParagraph"/>
              <w:jc w:val="right"/>
              <w:rPr>
                <w:sz w:val="20"/>
                <w:szCs w:val="20"/>
              </w:rPr>
            </w:pPr>
          </w:p>
        </w:tc>
        <w:tc>
          <w:tcPr>
            <w:tcW w:w="1149" w:type="dxa"/>
          </w:tcPr>
          <w:p w14:paraId="1C5B1227" w14:textId="77777777" w:rsidR="003174F3" w:rsidRPr="003174F3" w:rsidRDefault="003174F3" w:rsidP="003174F3">
            <w:pPr>
              <w:pStyle w:val="TableParagraph"/>
              <w:jc w:val="right"/>
              <w:rPr>
                <w:rFonts w:eastAsia="Calibri" w:cs="Calibri"/>
                <w:sz w:val="20"/>
                <w:szCs w:val="20"/>
              </w:rPr>
            </w:pPr>
          </w:p>
        </w:tc>
        <w:tc>
          <w:tcPr>
            <w:tcW w:w="1148" w:type="dxa"/>
          </w:tcPr>
          <w:p w14:paraId="6CD41724" w14:textId="77777777" w:rsidR="003174F3" w:rsidRPr="003174F3" w:rsidRDefault="003174F3" w:rsidP="003174F3">
            <w:pPr>
              <w:jc w:val="center"/>
              <w:rPr>
                <w:sz w:val="20"/>
                <w:szCs w:val="20"/>
              </w:rPr>
            </w:pPr>
          </w:p>
        </w:tc>
        <w:tc>
          <w:tcPr>
            <w:tcW w:w="1149" w:type="dxa"/>
          </w:tcPr>
          <w:p w14:paraId="1F88AA07" w14:textId="2D87A0F0" w:rsidR="003174F3" w:rsidRPr="003174F3" w:rsidRDefault="003174F3" w:rsidP="003174F3">
            <w:pPr>
              <w:jc w:val="center"/>
              <w:rPr>
                <w:sz w:val="20"/>
                <w:szCs w:val="20"/>
              </w:rPr>
            </w:pPr>
            <w:r w:rsidRPr="003174F3">
              <w:rPr>
                <w:sz w:val="20"/>
                <w:szCs w:val="20"/>
              </w:rPr>
              <w:t>-</w:t>
            </w:r>
            <w:r w:rsidR="00475395">
              <w:rPr>
                <w:sz w:val="20"/>
                <w:szCs w:val="20"/>
              </w:rPr>
              <w:t>27.090</w:t>
            </w:r>
          </w:p>
        </w:tc>
        <w:tc>
          <w:tcPr>
            <w:tcW w:w="1149" w:type="dxa"/>
          </w:tcPr>
          <w:p w14:paraId="7C35939E" w14:textId="36580266" w:rsidR="003174F3" w:rsidRPr="003174F3" w:rsidRDefault="00475395" w:rsidP="003174F3">
            <w:pPr>
              <w:jc w:val="center"/>
              <w:rPr>
                <w:sz w:val="20"/>
                <w:szCs w:val="20"/>
              </w:rPr>
            </w:pPr>
            <w:r>
              <w:rPr>
                <w:sz w:val="20"/>
                <w:szCs w:val="20"/>
              </w:rPr>
              <w:t>-</w:t>
            </w:r>
            <w:r w:rsidR="003174F3" w:rsidRPr="003174F3">
              <w:rPr>
                <w:sz w:val="20"/>
                <w:szCs w:val="20"/>
              </w:rPr>
              <w:t>0.9</w:t>
            </w:r>
            <w:r>
              <w:rPr>
                <w:sz w:val="20"/>
                <w:szCs w:val="20"/>
              </w:rPr>
              <w:t>89</w:t>
            </w:r>
          </w:p>
        </w:tc>
        <w:tc>
          <w:tcPr>
            <w:tcW w:w="1149" w:type="dxa"/>
          </w:tcPr>
          <w:p w14:paraId="2E6D0491" w14:textId="56B59C84" w:rsidR="003174F3" w:rsidRPr="003174F3" w:rsidRDefault="003174F3" w:rsidP="003174F3">
            <w:pPr>
              <w:jc w:val="center"/>
              <w:rPr>
                <w:sz w:val="20"/>
                <w:szCs w:val="20"/>
              </w:rPr>
            </w:pPr>
            <w:r w:rsidRPr="003174F3">
              <w:rPr>
                <w:sz w:val="20"/>
                <w:szCs w:val="20"/>
              </w:rPr>
              <w:t>0.</w:t>
            </w:r>
            <w:r w:rsidR="00475395">
              <w:rPr>
                <w:sz w:val="20"/>
                <w:szCs w:val="20"/>
              </w:rPr>
              <w:t>99</w:t>
            </w:r>
          </w:p>
        </w:tc>
        <w:tc>
          <w:tcPr>
            <w:tcW w:w="1149" w:type="dxa"/>
          </w:tcPr>
          <w:p w14:paraId="2755055F" w14:textId="4D25E697" w:rsidR="003174F3" w:rsidRPr="00A976EA" w:rsidRDefault="00475395" w:rsidP="003174F3">
            <w:pPr>
              <w:jc w:val="center"/>
              <w:rPr>
                <w:sz w:val="20"/>
                <w:szCs w:val="20"/>
              </w:rPr>
            </w:pPr>
            <w:r w:rsidRPr="00A976EA">
              <w:rPr>
                <w:sz w:val="20"/>
                <w:szCs w:val="20"/>
              </w:rPr>
              <w:t>0.99</w:t>
            </w:r>
          </w:p>
        </w:tc>
      </w:tr>
      <w:tr w:rsidR="003174F3" w:rsidRPr="00CC2ED3" w14:paraId="367C08DA" w14:textId="77777777" w:rsidTr="00CC2ED3">
        <w:trPr>
          <w:trHeight w:hRule="exact" w:val="271"/>
          <w:jc w:val="center"/>
        </w:trPr>
        <w:tc>
          <w:tcPr>
            <w:tcW w:w="1148" w:type="dxa"/>
          </w:tcPr>
          <w:p w14:paraId="55D0511B" w14:textId="7E3555DC" w:rsidR="003174F3" w:rsidRPr="003174F3" w:rsidRDefault="003174F3" w:rsidP="003174F3">
            <w:pPr>
              <w:pStyle w:val="TableParagraph"/>
              <w:jc w:val="right"/>
              <w:rPr>
                <w:sz w:val="20"/>
                <w:szCs w:val="20"/>
              </w:rPr>
            </w:pPr>
            <w:r w:rsidRPr="003174F3">
              <w:rPr>
                <w:sz w:val="20"/>
                <w:szCs w:val="20"/>
              </w:rPr>
              <w:t>(</w:t>
            </w:r>
            <w:r w:rsidR="00475395">
              <w:rPr>
                <w:sz w:val="20"/>
                <w:szCs w:val="20"/>
              </w:rPr>
              <w:t>6.03</w:t>
            </w:r>
            <w:r w:rsidRPr="003174F3">
              <w:rPr>
                <w:sz w:val="20"/>
                <w:szCs w:val="20"/>
              </w:rPr>
              <w:t>)</w:t>
            </w:r>
          </w:p>
        </w:tc>
        <w:tc>
          <w:tcPr>
            <w:tcW w:w="1149" w:type="dxa"/>
          </w:tcPr>
          <w:p w14:paraId="33C45DAA" w14:textId="62B59962" w:rsidR="003174F3" w:rsidRPr="003174F3" w:rsidRDefault="003174F3" w:rsidP="003174F3">
            <w:pPr>
              <w:pStyle w:val="TableParagraph"/>
              <w:jc w:val="right"/>
              <w:rPr>
                <w:sz w:val="20"/>
                <w:szCs w:val="20"/>
              </w:rPr>
            </w:pPr>
            <w:r w:rsidRPr="003174F3">
              <w:rPr>
                <w:sz w:val="20"/>
                <w:szCs w:val="20"/>
              </w:rPr>
              <w:t>(</w:t>
            </w:r>
            <w:r w:rsidR="007638CB">
              <w:rPr>
                <w:sz w:val="20"/>
                <w:szCs w:val="20"/>
              </w:rPr>
              <w:t>6.66</w:t>
            </w:r>
            <w:r w:rsidRPr="003174F3">
              <w:rPr>
                <w:sz w:val="20"/>
                <w:szCs w:val="20"/>
              </w:rPr>
              <w:t>)</w:t>
            </w:r>
          </w:p>
        </w:tc>
        <w:tc>
          <w:tcPr>
            <w:tcW w:w="1149" w:type="dxa"/>
          </w:tcPr>
          <w:p w14:paraId="0F4A08F8" w14:textId="2FF8EF86" w:rsidR="003174F3" w:rsidRPr="003174F3" w:rsidRDefault="003174F3" w:rsidP="003174F3">
            <w:pPr>
              <w:pStyle w:val="TableParagraph"/>
              <w:jc w:val="right"/>
              <w:rPr>
                <w:sz w:val="20"/>
                <w:szCs w:val="20"/>
              </w:rPr>
            </w:pPr>
            <w:r w:rsidRPr="003174F3">
              <w:rPr>
                <w:sz w:val="20"/>
                <w:szCs w:val="20"/>
              </w:rPr>
              <w:t>(-</w:t>
            </w:r>
            <w:r w:rsidR="007638CB">
              <w:rPr>
                <w:sz w:val="20"/>
                <w:szCs w:val="20"/>
              </w:rPr>
              <w:t>0.26</w:t>
            </w:r>
            <w:r w:rsidRPr="003174F3">
              <w:rPr>
                <w:sz w:val="20"/>
                <w:szCs w:val="20"/>
              </w:rPr>
              <w:t>)</w:t>
            </w:r>
          </w:p>
        </w:tc>
        <w:tc>
          <w:tcPr>
            <w:tcW w:w="1149" w:type="dxa"/>
          </w:tcPr>
          <w:p w14:paraId="2646CD24" w14:textId="600F40EE" w:rsidR="003174F3" w:rsidRPr="003174F3" w:rsidRDefault="003174F3" w:rsidP="003174F3">
            <w:pPr>
              <w:pStyle w:val="TableParagraph"/>
              <w:jc w:val="right"/>
              <w:rPr>
                <w:sz w:val="20"/>
                <w:szCs w:val="20"/>
              </w:rPr>
            </w:pPr>
            <w:r w:rsidRPr="003174F3">
              <w:rPr>
                <w:sz w:val="20"/>
                <w:szCs w:val="20"/>
              </w:rPr>
              <w:t>(</w:t>
            </w:r>
            <w:r w:rsidR="007638CB">
              <w:rPr>
                <w:sz w:val="20"/>
                <w:szCs w:val="20"/>
              </w:rPr>
              <w:t>1.80</w:t>
            </w:r>
            <w:r w:rsidRPr="003174F3">
              <w:rPr>
                <w:sz w:val="20"/>
                <w:szCs w:val="20"/>
              </w:rPr>
              <w:t>)</w:t>
            </w:r>
          </w:p>
        </w:tc>
        <w:tc>
          <w:tcPr>
            <w:tcW w:w="1149" w:type="dxa"/>
          </w:tcPr>
          <w:p w14:paraId="053896A7" w14:textId="77777777" w:rsidR="003174F3" w:rsidRPr="003174F3" w:rsidRDefault="003174F3" w:rsidP="003174F3">
            <w:pPr>
              <w:pStyle w:val="TableParagraph"/>
              <w:jc w:val="right"/>
              <w:rPr>
                <w:sz w:val="20"/>
                <w:szCs w:val="20"/>
              </w:rPr>
            </w:pPr>
          </w:p>
        </w:tc>
        <w:tc>
          <w:tcPr>
            <w:tcW w:w="1149" w:type="dxa"/>
          </w:tcPr>
          <w:p w14:paraId="66F83D76" w14:textId="77777777" w:rsidR="003174F3" w:rsidRPr="003174F3" w:rsidRDefault="003174F3" w:rsidP="003174F3">
            <w:pPr>
              <w:pStyle w:val="TableParagraph"/>
              <w:jc w:val="right"/>
              <w:rPr>
                <w:rFonts w:eastAsia="Calibri" w:cs="Calibri"/>
                <w:sz w:val="20"/>
                <w:szCs w:val="20"/>
              </w:rPr>
            </w:pPr>
          </w:p>
        </w:tc>
        <w:tc>
          <w:tcPr>
            <w:tcW w:w="1148" w:type="dxa"/>
          </w:tcPr>
          <w:p w14:paraId="5C5ACBEE" w14:textId="77777777" w:rsidR="003174F3" w:rsidRPr="003174F3" w:rsidRDefault="003174F3" w:rsidP="003174F3">
            <w:pPr>
              <w:jc w:val="center"/>
              <w:rPr>
                <w:sz w:val="20"/>
                <w:szCs w:val="20"/>
              </w:rPr>
            </w:pPr>
          </w:p>
        </w:tc>
        <w:tc>
          <w:tcPr>
            <w:tcW w:w="1149" w:type="dxa"/>
          </w:tcPr>
          <w:p w14:paraId="224E512A" w14:textId="401A870A" w:rsidR="003174F3" w:rsidRPr="003174F3" w:rsidRDefault="003174F3" w:rsidP="003174F3">
            <w:pPr>
              <w:jc w:val="center"/>
              <w:rPr>
                <w:sz w:val="20"/>
                <w:szCs w:val="20"/>
              </w:rPr>
            </w:pPr>
            <w:r w:rsidRPr="003174F3">
              <w:rPr>
                <w:sz w:val="20"/>
                <w:szCs w:val="20"/>
              </w:rPr>
              <w:t>(-</w:t>
            </w:r>
            <w:r w:rsidR="007638CB">
              <w:rPr>
                <w:sz w:val="20"/>
                <w:szCs w:val="20"/>
              </w:rPr>
              <w:t>1.65</w:t>
            </w:r>
            <w:r w:rsidRPr="003174F3">
              <w:rPr>
                <w:sz w:val="20"/>
                <w:szCs w:val="20"/>
              </w:rPr>
              <w:t>)</w:t>
            </w:r>
          </w:p>
        </w:tc>
        <w:tc>
          <w:tcPr>
            <w:tcW w:w="1149" w:type="dxa"/>
          </w:tcPr>
          <w:p w14:paraId="754CC31A" w14:textId="21DA2236" w:rsidR="003174F3" w:rsidRPr="003174F3" w:rsidRDefault="003174F3" w:rsidP="003174F3">
            <w:pPr>
              <w:jc w:val="center"/>
              <w:rPr>
                <w:sz w:val="20"/>
                <w:szCs w:val="20"/>
              </w:rPr>
            </w:pPr>
            <w:r w:rsidRPr="003174F3">
              <w:rPr>
                <w:sz w:val="20"/>
                <w:szCs w:val="20"/>
              </w:rPr>
              <w:t>(</w:t>
            </w:r>
            <w:r w:rsidR="007638CB">
              <w:rPr>
                <w:sz w:val="20"/>
                <w:szCs w:val="20"/>
              </w:rPr>
              <w:t>-73.62</w:t>
            </w:r>
            <w:r w:rsidRPr="003174F3">
              <w:rPr>
                <w:sz w:val="20"/>
                <w:szCs w:val="20"/>
              </w:rPr>
              <w:t>)</w:t>
            </w:r>
          </w:p>
        </w:tc>
        <w:tc>
          <w:tcPr>
            <w:tcW w:w="1149" w:type="dxa"/>
          </w:tcPr>
          <w:p w14:paraId="1CE5A99E" w14:textId="77777777" w:rsidR="003174F3" w:rsidRPr="003174F3" w:rsidRDefault="003174F3" w:rsidP="003174F3">
            <w:pPr>
              <w:jc w:val="center"/>
              <w:rPr>
                <w:sz w:val="20"/>
                <w:szCs w:val="20"/>
              </w:rPr>
            </w:pPr>
          </w:p>
        </w:tc>
        <w:tc>
          <w:tcPr>
            <w:tcW w:w="1149" w:type="dxa"/>
          </w:tcPr>
          <w:p w14:paraId="31A8DEE7" w14:textId="77777777" w:rsidR="003174F3" w:rsidRPr="00A976EA" w:rsidRDefault="003174F3" w:rsidP="003174F3">
            <w:pPr>
              <w:jc w:val="center"/>
              <w:rPr>
                <w:sz w:val="20"/>
                <w:szCs w:val="20"/>
              </w:rPr>
            </w:pPr>
          </w:p>
        </w:tc>
      </w:tr>
      <w:tr w:rsidR="003174F3" w:rsidRPr="00CC2ED3" w14:paraId="639039CE" w14:textId="77777777" w:rsidTr="00CC2ED3">
        <w:trPr>
          <w:trHeight w:hRule="exact" w:val="271"/>
          <w:jc w:val="center"/>
        </w:trPr>
        <w:tc>
          <w:tcPr>
            <w:tcW w:w="1148" w:type="dxa"/>
          </w:tcPr>
          <w:p w14:paraId="4F6C713B" w14:textId="6B946F64" w:rsidR="003174F3" w:rsidRPr="003174F3" w:rsidRDefault="007638CB" w:rsidP="003174F3">
            <w:pPr>
              <w:pStyle w:val="TableParagraph"/>
              <w:jc w:val="right"/>
              <w:rPr>
                <w:sz w:val="20"/>
                <w:szCs w:val="20"/>
              </w:rPr>
            </w:pPr>
            <w:r>
              <w:rPr>
                <w:sz w:val="20"/>
                <w:szCs w:val="20"/>
              </w:rPr>
              <w:t>336.90</w:t>
            </w:r>
          </w:p>
        </w:tc>
        <w:tc>
          <w:tcPr>
            <w:tcW w:w="1149" w:type="dxa"/>
          </w:tcPr>
          <w:p w14:paraId="0E40BCB4" w14:textId="0BFE4C89" w:rsidR="003174F3" w:rsidRPr="003174F3" w:rsidRDefault="003174F3" w:rsidP="003174F3">
            <w:pPr>
              <w:pStyle w:val="TableParagraph"/>
              <w:jc w:val="right"/>
              <w:rPr>
                <w:sz w:val="20"/>
                <w:szCs w:val="20"/>
              </w:rPr>
            </w:pPr>
            <w:r w:rsidRPr="003174F3">
              <w:rPr>
                <w:sz w:val="20"/>
                <w:szCs w:val="20"/>
              </w:rPr>
              <w:t>0.</w:t>
            </w:r>
            <w:r w:rsidR="007638CB">
              <w:rPr>
                <w:sz w:val="20"/>
                <w:szCs w:val="20"/>
              </w:rPr>
              <w:t>751</w:t>
            </w:r>
          </w:p>
        </w:tc>
        <w:tc>
          <w:tcPr>
            <w:tcW w:w="1149" w:type="dxa"/>
          </w:tcPr>
          <w:p w14:paraId="6493F7D1" w14:textId="61A12704" w:rsidR="003174F3" w:rsidRPr="003174F3" w:rsidRDefault="003174F3" w:rsidP="003174F3">
            <w:pPr>
              <w:pStyle w:val="TableParagraph"/>
              <w:jc w:val="right"/>
              <w:rPr>
                <w:sz w:val="20"/>
                <w:szCs w:val="20"/>
              </w:rPr>
            </w:pPr>
            <w:r w:rsidRPr="003174F3">
              <w:rPr>
                <w:sz w:val="20"/>
                <w:szCs w:val="20"/>
              </w:rPr>
              <w:t>-0.</w:t>
            </w:r>
            <w:r w:rsidR="007638CB">
              <w:rPr>
                <w:sz w:val="20"/>
                <w:szCs w:val="20"/>
              </w:rPr>
              <w:t>068</w:t>
            </w:r>
          </w:p>
        </w:tc>
        <w:tc>
          <w:tcPr>
            <w:tcW w:w="1149" w:type="dxa"/>
          </w:tcPr>
          <w:p w14:paraId="1B96F022" w14:textId="16A792EC" w:rsidR="003174F3" w:rsidRPr="003174F3" w:rsidRDefault="007638CB" w:rsidP="003174F3">
            <w:pPr>
              <w:pStyle w:val="TableParagraph"/>
              <w:jc w:val="right"/>
              <w:rPr>
                <w:sz w:val="20"/>
                <w:szCs w:val="20"/>
              </w:rPr>
            </w:pPr>
            <w:r>
              <w:rPr>
                <w:sz w:val="20"/>
                <w:szCs w:val="20"/>
              </w:rPr>
              <w:t>82.975</w:t>
            </w:r>
          </w:p>
        </w:tc>
        <w:tc>
          <w:tcPr>
            <w:tcW w:w="1149" w:type="dxa"/>
          </w:tcPr>
          <w:p w14:paraId="08870EB7" w14:textId="597C8496" w:rsidR="003174F3" w:rsidRPr="003174F3" w:rsidRDefault="003174F3" w:rsidP="003174F3">
            <w:pPr>
              <w:pStyle w:val="TableParagraph"/>
              <w:jc w:val="right"/>
              <w:rPr>
                <w:sz w:val="20"/>
                <w:szCs w:val="20"/>
              </w:rPr>
            </w:pPr>
          </w:p>
        </w:tc>
        <w:tc>
          <w:tcPr>
            <w:tcW w:w="1149" w:type="dxa"/>
          </w:tcPr>
          <w:p w14:paraId="404C2519" w14:textId="698CDF6B" w:rsidR="003174F3" w:rsidRPr="003174F3" w:rsidRDefault="003174F3" w:rsidP="003174F3">
            <w:pPr>
              <w:pStyle w:val="TableParagraph"/>
              <w:jc w:val="right"/>
              <w:rPr>
                <w:rFonts w:eastAsia="Calibri" w:cs="Calibri"/>
                <w:sz w:val="20"/>
                <w:szCs w:val="20"/>
              </w:rPr>
            </w:pPr>
            <w:r w:rsidRPr="003174F3">
              <w:rPr>
                <w:rFonts w:eastAsia="Calibri" w:cs="Calibri"/>
                <w:sz w:val="20"/>
                <w:szCs w:val="20"/>
              </w:rPr>
              <w:t>-</w:t>
            </w:r>
            <w:r w:rsidR="007638CB">
              <w:rPr>
                <w:rFonts w:eastAsia="Calibri" w:cs="Calibri"/>
                <w:sz w:val="20"/>
                <w:szCs w:val="20"/>
              </w:rPr>
              <w:t>51.796</w:t>
            </w:r>
          </w:p>
        </w:tc>
        <w:tc>
          <w:tcPr>
            <w:tcW w:w="1148" w:type="dxa"/>
          </w:tcPr>
          <w:p w14:paraId="443806C6" w14:textId="649E5DAA" w:rsidR="003174F3" w:rsidRPr="003174F3" w:rsidRDefault="007638CB" w:rsidP="003174F3">
            <w:pPr>
              <w:jc w:val="center"/>
              <w:rPr>
                <w:sz w:val="20"/>
                <w:szCs w:val="20"/>
              </w:rPr>
            </w:pPr>
            <w:r>
              <w:rPr>
                <w:sz w:val="20"/>
                <w:szCs w:val="20"/>
              </w:rPr>
              <w:t>8.639</w:t>
            </w:r>
          </w:p>
        </w:tc>
        <w:tc>
          <w:tcPr>
            <w:tcW w:w="1149" w:type="dxa"/>
          </w:tcPr>
          <w:p w14:paraId="3468B9D7" w14:textId="518C1591" w:rsidR="003174F3" w:rsidRPr="003174F3" w:rsidRDefault="003174F3" w:rsidP="003174F3">
            <w:pPr>
              <w:jc w:val="center"/>
              <w:rPr>
                <w:sz w:val="20"/>
                <w:szCs w:val="20"/>
              </w:rPr>
            </w:pPr>
            <w:r w:rsidRPr="003174F3">
              <w:rPr>
                <w:sz w:val="20"/>
                <w:szCs w:val="20"/>
              </w:rPr>
              <w:t>-</w:t>
            </w:r>
            <w:r w:rsidR="007638CB">
              <w:rPr>
                <w:sz w:val="20"/>
                <w:szCs w:val="20"/>
              </w:rPr>
              <w:t>24</w:t>
            </w:r>
            <w:r w:rsidRPr="003174F3">
              <w:rPr>
                <w:sz w:val="20"/>
                <w:szCs w:val="20"/>
              </w:rPr>
              <w:t>.</w:t>
            </w:r>
            <w:r w:rsidR="007638CB">
              <w:rPr>
                <w:sz w:val="20"/>
                <w:szCs w:val="20"/>
              </w:rPr>
              <w:t>500</w:t>
            </w:r>
          </w:p>
        </w:tc>
        <w:tc>
          <w:tcPr>
            <w:tcW w:w="1149" w:type="dxa"/>
          </w:tcPr>
          <w:p w14:paraId="2604A4B2" w14:textId="6E94C828" w:rsidR="003174F3" w:rsidRPr="003174F3" w:rsidRDefault="007638CB" w:rsidP="003174F3">
            <w:pPr>
              <w:jc w:val="center"/>
              <w:rPr>
                <w:sz w:val="20"/>
                <w:szCs w:val="20"/>
              </w:rPr>
            </w:pPr>
            <w:r>
              <w:rPr>
                <w:sz w:val="20"/>
                <w:szCs w:val="20"/>
              </w:rPr>
              <w:t>-</w:t>
            </w:r>
            <w:r w:rsidR="003174F3" w:rsidRPr="003174F3">
              <w:rPr>
                <w:sz w:val="20"/>
                <w:szCs w:val="20"/>
              </w:rPr>
              <w:t>0.</w:t>
            </w:r>
            <w:r>
              <w:rPr>
                <w:sz w:val="20"/>
                <w:szCs w:val="20"/>
              </w:rPr>
              <w:t>995</w:t>
            </w:r>
          </w:p>
        </w:tc>
        <w:tc>
          <w:tcPr>
            <w:tcW w:w="1149" w:type="dxa"/>
          </w:tcPr>
          <w:p w14:paraId="1B2F06E0" w14:textId="49C2831B" w:rsidR="003174F3" w:rsidRPr="003174F3" w:rsidRDefault="003174F3" w:rsidP="003174F3">
            <w:pPr>
              <w:jc w:val="center"/>
              <w:rPr>
                <w:sz w:val="20"/>
                <w:szCs w:val="20"/>
              </w:rPr>
            </w:pPr>
            <w:r w:rsidRPr="003174F3">
              <w:rPr>
                <w:sz w:val="20"/>
                <w:szCs w:val="20"/>
              </w:rPr>
              <w:t>0.</w:t>
            </w:r>
            <w:r w:rsidR="007638CB">
              <w:rPr>
                <w:sz w:val="20"/>
                <w:szCs w:val="20"/>
              </w:rPr>
              <w:t>99</w:t>
            </w:r>
          </w:p>
        </w:tc>
        <w:tc>
          <w:tcPr>
            <w:tcW w:w="1149" w:type="dxa"/>
          </w:tcPr>
          <w:p w14:paraId="76277A6A" w14:textId="66B66C96" w:rsidR="003174F3" w:rsidRPr="00A976EA" w:rsidRDefault="007638CB" w:rsidP="003174F3">
            <w:pPr>
              <w:jc w:val="center"/>
              <w:rPr>
                <w:sz w:val="20"/>
                <w:szCs w:val="20"/>
              </w:rPr>
            </w:pPr>
            <w:r w:rsidRPr="00A976EA">
              <w:rPr>
                <w:sz w:val="20"/>
                <w:szCs w:val="20"/>
              </w:rPr>
              <w:t>0.76</w:t>
            </w:r>
          </w:p>
        </w:tc>
      </w:tr>
      <w:tr w:rsidR="003174F3" w:rsidRPr="00CC2ED3" w14:paraId="3CC1D2A1" w14:textId="77777777" w:rsidTr="00CC2ED3">
        <w:trPr>
          <w:trHeight w:hRule="exact" w:val="271"/>
          <w:jc w:val="center"/>
        </w:trPr>
        <w:tc>
          <w:tcPr>
            <w:tcW w:w="1148" w:type="dxa"/>
          </w:tcPr>
          <w:p w14:paraId="2F067312" w14:textId="4143F1AC" w:rsidR="003174F3" w:rsidRPr="003174F3" w:rsidRDefault="003174F3" w:rsidP="003174F3">
            <w:pPr>
              <w:pStyle w:val="TableParagraph"/>
              <w:jc w:val="right"/>
              <w:rPr>
                <w:sz w:val="20"/>
                <w:szCs w:val="20"/>
              </w:rPr>
            </w:pPr>
            <w:r w:rsidRPr="003174F3">
              <w:rPr>
                <w:sz w:val="20"/>
                <w:szCs w:val="20"/>
              </w:rPr>
              <w:t>(</w:t>
            </w:r>
            <w:r w:rsidR="007638CB">
              <w:rPr>
                <w:sz w:val="20"/>
                <w:szCs w:val="20"/>
              </w:rPr>
              <w:t>6.14</w:t>
            </w:r>
            <w:r w:rsidRPr="003174F3">
              <w:rPr>
                <w:sz w:val="20"/>
                <w:szCs w:val="20"/>
              </w:rPr>
              <w:t>)</w:t>
            </w:r>
          </w:p>
        </w:tc>
        <w:tc>
          <w:tcPr>
            <w:tcW w:w="1149" w:type="dxa"/>
          </w:tcPr>
          <w:p w14:paraId="25794E36" w14:textId="408F4390" w:rsidR="003174F3" w:rsidRPr="003174F3" w:rsidRDefault="003174F3" w:rsidP="003174F3">
            <w:pPr>
              <w:pStyle w:val="TableParagraph"/>
              <w:jc w:val="right"/>
              <w:rPr>
                <w:sz w:val="20"/>
                <w:szCs w:val="20"/>
              </w:rPr>
            </w:pPr>
            <w:r w:rsidRPr="003174F3">
              <w:rPr>
                <w:sz w:val="20"/>
                <w:szCs w:val="20"/>
              </w:rPr>
              <w:t>(1.</w:t>
            </w:r>
            <w:r w:rsidR="007638CB">
              <w:rPr>
                <w:sz w:val="20"/>
                <w:szCs w:val="20"/>
              </w:rPr>
              <w:t>55</w:t>
            </w:r>
            <w:r w:rsidRPr="003174F3">
              <w:rPr>
                <w:sz w:val="20"/>
                <w:szCs w:val="20"/>
              </w:rPr>
              <w:t>)</w:t>
            </w:r>
          </w:p>
        </w:tc>
        <w:tc>
          <w:tcPr>
            <w:tcW w:w="1149" w:type="dxa"/>
          </w:tcPr>
          <w:p w14:paraId="39BA2AD6" w14:textId="7506BB37" w:rsidR="003174F3" w:rsidRPr="003174F3" w:rsidRDefault="003174F3" w:rsidP="003174F3">
            <w:pPr>
              <w:pStyle w:val="TableParagraph"/>
              <w:jc w:val="right"/>
              <w:rPr>
                <w:sz w:val="20"/>
                <w:szCs w:val="20"/>
              </w:rPr>
            </w:pPr>
            <w:r w:rsidRPr="003174F3">
              <w:rPr>
                <w:sz w:val="20"/>
                <w:szCs w:val="20"/>
              </w:rPr>
              <w:t>(-</w:t>
            </w:r>
            <w:r w:rsidR="007638CB">
              <w:rPr>
                <w:sz w:val="20"/>
                <w:szCs w:val="20"/>
              </w:rPr>
              <w:t>0.35</w:t>
            </w:r>
            <w:r w:rsidRPr="003174F3">
              <w:rPr>
                <w:sz w:val="20"/>
                <w:szCs w:val="20"/>
              </w:rPr>
              <w:t>)</w:t>
            </w:r>
          </w:p>
        </w:tc>
        <w:tc>
          <w:tcPr>
            <w:tcW w:w="1149" w:type="dxa"/>
          </w:tcPr>
          <w:p w14:paraId="360A1694" w14:textId="4F6F5712" w:rsidR="003174F3" w:rsidRPr="003174F3" w:rsidRDefault="003174F3" w:rsidP="003174F3">
            <w:pPr>
              <w:pStyle w:val="TableParagraph"/>
              <w:jc w:val="right"/>
              <w:rPr>
                <w:sz w:val="20"/>
                <w:szCs w:val="20"/>
              </w:rPr>
            </w:pPr>
            <w:r w:rsidRPr="003174F3">
              <w:rPr>
                <w:sz w:val="20"/>
                <w:szCs w:val="20"/>
              </w:rPr>
              <w:t>(</w:t>
            </w:r>
            <w:r w:rsidR="007638CB">
              <w:rPr>
                <w:sz w:val="20"/>
                <w:szCs w:val="20"/>
              </w:rPr>
              <w:t>2.21</w:t>
            </w:r>
            <w:r w:rsidRPr="003174F3">
              <w:rPr>
                <w:sz w:val="20"/>
                <w:szCs w:val="20"/>
              </w:rPr>
              <w:t>)</w:t>
            </w:r>
          </w:p>
        </w:tc>
        <w:tc>
          <w:tcPr>
            <w:tcW w:w="1149" w:type="dxa"/>
          </w:tcPr>
          <w:p w14:paraId="3C110681" w14:textId="06F3EED6" w:rsidR="003174F3" w:rsidRPr="003174F3" w:rsidRDefault="003174F3" w:rsidP="003174F3">
            <w:pPr>
              <w:pStyle w:val="TableParagraph"/>
              <w:jc w:val="right"/>
              <w:rPr>
                <w:sz w:val="20"/>
                <w:szCs w:val="20"/>
              </w:rPr>
            </w:pPr>
          </w:p>
        </w:tc>
        <w:tc>
          <w:tcPr>
            <w:tcW w:w="1149" w:type="dxa"/>
          </w:tcPr>
          <w:p w14:paraId="74335B6D" w14:textId="67C156B9" w:rsidR="003174F3" w:rsidRPr="003174F3" w:rsidRDefault="003174F3" w:rsidP="003174F3">
            <w:pPr>
              <w:pStyle w:val="TableParagraph"/>
              <w:jc w:val="right"/>
              <w:rPr>
                <w:rFonts w:eastAsia="Calibri" w:cs="Calibri"/>
                <w:sz w:val="20"/>
                <w:szCs w:val="20"/>
              </w:rPr>
            </w:pPr>
            <w:r w:rsidRPr="003174F3">
              <w:rPr>
                <w:rFonts w:eastAsia="Calibri" w:cs="Calibri"/>
                <w:sz w:val="20"/>
                <w:szCs w:val="20"/>
              </w:rPr>
              <w:t>(-</w:t>
            </w:r>
            <w:r w:rsidR="007638CB">
              <w:rPr>
                <w:rFonts w:eastAsia="Calibri" w:cs="Calibri"/>
                <w:sz w:val="20"/>
                <w:szCs w:val="20"/>
              </w:rPr>
              <w:t>2.50</w:t>
            </w:r>
            <w:r w:rsidRPr="003174F3">
              <w:rPr>
                <w:rFonts w:eastAsia="Calibri" w:cs="Calibri"/>
                <w:sz w:val="20"/>
                <w:szCs w:val="20"/>
              </w:rPr>
              <w:t>)</w:t>
            </w:r>
          </w:p>
        </w:tc>
        <w:tc>
          <w:tcPr>
            <w:tcW w:w="1148" w:type="dxa"/>
          </w:tcPr>
          <w:p w14:paraId="71475942" w14:textId="457143AA" w:rsidR="003174F3" w:rsidRPr="003174F3" w:rsidRDefault="003174F3" w:rsidP="003174F3">
            <w:pPr>
              <w:jc w:val="center"/>
              <w:rPr>
                <w:sz w:val="20"/>
                <w:szCs w:val="20"/>
              </w:rPr>
            </w:pPr>
            <w:r w:rsidRPr="003174F3">
              <w:rPr>
                <w:sz w:val="20"/>
                <w:szCs w:val="20"/>
              </w:rPr>
              <w:t>(</w:t>
            </w:r>
            <w:r w:rsidR="007638CB">
              <w:rPr>
                <w:sz w:val="20"/>
                <w:szCs w:val="20"/>
              </w:rPr>
              <w:t>0.77</w:t>
            </w:r>
            <w:r w:rsidRPr="003174F3">
              <w:rPr>
                <w:sz w:val="20"/>
                <w:szCs w:val="20"/>
              </w:rPr>
              <w:t>)</w:t>
            </w:r>
          </w:p>
        </w:tc>
        <w:tc>
          <w:tcPr>
            <w:tcW w:w="1149" w:type="dxa"/>
          </w:tcPr>
          <w:p w14:paraId="59383222" w14:textId="36969E9F" w:rsidR="003174F3" w:rsidRPr="003174F3" w:rsidRDefault="003174F3" w:rsidP="003174F3">
            <w:pPr>
              <w:jc w:val="center"/>
              <w:rPr>
                <w:sz w:val="20"/>
                <w:szCs w:val="20"/>
              </w:rPr>
            </w:pPr>
            <w:r w:rsidRPr="003174F3">
              <w:rPr>
                <w:sz w:val="20"/>
                <w:szCs w:val="20"/>
              </w:rPr>
              <w:t>(-</w:t>
            </w:r>
            <w:r w:rsidR="007638CB">
              <w:rPr>
                <w:sz w:val="20"/>
                <w:szCs w:val="20"/>
              </w:rPr>
              <w:t>1.60</w:t>
            </w:r>
            <w:r w:rsidRPr="003174F3">
              <w:rPr>
                <w:sz w:val="20"/>
                <w:szCs w:val="20"/>
              </w:rPr>
              <w:t>)</w:t>
            </w:r>
          </w:p>
        </w:tc>
        <w:tc>
          <w:tcPr>
            <w:tcW w:w="1149" w:type="dxa"/>
          </w:tcPr>
          <w:p w14:paraId="76AA6623" w14:textId="5296F940" w:rsidR="003174F3" w:rsidRPr="003174F3" w:rsidRDefault="003174F3" w:rsidP="003174F3">
            <w:pPr>
              <w:jc w:val="center"/>
              <w:rPr>
                <w:sz w:val="20"/>
                <w:szCs w:val="20"/>
              </w:rPr>
            </w:pPr>
            <w:r w:rsidRPr="003174F3">
              <w:rPr>
                <w:sz w:val="20"/>
                <w:szCs w:val="20"/>
              </w:rPr>
              <w:t>(</w:t>
            </w:r>
            <w:r w:rsidR="007638CB">
              <w:rPr>
                <w:sz w:val="20"/>
                <w:szCs w:val="20"/>
              </w:rPr>
              <w:t>-176.81</w:t>
            </w:r>
            <w:r w:rsidRPr="003174F3">
              <w:rPr>
                <w:sz w:val="20"/>
                <w:szCs w:val="20"/>
              </w:rPr>
              <w:t>)</w:t>
            </w:r>
          </w:p>
        </w:tc>
        <w:tc>
          <w:tcPr>
            <w:tcW w:w="1149" w:type="dxa"/>
          </w:tcPr>
          <w:p w14:paraId="021D4055" w14:textId="77777777" w:rsidR="003174F3" w:rsidRPr="003174F3" w:rsidRDefault="003174F3" w:rsidP="003174F3">
            <w:pPr>
              <w:jc w:val="center"/>
              <w:rPr>
                <w:sz w:val="20"/>
                <w:szCs w:val="20"/>
              </w:rPr>
            </w:pPr>
          </w:p>
        </w:tc>
        <w:tc>
          <w:tcPr>
            <w:tcW w:w="1149" w:type="dxa"/>
          </w:tcPr>
          <w:p w14:paraId="3739BAD8" w14:textId="77777777" w:rsidR="003174F3" w:rsidRPr="003174F3" w:rsidRDefault="003174F3" w:rsidP="003174F3">
            <w:pPr>
              <w:jc w:val="center"/>
              <w:rPr>
                <w:sz w:val="20"/>
                <w:szCs w:val="20"/>
              </w:rPr>
            </w:pPr>
          </w:p>
        </w:tc>
      </w:tr>
    </w:tbl>
    <w:p w14:paraId="69CF37ED" w14:textId="77777777" w:rsidR="00374E2E" w:rsidRPr="00976892" w:rsidRDefault="00374E2E" w:rsidP="00374E2E">
      <w:pPr>
        <w:tabs>
          <w:tab w:val="left" w:pos="1579"/>
          <w:tab w:val="left" w:pos="3739"/>
          <w:tab w:val="left" w:pos="5899"/>
          <w:tab w:val="left" w:pos="10219"/>
        </w:tabs>
        <w:jc w:val="center"/>
        <w:rPr>
          <w:rFonts w:eastAsia="Calibri" w:cs="Calibri"/>
          <w:sz w:val="20"/>
          <w:szCs w:val="20"/>
        </w:rPr>
      </w:pPr>
      <w:r>
        <w:rPr>
          <w:w w:val="95"/>
          <w:sz w:val="20"/>
          <w:szCs w:val="20"/>
        </w:rPr>
        <w:t>Notes: t</w:t>
      </w:r>
      <w:r w:rsidRPr="00976892">
        <w:rPr>
          <w:sz w:val="20"/>
          <w:szCs w:val="20"/>
        </w:rPr>
        <w:t>-statistics</w:t>
      </w:r>
      <w:r w:rsidRPr="00976892">
        <w:rPr>
          <w:spacing w:val="-4"/>
          <w:sz w:val="20"/>
          <w:szCs w:val="20"/>
        </w:rPr>
        <w:t xml:space="preserve"> </w:t>
      </w:r>
      <w:r w:rsidRPr="00976892">
        <w:rPr>
          <w:sz w:val="20"/>
          <w:szCs w:val="20"/>
        </w:rPr>
        <w:t>are</w:t>
      </w:r>
      <w:r w:rsidRPr="00976892">
        <w:rPr>
          <w:spacing w:val="-4"/>
          <w:sz w:val="20"/>
          <w:szCs w:val="20"/>
        </w:rPr>
        <w:t xml:space="preserve"> </w:t>
      </w:r>
      <w:r w:rsidRPr="00976892">
        <w:rPr>
          <w:sz w:val="20"/>
          <w:szCs w:val="20"/>
        </w:rPr>
        <w:t>in</w:t>
      </w:r>
      <w:r w:rsidRPr="00976892">
        <w:rPr>
          <w:spacing w:val="-4"/>
          <w:sz w:val="20"/>
          <w:szCs w:val="20"/>
        </w:rPr>
        <w:t xml:space="preserve"> </w:t>
      </w:r>
      <w:r w:rsidRPr="00976892">
        <w:rPr>
          <w:sz w:val="20"/>
          <w:szCs w:val="20"/>
        </w:rPr>
        <w:t>brackets</w:t>
      </w:r>
    </w:p>
    <w:sectPr w:rsidR="00374E2E" w:rsidRPr="00976892" w:rsidSect="00D34327">
      <w:pgSz w:w="16840" w:h="11900" w:orient="landscape" w:code="9"/>
      <w:pgMar w:top="1440" w:right="1440" w:bottom="1440" w:left="1440"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DF898" w14:textId="77777777" w:rsidR="00BD2BF6" w:rsidRDefault="00BD2BF6">
      <w:r>
        <w:separator/>
      </w:r>
    </w:p>
  </w:endnote>
  <w:endnote w:type="continuationSeparator" w:id="0">
    <w:p w14:paraId="494A8A93" w14:textId="77777777" w:rsidR="00BD2BF6" w:rsidRDefault="00BD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128863"/>
      <w:docPartObj>
        <w:docPartGallery w:val="Page Numbers (Bottom of Page)"/>
        <w:docPartUnique/>
      </w:docPartObj>
    </w:sdtPr>
    <w:sdtEndPr>
      <w:rPr>
        <w:noProof/>
      </w:rPr>
    </w:sdtEndPr>
    <w:sdtContent>
      <w:p w14:paraId="6B7F78E2" w14:textId="6AFC19F3" w:rsidR="009943E4" w:rsidRPr="005F28E5" w:rsidRDefault="009943E4" w:rsidP="009943E4">
        <w:pPr>
          <w:pStyle w:val="Footer"/>
          <w:pBdr>
            <w:top w:val="thinThickSmallGap" w:sz="24" w:space="1" w:color="622423" w:themeColor="accent2" w:themeShade="7F"/>
          </w:pBdr>
          <w:rPr>
            <w:rFonts w:eastAsiaTheme="majorEastAsia" w:cstheme="majorBidi"/>
            <w:i/>
            <w:sz w:val="20"/>
          </w:rPr>
        </w:pPr>
        <w:r w:rsidRPr="005F28E5">
          <w:rPr>
            <w:i/>
            <w:sz w:val="20"/>
          </w:rPr>
          <w:t>A</w:t>
        </w:r>
        <w:r>
          <w:rPr>
            <w:i/>
            <w:sz w:val="20"/>
          </w:rPr>
          <w:t>REA Working Paper Series</w:t>
        </w:r>
        <w:r w:rsidRPr="005F28E5">
          <w:rPr>
            <w:i/>
            <w:sz w:val="20"/>
          </w:rPr>
          <w:t>, 20</w:t>
        </w:r>
        <w:r>
          <w:rPr>
            <w:i/>
            <w:sz w:val="20"/>
          </w:rPr>
          <w:t>25</w:t>
        </w:r>
        <w:r w:rsidRPr="005F28E5">
          <w:rPr>
            <w:i/>
            <w:sz w:val="20"/>
          </w:rPr>
          <w:t>, Paper</w:t>
        </w:r>
        <w:r>
          <w:rPr>
            <w:i/>
            <w:sz w:val="20"/>
          </w:rPr>
          <w:t xml:space="preserve"> 4</w:t>
        </w:r>
        <w:r w:rsidRPr="005F28E5">
          <w:rPr>
            <w:rFonts w:eastAsiaTheme="majorEastAsia" w:cstheme="majorBidi"/>
            <w:i/>
            <w:sz w:val="20"/>
          </w:rPr>
          <w:ptab w:relativeTo="margin" w:alignment="right" w:leader="none"/>
        </w:r>
        <w:r w:rsidRPr="005F28E5">
          <w:rPr>
            <w:rFonts w:eastAsiaTheme="majorEastAsia" w:cstheme="majorBidi"/>
            <w:i/>
            <w:sz w:val="20"/>
          </w:rPr>
          <w:t xml:space="preserve">Page </w:t>
        </w:r>
        <w:r w:rsidRPr="005F28E5">
          <w:rPr>
            <w:rFonts w:eastAsiaTheme="minorEastAsia"/>
            <w:i/>
            <w:sz w:val="20"/>
          </w:rPr>
          <w:fldChar w:fldCharType="begin"/>
        </w:r>
        <w:r w:rsidRPr="005F28E5">
          <w:rPr>
            <w:i/>
            <w:sz w:val="20"/>
          </w:rPr>
          <w:instrText xml:space="preserve"> PAGE   \* MERGEFORMAT </w:instrText>
        </w:r>
        <w:r w:rsidRPr="005F28E5">
          <w:rPr>
            <w:rFonts w:eastAsiaTheme="minorEastAsia"/>
            <w:i/>
            <w:sz w:val="20"/>
          </w:rPr>
          <w:fldChar w:fldCharType="separate"/>
        </w:r>
        <w:r>
          <w:rPr>
            <w:rFonts w:eastAsiaTheme="minorEastAsia"/>
            <w:i/>
            <w:sz w:val="20"/>
          </w:rPr>
          <w:t>1</w:t>
        </w:r>
        <w:r w:rsidRPr="005F28E5">
          <w:rPr>
            <w:rFonts w:eastAsiaTheme="majorEastAsia" w:cstheme="majorBidi"/>
            <w:i/>
            <w:noProof/>
            <w:sz w:val="20"/>
          </w:rPr>
          <w:fldChar w:fldCharType="end"/>
        </w:r>
      </w:p>
      <w:p w14:paraId="144D67D9" w14:textId="77777777" w:rsidR="009943E4" w:rsidRDefault="00E20F56" w:rsidP="009943E4">
        <w:pPr>
          <w:pStyle w:val="Footer"/>
          <w:tabs>
            <w:tab w:val="center" w:pos="4320"/>
            <w:tab w:val="right" w:pos="8640"/>
          </w:tabs>
          <w:jc w:val="right"/>
          <w:rPr>
            <w:noProof/>
          </w:rPr>
        </w:pPr>
      </w:p>
    </w:sdtContent>
  </w:sdt>
  <w:p w14:paraId="3D5BEDB5" w14:textId="77777777" w:rsidR="00BD2BF6" w:rsidRDefault="00BD2BF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79F5B" w14:textId="77777777" w:rsidR="00BD2BF6" w:rsidRDefault="00BD2BF6">
      <w:r>
        <w:separator/>
      </w:r>
    </w:p>
  </w:footnote>
  <w:footnote w:type="continuationSeparator" w:id="0">
    <w:p w14:paraId="0C2CE3F0" w14:textId="77777777" w:rsidR="00BD2BF6" w:rsidRDefault="00BD2BF6">
      <w:r>
        <w:continuationSeparator/>
      </w:r>
    </w:p>
  </w:footnote>
  <w:footnote w:id="1">
    <w:p w14:paraId="4B870694" w14:textId="56E174BE" w:rsidR="009943E4" w:rsidRPr="009943E4" w:rsidRDefault="009943E4" w:rsidP="009943E4">
      <w:pPr>
        <w:pStyle w:val="FootnoteText"/>
        <w:jc w:val="both"/>
        <w:rPr>
          <w:rFonts w:asciiTheme="minorHAnsi" w:hAnsiTheme="minorHAnsi" w:cstheme="minorHAnsi"/>
        </w:rPr>
      </w:pPr>
      <w:r>
        <w:rPr>
          <w:rStyle w:val="FootnoteReference"/>
        </w:rPr>
        <w:footnoteRef/>
      </w:r>
      <w:r>
        <w:t xml:space="preserve"> </w:t>
      </w:r>
      <w:r w:rsidRPr="009943E4">
        <w:rPr>
          <w:rFonts w:asciiTheme="minorHAnsi" w:hAnsiTheme="minorHAnsi" w:cstheme="minorHAnsi"/>
        </w:rPr>
        <w:t xml:space="preserve">The </w:t>
      </w:r>
      <w:r w:rsidRPr="009943E4">
        <w:rPr>
          <w:rFonts w:asciiTheme="minorHAnsi" w:hAnsiTheme="minorHAnsi" w:cstheme="minorHAnsi"/>
          <w:i/>
          <w:iCs/>
        </w:rPr>
        <w:t>AREA Working Paper</w:t>
      </w:r>
      <w:r w:rsidRPr="009943E4">
        <w:rPr>
          <w:rFonts w:asciiTheme="minorHAnsi" w:hAnsiTheme="minorHAnsi" w:cstheme="minorHAnsi"/>
        </w:rPr>
        <w:t xml:space="preserve"> series reports work in progress prior to formal external review and includes draft research articles, reports to funding agencies, literature reviews, data collections and the like.</w:t>
      </w:r>
      <w:r w:rsidR="00492F4B">
        <w:rPr>
          <w:rFonts w:asciiTheme="minorHAnsi" w:hAnsiTheme="minorHAnsi" w:cstheme="minorHAnsi"/>
        </w:rPr>
        <w:t xml:space="preserve"> Each paper is reviewed within the AREA group.</w:t>
      </w:r>
      <w:r w:rsidR="00F2534A">
        <w:rPr>
          <w:rFonts w:asciiTheme="minorHAnsi" w:hAnsiTheme="minorHAnsi" w:cstheme="minorHAnsi"/>
        </w:rPr>
        <w:t xml:space="preserve"> </w:t>
      </w:r>
      <w:r w:rsidR="00F2534A" w:rsidRPr="00F2534A">
        <w:rPr>
          <w:rFonts w:asciiTheme="minorHAnsi" w:hAnsiTheme="minorHAnsi" w:cstheme="minorHAnsi"/>
        </w:rPr>
        <w:t>Not for quotation without the consent of the authors.</w:t>
      </w:r>
    </w:p>
  </w:footnote>
  <w:footnote w:id="2">
    <w:p w14:paraId="4E2AEFAA" w14:textId="7500D677" w:rsidR="009943E4" w:rsidRPr="007F77B6" w:rsidRDefault="009943E4" w:rsidP="009943E4">
      <w:pPr>
        <w:jc w:val="both"/>
        <w:rPr>
          <w:lang w:val="en-AU"/>
        </w:rPr>
      </w:pPr>
      <w:r w:rsidRPr="009943E4">
        <w:rPr>
          <w:rStyle w:val="FootnoteReference"/>
          <w:rFonts w:cstheme="minorHAnsi"/>
          <w:sz w:val="20"/>
          <w:szCs w:val="20"/>
        </w:rPr>
        <w:footnoteRef/>
      </w:r>
      <w:r w:rsidRPr="009943E4">
        <w:rPr>
          <w:rFonts w:cstheme="minorHAnsi"/>
          <w:sz w:val="20"/>
          <w:szCs w:val="20"/>
        </w:rPr>
        <w:t xml:space="preserve"> This paper arose out of a broader investigation into </w:t>
      </w:r>
      <w:r w:rsidR="007A036E">
        <w:rPr>
          <w:rFonts w:cstheme="minorHAnsi"/>
          <w:sz w:val="20"/>
          <w:szCs w:val="20"/>
        </w:rPr>
        <w:t xml:space="preserve">price transmission in </w:t>
      </w:r>
      <w:r w:rsidRPr="009943E4">
        <w:rPr>
          <w:rFonts w:cstheme="minorHAnsi"/>
          <w:sz w:val="20"/>
          <w:szCs w:val="20"/>
        </w:rPr>
        <w:t xml:space="preserve">cattle and sheep </w:t>
      </w:r>
      <w:r w:rsidR="007A036E">
        <w:rPr>
          <w:rFonts w:cstheme="minorHAnsi"/>
          <w:sz w:val="20"/>
          <w:szCs w:val="20"/>
        </w:rPr>
        <w:t>markets</w:t>
      </w:r>
      <w:r w:rsidRPr="009943E4">
        <w:rPr>
          <w:rFonts w:cstheme="minorHAnsi"/>
          <w:sz w:val="20"/>
          <w:szCs w:val="20"/>
        </w:rPr>
        <w:t xml:space="preserve"> in Australia funded by the Australian Meat Processor Corporation Ltd through Project 2024-1029. That funding is gratefully acknowledged. </w:t>
      </w:r>
      <w:r w:rsidR="007A036E">
        <w:rPr>
          <w:rFonts w:cstheme="minorHAnsi"/>
          <w:sz w:val="20"/>
          <w:szCs w:val="20"/>
        </w:rPr>
        <w:t xml:space="preserve">The full report is published as Heilbron et al. (2025). </w:t>
      </w:r>
      <w:r w:rsidRPr="009943E4">
        <w:rPr>
          <w:rFonts w:cstheme="minorHAnsi"/>
          <w:sz w:val="20"/>
          <w:szCs w:val="20"/>
        </w:rPr>
        <w:t xml:space="preserve">Comments on an earlier draft by Bill Malcolm </w:t>
      </w:r>
      <w:r w:rsidR="00AA5088">
        <w:rPr>
          <w:rFonts w:cstheme="minorHAnsi"/>
          <w:sz w:val="20"/>
          <w:szCs w:val="20"/>
        </w:rPr>
        <w:t xml:space="preserve">and Claire Lewis </w:t>
      </w:r>
      <w:r w:rsidRPr="009943E4">
        <w:rPr>
          <w:rFonts w:cstheme="minorHAnsi"/>
          <w:sz w:val="20"/>
          <w:szCs w:val="20"/>
        </w:rPr>
        <w:t xml:space="preserve">are also gratefully acknowledged. </w:t>
      </w:r>
    </w:p>
  </w:footnote>
  <w:footnote w:id="3">
    <w:p w14:paraId="55208D17" w14:textId="420EA5E3" w:rsidR="00665597" w:rsidRPr="00F610E2" w:rsidRDefault="00665597" w:rsidP="00045A9A">
      <w:pPr>
        <w:pStyle w:val="FootnoteText"/>
        <w:jc w:val="both"/>
        <w:rPr>
          <w:rFonts w:asciiTheme="minorHAnsi" w:hAnsiTheme="minorHAnsi" w:cstheme="minorHAnsi"/>
        </w:rPr>
      </w:pPr>
      <w:r w:rsidRPr="00F610E2">
        <w:rPr>
          <w:rStyle w:val="FootnoteReference"/>
          <w:rFonts w:asciiTheme="minorHAnsi" w:hAnsiTheme="minorHAnsi" w:cstheme="minorHAnsi"/>
        </w:rPr>
        <w:footnoteRef/>
      </w:r>
      <w:r w:rsidRPr="00F610E2">
        <w:rPr>
          <w:rFonts w:asciiTheme="minorHAnsi" w:hAnsiTheme="minorHAnsi" w:cstheme="minorHAnsi"/>
        </w:rPr>
        <w:t xml:space="preserve"> The ‘marketing margin’ specified here is that which is commonly used in industry and media documentation – the difference between the price of a kg of product sold at retail and the price of a kg of product sold at the farm gate. </w:t>
      </w:r>
      <w:r w:rsidR="00F610E2" w:rsidRPr="00F610E2">
        <w:rPr>
          <w:rFonts w:asciiTheme="minorHAnsi" w:hAnsiTheme="minorHAnsi" w:cstheme="minorHAnsi"/>
        </w:rPr>
        <w:t>These are not ‘price spreads’</w:t>
      </w:r>
      <w:r w:rsidR="00F610E2">
        <w:rPr>
          <w:rFonts w:asciiTheme="minorHAnsi" w:hAnsiTheme="minorHAnsi" w:cstheme="minorHAnsi"/>
        </w:rPr>
        <w:t>,</w:t>
      </w:r>
      <w:r w:rsidR="00F610E2" w:rsidRPr="00F610E2">
        <w:rPr>
          <w:rFonts w:asciiTheme="minorHAnsi" w:hAnsiTheme="minorHAnsi" w:cstheme="minorHAnsi"/>
        </w:rPr>
        <w:t xml:space="preserve"> </w:t>
      </w:r>
      <w:r w:rsidR="00D907AB">
        <w:rPr>
          <w:rFonts w:asciiTheme="minorHAnsi" w:hAnsiTheme="minorHAnsi" w:cstheme="minorHAnsi"/>
        </w:rPr>
        <w:t xml:space="preserve">as calculated and reported by for example USDA, </w:t>
      </w:r>
      <w:r w:rsidR="00F610E2" w:rsidRPr="00F610E2">
        <w:rPr>
          <w:rFonts w:asciiTheme="minorHAnsi" w:hAnsiTheme="minorHAnsi" w:cstheme="minorHAnsi"/>
        </w:rPr>
        <w:t xml:space="preserve">where byproducts are accounted for and the kg of product is transformed </w:t>
      </w:r>
      <w:r w:rsidR="00F610E2">
        <w:rPr>
          <w:rFonts w:asciiTheme="minorHAnsi" w:hAnsiTheme="minorHAnsi" w:cstheme="minorHAnsi"/>
        </w:rPr>
        <w:t>so that both</w:t>
      </w:r>
      <w:r w:rsidR="00F610E2" w:rsidRPr="00F610E2">
        <w:rPr>
          <w:rFonts w:asciiTheme="minorHAnsi" w:hAnsiTheme="minorHAnsi" w:cstheme="minorHAnsi"/>
        </w:rPr>
        <w:t xml:space="preserve"> </w:t>
      </w:r>
      <w:r w:rsidR="00F610E2">
        <w:rPr>
          <w:rFonts w:asciiTheme="minorHAnsi" w:hAnsiTheme="minorHAnsi" w:cstheme="minorHAnsi"/>
        </w:rPr>
        <w:t xml:space="preserve">prices are </w:t>
      </w:r>
      <w:r w:rsidR="00F610E2" w:rsidRPr="00F610E2">
        <w:rPr>
          <w:rFonts w:asciiTheme="minorHAnsi" w:hAnsiTheme="minorHAnsi" w:cstheme="minorHAnsi"/>
        </w:rPr>
        <w:t xml:space="preserve">in carcase weight equivalent, or </w:t>
      </w:r>
      <w:r w:rsidR="003D382C">
        <w:rPr>
          <w:rFonts w:asciiTheme="minorHAnsi" w:hAnsiTheme="minorHAnsi" w:cstheme="minorHAnsi"/>
        </w:rPr>
        <w:t xml:space="preserve">alternatively, </w:t>
      </w:r>
      <w:r w:rsidR="00F610E2" w:rsidRPr="00F610E2">
        <w:rPr>
          <w:rFonts w:asciiTheme="minorHAnsi" w:hAnsiTheme="minorHAnsi" w:cstheme="minorHAnsi"/>
        </w:rPr>
        <w:t xml:space="preserve">both </w:t>
      </w:r>
      <w:r w:rsidR="00F610E2">
        <w:rPr>
          <w:rFonts w:asciiTheme="minorHAnsi" w:hAnsiTheme="minorHAnsi" w:cstheme="minorHAnsi"/>
        </w:rPr>
        <w:t xml:space="preserve">are </w:t>
      </w:r>
      <w:r w:rsidR="00F610E2" w:rsidRPr="00F610E2">
        <w:rPr>
          <w:rFonts w:asciiTheme="minorHAnsi" w:hAnsiTheme="minorHAnsi" w:cstheme="minorHAnsi"/>
        </w:rPr>
        <w:t>in retail carcase equivalent</w:t>
      </w:r>
      <w:r w:rsidR="00F610E2">
        <w:rPr>
          <w:rFonts w:asciiTheme="minorHAnsi" w:hAnsiTheme="minorHAnsi" w:cstheme="minorHAnsi"/>
        </w:rPr>
        <w:t>.</w:t>
      </w:r>
    </w:p>
  </w:footnote>
  <w:footnote w:id="4">
    <w:p w14:paraId="109810F1" w14:textId="383E56B1" w:rsidR="009B6413" w:rsidRPr="00682B5B" w:rsidRDefault="009B6413" w:rsidP="00045A9A">
      <w:pPr>
        <w:pStyle w:val="FootnoteText"/>
        <w:jc w:val="both"/>
        <w:rPr>
          <w:rFonts w:asciiTheme="minorHAnsi" w:hAnsiTheme="minorHAnsi" w:cstheme="minorHAnsi"/>
          <w:lang w:val="en-US"/>
        </w:rPr>
      </w:pPr>
      <w:r w:rsidRPr="00B73A45">
        <w:rPr>
          <w:rStyle w:val="FootnoteReference"/>
          <w:rFonts w:asciiTheme="minorHAnsi" w:hAnsiTheme="minorHAnsi" w:cstheme="minorHAnsi"/>
        </w:rPr>
        <w:footnoteRef/>
      </w:r>
      <w:r w:rsidRPr="00B73A45">
        <w:rPr>
          <w:rFonts w:asciiTheme="minorHAnsi" w:hAnsiTheme="minorHAnsi" w:cstheme="minorHAnsi"/>
        </w:rPr>
        <w:t xml:space="preserve"> </w:t>
      </w:r>
      <w:r w:rsidR="0090198C" w:rsidRPr="00B73A45">
        <w:rPr>
          <w:rFonts w:asciiTheme="minorHAnsi" w:hAnsiTheme="minorHAnsi" w:cstheme="minorHAnsi"/>
        </w:rPr>
        <w:t xml:space="preserve">The coefficients </w:t>
      </w:r>
      <w:r w:rsidRPr="00B73A45">
        <w:rPr>
          <w:rFonts w:asciiTheme="minorHAnsi" w:hAnsiTheme="minorHAnsi" w:cstheme="minorHAnsi"/>
          <w:position w:val="2"/>
        </w:rPr>
        <w:t>Β</w:t>
      </w:r>
      <w:r w:rsidRPr="00B73A45">
        <w:rPr>
          <w:rFonts w:asciiTheme="minorHAnsi" w:hAnsiTheme="minorHAnsi" w:cstheme="minorHAnsi"/>
        </w:rPr>
        <w:t xml:space="preserve">j and </w:t>
      </w:r>
      <w:r w:rsidR="009C0CFA" w:rsidRPr="00B73A45">
        <w:rPr>
          <w:rFonts w:asciiTheme="minorHAnsi" w:hAnsiTheme="minorHAnsi" w:cstheme="minorHAnsi"/>
          <w:position w:val="2"/>
        </w:rPr>
        <w:t>γ</w:t>
      </w:r>
      <w:proofErr w:type="spellStart"/>
      <w:r w:rsidR="009C0CFA" w:rsidRPr="00B73A45">
        <w:rPr>
          <w:rFonts w:asciiTheme="minorHAnsi" w:hAnsiTheme="minorHAnsi" w:cstheme="minorHAnsi"/>
        </w:rPr>
        <w:t>jm</w:t>
      </w:r>
      <w:proofErr w:type="spellEnd"/>
      <w:r w:rsidR="009C0CFA" w:rsidRPr="00B73A45">
        <w:rPr>
          <w:rFonts w:asciiTheme="minorHAnsi" w:hAnsiTheme="minorHAnsi" w:cstheme="minorHAnsi"/>
        </w:rPr>
        <w:t xml:space="preserve"> are</w:t>
      </w:r>
      <w:r w:rsidR="00D907AB">
        <w:rPr>
          <w:rFonts w:asciiTheme="minorHAnsi" w:hAnsiTheme="minorHAnsi" w:cstheme="minorHAnsi"/>
        </w:rPr>
        <w:t>,</w:t>
      </w:r>
      <w:r w:rsidR="009C0CFA" w:rsidRPr="00B73A45">
        <w:rPr>
          <w:rFonts w:asciiTheme="minorHAnsi" w:hAnsiTheme="minorHAnsi" w:cstheme="minorHAnsi"/>
        </w:rPr>
        <w:t xml:space="preserve"> respectively</w:t>
      </w:r>
      <w:r w:rsidR="00D907AB">
        <w:rPr>
          <w:rFonts w:asciiTheme="minorHAnsi" w:hAnsiTheme="minorHAnsi" w:cstheme="minorHAnsi"/>
        </w:rPr>
        <w:t>,</w:t>
      </w:r>
      <w:r w:rsidR="009C0CFA" w:rsidRPr="00B73A45">
        <w:rPr>
          <w:rFonts w:asciiTheme="minorHAnsi" w:hAnsiTheme="minorHAnsi" w:cstheme="minorHAnsi"/>
        </w:rPr>
        <w:t xml:space="preserve"> products of the slope of the product demand curves and the </w:t>
      </w:r>
      <w:r w:rsidR="0090198C" w:rsidRPr="00B73A45">
        <w:rPr>
          <w:rFonts w:asciiTheme="minorHAnsi" w:hAnsiTheme="minorHAnsi" w:cstheme="minorHAnsi"/>
        </w:rPr>
        <w:t xml:space="preserve">output market conjectural elasticity, and of the slope of the </w:t>
      </w:r>
      <w:r w:rsidR="009C0CFA" w:rsidRPr="00B73A45">
        <w:rPr>
          <w:rFonts w:asciiTheme="minorHAnsi" w:hAnsiTheme="minorHAnsi" w:cstheme="minorHAnsi"/>
        </w:rPr>
        <w:t xml:space="preserve">input supply curves and </w:t>
      </w:r>
      <w:r w:rsidR="0090198C" w:rsidRPr="00B73A45">
        <w:rPr>
          <w:rFonts w:asciiTheme="minorHAnsi" w:hAnsiTheme="minorHAnsi" w:cstheme="minorHAnsi"/>
        </w:rPr>
        <w:t xml:space="preserve">the </w:t>
      </w:r>
      <w:r w:rsidR="009C0CFA" w:rsidRPr="00B73A45">
        <w:rPr>
          <w:rFonts w:asciiTheme="minorHAnsi" w:hAnsiTheme="minorHAnsi" w:cstheme="minorHAnsi"/>
        </w:rPr>
        <w:t>input market conjectural elasticit</w:t>
      </w:r>
      <w:r w:rsidR="0090198C" w:rsidRPr="00B73A45">
        <w:rPr>
          <w:rFonts w:asciiTheme="minorHAnsi" w:hAnsiTheme="minorHAnsi" w:cstheme="minorHAnsi"/>
        </w:rPr>
        <w:t>y</w:t>
      </w:r>
      <w:r w:rsidR="009C0CFA" w:rsidRPr="00B73A45">
        <w:rPr>
          <w:rFonts w:asciiTheme="minorHAnsi" w:hAnsiTheme="minorHAnsi" w:cstheme="minorHAnsi"/>
        </w:rPr>
        <w:t xml:space="preserve">. Given the assumed signs of the slopes and the conjectural elasticities, both </w:t>
      </w:r>
      <w:r w:rsidR="009C0CFA" w:rsidRPr="00B73A45">
        <w:rPr>
          <w:rFonts w:asciiTheme="minorHAnsi" w:hAnsiTheme="minorHAnsi" w:cstheme="minorHAnsi"/>
          <w:position w:val="2"/>
        </w:rPr>
        <w:t>Β</w:t>
      </w:r>
      <w:r w:rsidR="009C0CFA" w:rsidRPr="00B73A45">
        <w:rPr>
          <w:rFonts w:asciiTheme="minorHAnsi" w:hAnsiTheme="minorHAnsi" w:cstheme="minorHAnsi"/>
        </w:rPr>
        <w:t xml:space="preserve">j and </w:t>
      </w:r>
      <w:r w:rsidR="009C0CFA" w:rsidRPr="00B73A45">
        <w:rPr>
          <w:rFonts w:asciiTheme="minorHAnsi" w:hAnsiTheme="minorHAnsi" w:cstheme="minorHAnsi"/>
          <w:position w:val="2"/>
        </w:rPr>
        <w:t>γ</w:t>
      </w:r>
      <w:proofErr w:type="spellStart"/>
      <w:r w:rsidR="009C0CFA" w:rsidRPr="00B73A45">
        <w:rPr>
          <w:rFonts w:asciiTheme="minorHAnsi" w:hAnsiTheme="minorHAnsi" w:cstheme="minorHAnsi"/>
        </w:rPr>
        <w:t>jm</w:t>
      </w:r>
      <w:proofErr w:type="spellEnd"/>
      <w:r w:rsidR="009C0CFA" w:rsidRPr="00B73A45">
        <w:rPr>
          <w:rFonts w:asciiTheme="minorHAnsi" w:hAnsiTheme="minorHAnsi" w:cstheme="minorHAnsi"/>
        </w:rPr>
        <w:t xml:space="preserve"> need to be non-negative. </w:t>
      </w:r>
      <w:r w:rsidR="00682B5B" w:rsidRPr="00B73A45">
        <w:rPr>
          <w:rFonts w:asciiTheme="minorHAnsi" w:hAnsiTheme="minorHAnsi" w:cstheme="minorHAnsi"/>
        </w:rPr>
        <w:t>See the derivation in O’Donnell (1999, pp.4-8).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8AB1A" w14:textId="1571EFDA" w:rsidR="009943E4" w:rsidRPr="005F28E5" w:rsidRDefault="009943E4" w:rsidP="009943E4">
    <w:pPr>
      <w:pStyle w:val="Header"/>
      <w:pBdr>
        <w:bottom w:val="thickThinSmallGap" w:sz="24" w:space="1" w:color="622423" w:themeColor="accent2" w:themeShade="7F"/>
      </w:pBdr>
      <w:rPr>
        <w:i/>
        <w:sz w:val="20"/>
        <w:szCs w:val="20"/>
      </w:rPr>
    </w:pPr>
    <w:bookmarkStart w:id="3" w:name="_Hlk194299053"/>
    <w:r>
      <w:rPr>
        <w:i/>
        <w:sz w:val="20"/>
        <w:szCs w:val="20"/>
      </w:rPr>
      <w:t>Re-examining Market Power in Domestic Meat Markets</w:t>
    </w:r>
    <w:r w:rsidRPr="005F28E5">
      <w:rPr>
        <w:i/>
        <w:sz w:val="20"/>
        <w:szCs w:val="20"/>
      </w:rPr>
      <w:t xml:space="preserve">  </w:t>
    </w:r>
    <w:r>
      <w:rPr>
        <w:i/>
        <w:sz w:val="20"/>
        <w:szCs w:val="20"/>
      </w:rPr>
      <w:t xml:space="preserve">                                                                       Griffith et al.</w:t>
    </w:r>
  </w:p>
  <w:bookmarkEnd w:id="3"/>
  <w:p w14:paraId="55A39094" w14:textId="77777777" w:rsidR="009943E4" w:rsidRDefault="009943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C4C3" w14:textId="09C84503" w:rsidR="001978CC" w:rsidRPr="005F28E5" w:rsidRDefault="001978CC" w:rsidP="009943E4">
    <w:pPr>
      <w:pStyle w:val="Header"/>
      <w:pBdr>
        <w:bottom w:val="thickThinSmallGap" w:sz="24" w:space="1" w:color="622423" w:themeColor="accent2" w:themeShade="7F"/>
      </w:pBdr>
      <w:rPr>
        <w:i/>
        <w:sz w:val="20"/>
        <w:szCs w:val="20"/>
      </w:rPr>
    </w:pPr>
    <w:r>
      <w:rPr>
        <w:i/>
        <w:sz w:val="20"/>
        <w:szCs w:val="20"/>
      </w:rPr>
      <w:t>Re-examining Market Power in Domestic Meat Markets</w:t>
    </w:r>
    <w:r w:rsidRPr="005F28E5">
      <w:rPr>
        <w:i/>
        <w:sz w:val="20"/>
        <w:szCs w:val="20"/>
      </w:rPr>
      <w:t xml:space="preserve">  </w:t>
    </w:r>
    <w:r>
      <w:rPr>
        <w:i/>
        <w:sz w:val="20"/>
        <w:szCs w:val="20"/>
      </w:rPr>
      <w:t xml:space="preserve">                                                                                                                                                                                       Griffith et al.</w:t>
    </w:r>
  </w:p>
  <w:p w14:paraId="550C633A" w14:textId="77777777" w:rsidR="001978CC" w:rsidRDefault="00197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98EDF" w14:textId="16A3952C" w:rsidR="001978CC" w:rsidRPr="005F28E5" w:rsidRDefault="001978CC" w:rsidP="009943E4">
    <w:pPr>
      <w:pStyle w:val="Header"/>
      <w:pBdr>
        <w:bottom w:val="thickThinSmallGap" w:sz="24" w:space="1" w:color="622423" w:themeColor="accent2" w:themeShade="7F"/>
      </w:pBdr>
      <w:rPr>
        <w:i/>
        <w:sz w:val="20"/>
        <w:szCs w:val="20"/>
      </w:rPr>
    </w:pPr>
    <w:r>
      <w:rPr>
        <w:i/>
        <w:sz w:val="20"/>
        <w:szCs w:val="20"/>
      </w:rPr>
      <w:t>Re-examining Market Power in Domestic Meat Markets</w:t>
    </w:r>
    <w:r w:rsidRPr="005F28E5">
      <w:rPr>
        <w:i/>
        <w:sz w:val="20"/>
        <w:szCs w:val="20"/>
      </w:rPr>
      <w:t xml:space="preserve">  </w:t>
    </w:r>
    <w:r>
      <w:rPr>
        <w:i/>
        <w:sz w:val="20"/>
        <w:szCs w:val="20"/>
      </w:rPr>
      <w:t xml:space="preserve">                                                                           Griffith et al.</w:t>
    </w:r>
  </w:p>
  <w:p w14:paraId="55FACDD0" w14:textId="77777777" w:rsidR="001978CC" w:rsidRDefault="001978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82D0B" w14:textId="0572F598" w:rsidR="001978CC" w:rsidRPr="005F28E5" w:rsidRDefault="001978CC" w:rsidP="009943E4">
    <w:pPr>
      <w:pStyle w:val="Header"/>
      <w:pBdr>
        <w:bottom w:val="thickThinSmallGap" w:sz="24" w:space="1" w:color="622423" w:themeColor="accent2" w:themeShade="7F"/>
      </w:pBdr>
      <w:rPr>
        <w:i/>
        <w:sz w:val="20"/>
        <w:szCs w:val="20"/>
      </w:rPr>
    </w:pPr>
    <w:r>
      <w:rPr>
        <w:i/>
        <w:sz w:val="20"/>
        <w:szCs w:val="20"/>
      </w:rPr>
      <w:t>Re-examining Market Power in Domestic Meat Markets</w:t>
    </w:r>
    <w:r w:rsidRPr="005F28E5">
      <w:rPr>
        <w:i/>
        <w:sz w:val="20"/>
        <w:szCs w:val="20"/>
      </w:rPr>
      <w:t xml:space="preserve">  </w:t>
    </w:r>
    <w:r>
      <w:rPr>
        <w:i/>
        <w:sz w:val="20"/>
        <w:szCs w:val="20"/>
      </w:rPr>
      <w:t xml:space="preserve">                                                                                                                                                                                      Griffith et al.</w:t>
    </w:r>
  </w:p>
  <w:p w14:paraId="1174F9F5" w14:textId="77777777" w:rsidR="001978CC" w:rsidRDefault="00197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C31E2"/>
    <w:multiLevelType w:val="hybridMultilevel"/>
    <w:tmpl w:val="CA0239A0"/>
    <w:lvl w:ilvl="0" w:tplc="05643810">
      <w:start w:val="7"/>
      <w:numFmt w:val="decimal"/>
      <w:lvlText w:val="%1)"/>
      <w:lvlJc w:val="left"/>
      <w:pPr>
        <w:ind w:left="431" w:hanging="332"/>
        <w:jc w:val="right"/>
      </w:pPr>
      <w:rPr>
        <w:rFonts w:ascii="Calibri" w:eastAsia="Calibri" w:hAnsi="Calibri" w:hint="default"/>
        <w:color w:val="2F5496"/>
        <w:spacing w:val="-1"/>
        <w:w w:val="100"/>
        <w:sz w:val="32"/>
        <w:szCs w:val="32"/>
      </w:rPr>
    </w:lvl>
    <w:lvl w:ilvl="1" w:tplc="3782D76C">
      <w:start w:val="1"/>
      <w:numFmt w:val="bullet"/>
      <w:lvlText w:val="•"/>
      <w:lvlJc w:val="left"/>
      <w:pPr>
        <w:ind w:left="1318" w:hanging="332"/>
      </w:pPr>
      <w:rPr>
        <w:rFonts w:hint="default"/>
      </w:rPr>
    </w:lvl>
    <w:lvl w:ilvl="2" w:tplc="F6FE029E">
      <w:start w:val="1"/>
      <w:numFmt w:val="bullet"/>
      <w:lvlText w:val="•"/>
      <w:lvlJc w:val="left"/>
      <w:pPr>
        <w:ind w:left="2196" w:hanging="332"/>
      </w:pPr>
      <w:rPr>
        <w:rFonts w:hint="default"/>
      </w:rPr>
    </w:lvl>
    <w:lvl w:ilvl="3" w:tplc="A35800D0">
      <w:start w:val="1"/>
      <w:numFmt w:val="bullet"/>
      <w:lvlText w:val="•"/>
      <w:lvlJc w:val="left"/>
      <w:pPr>
        <w:ind w:left="3074" w:hanging="332"/>
      </w:pPr>
      <w:rPr>
        <w:rFonts w:hint="default"/>
      </w:rPr>
    </w:lvl>
    <w:lvl w:ilvl="4" w:tplc="7A90648C">
      <w:start w:val="1"/>
      <w:numFmt w:val="bullet"/>
      <w:lvlText w:val="•"/>
      <w:lvlJc w:val="left"/>
      <w:pPr>
        <w:ind w:left="3952" w:hanging="332"/>
      </w:pPr>
      <w:rPr>
        <w:rFonts w:hint="default"/>
      </w:rPr>
    </w:lvl>
    <w:lvl w:ilvl="5" w:tplc="C78E068A">
      <w:start w:val="1"/>
      <w:numFmt w:val="bullet"/>
      <w:lvlText w:val="•"/>
      <w:lvlJc w:val="left"/>
      <w:pPr>
        <w:ind w:left="4830" w:hanging="332"/>
      </w:pPr>
      <w:rPr>
        <w:rFonts w:hint="default"/>
      </w:rPr>
    </w:lvl>
    <w:lvl w:ilvl="6" w:tplc="2286F4AC">
      <w:start w:val="1"/>
      <w:numFmt w:val="bullet"/>
      <w:lvlText w:val="•"/>
      <w:lvlJc w:val="left"/>
      <w:pPr>
        <w:ind w:left="5708" w:hanging="332"/>
      </w:pPr>
      <w:rPr>
        <w:rFonts w:hint="default"/>
      </w:rPr>
    </w:lvl>
    <w:lvl w:ilvl="7" w:tplc="FFBC8E44">
      <w:start w:val="1"/>
      <w:numFmt w:val="bullet"/>
      <w:lvlText w:val="•"/>
      <w:lvlJc w:val="left"/>
      <w:pPr>
        <w:ind w:left="6586" w:hanging="332"/>
      </w:pPr>
      <w:rPr>
        <w:rFonts w:hint="default"/>
      </w:rPr>
    </w:lvl>
    <w:lvl w:ilvl="8" w:tplc="540CCE76">
      <w:start w:val="1"/>
      <w:numFmt w:val="bullet"/>
      <w:lvlText w:val="•"/>
      <w:lvlJc w:val="left"/>
      <w:pPr>
        <w:ind w:left="7464" w:hanging="332"/>
      </w:pPr>
      <w:rPr>
        <w:rFonts w:hint="default"/>
      </w:rPr>
    </w:lvl>
  </w:abstractNum>
  <w:abstractNum w:abstractNumId="1" w15:restartNumberingAfterBreak="0">
    <w:nsid w:val="0F7B182F"/>
    <w:multiLevelType w:val="hybridMultilevel"/>
    <w:tmpl w:val="EB54BA46"/>
    <w:lvl w:ilvl="0" w:tplc="BCE4F058">
      <w:start w:val="1"/>
      <w:numFmt w:val="decimal"/>
      <w:lvlText w:val="%1)"/>
      <w:lvlJc w:val="left"/>
      <w:pPr>
        <w:ind w:left="1580" w:hanging="360"/>
        <w:jc w:val="left"/>
      </w:pPr>
      <w:rPr>
        <w:rFonts w:ascii="Calibri" w:eastAsia="Calibri" w:hAnsi="Calibri" w:hint="default"/>
        <w:w w:val="99"/>
        <w:sz w:val="16"/>
        <w:szCs w:val="16"/>
      </w:rPr>
    </w:lvl>
    <w:lvl w:ilvl="1" w:tplc="23364D8A">
      <w:start w:val="1"/>
      <w:numFmt w:val="bullet"/>
      <w:lvlText w:val="•"/>
      <w:lvlJc w:val="left"/>
      <w:pPr>
        <w:ind w:left="2990" w:hanging="360"/>
      </w:pPr>
      <w:rPr>
        <w:rFonts w:hint="default"/>
      </w:rPr>
    </w:lvl>
    <w:lvl w:ilvl="2" w:tplc="FB6C1552">
      <w:start w:val="1"/>
      <w:numFmt w:val="bullet"/>
      <w:lvlText w:val="•"/>
      <w:lvlJc w:val="left"/>
      <w:pPr>
        <w:ind w:left="4400" w:hanging="360"/>
      </w:pPr>
      <w:rPr>
        <w:rFonts w:hint="default"/>
      </w:rPr>
    </w:lvl>
    <w:lvl w:ilvl="3" w:tplc="615C615C">
      <w:start w:val="1"/>
      <w:numFmt w:val="bullet"/>
      <w:lvlText w:val="•"/>
      <w:lvlJc w:val="left"/>
      <w:pPr>
        <w:ind w:left="5810" w:hanging="360"/>
      </w:pPr>
      <w:rPr>
        <w:rFonts w:hint="default"/>
      </w:rPr>
    </w:lvl>
    <w:lvl w:ilvl="4" w:tplc="7F5422CC">
      <w:start w:val="1"/>
      <w:numFmt w:val="bullet"/>
      <w:lvlText w:val="•"/>
      <w:lvlJc w:val="left"/>
      <w:pPr>
        <w:ind w:left="7220" w:hanging="360"/>
      </w:pPr>
      <w:rPr>
        <w:rFonts w:hint="default"/>
      </w:rPr>
    </w:lvl>
    <w:lvl w:ilvl="5" w:tplc="3384B354">
      <w:start w:val="1"/>
      <w:numFmt w:val="bullet"/>
      <w:lvlText w:val="•"/>
      <w:lvlJc w:val="left"/>
      <w:pPr>
        <w:ind w:left="8630" w:hanging="360"/>
      </w:pPr>
      <w:rPr>
        <w:rFonts w:hint="default"/>
      </w:rPr>
    </w:lvl>
    <w:lvl w:ilvl="6" w:tplc="1FBCEEAC">
      <w:start w:val="1"/>
      <w:numFmt w:val="bullet"/>
      <w:lvlText w:val="•"/>
      <w:lvlJc w:val="left"/>
      <w:pPr>
        <w:ind w:left="10040" w:hanging="360"/>
      </w:pPr>
      <w:rPr>
        <w:rFonts w:hint="default"/>
      </w:rPr>
    </w:lvl>
    <w:lvl w:ilvl="7" w:tplc="FFE6ACA0">
      <w:start w:val="1"/>
      <w:numFmt w:val="bullet"/>
      <w:lvlText w:val="•"/>
      <w:lvlJc w:val="left"/>
      <w:pPr>
        <w:ind w:left="11450" w:hanging="360"/>
      </w:pPr>
      <w:rPr>
        <w:rFonts w:hint="default"/>
      </w:rPr>
    </w:lvl>
    <w:lvl w:ilvl="8" w:tplc="E51039AC">
      <w:start w:val="1"/>
      <w:numFmt w:val="bullet"/>
      <w:lvlText w:val="•"/>
      <w:lvlJc w:val="left"/>
      <w:pPr>
        <w:ind w:left="12860" w:hanging="360"/>
      </w:pPr>
      <w:rPr>
        <w:rFonts w:hint="default"/>
      </w:rPr>
    </w:lvl>
  </w:abstractNum>
  <w:abstractNum w:abstractNumId="2" w15:restartNumberingAfterBreak="0">
    <w:nsid w:val="118D7FB1"/>
    <w:multiLevelType w:val="multilevel"/>
    <w:tmpl w:val="F0A6AAF8"/>
    <w:lvl w:ilvl="0">
      <w:start w:val="1"/>
      <w:numFmt w:val="decimal"/>
      <w:lvlText w:val="%1)"/>
      <w:lvlJc w:val="left"/>
      <w:pPr>
        <w:ind w:left="431" w:hanging="332"/>
        <w:jc w:val="left"/>
      </w:pPr>
      <w:rPr>
        <w:rFonts w:ascii="Calibri" w:eastAsia="Calibri" w:hAnsi="Calibri" w:hint="default"/>
        <w:color w:val="2F5496"/>
        <w:spacing w:val="-1"/>
        <w:w w:val="100"/>
        <w:sz w:val="32"/>
        <w:szCs w:val="32"/>
      </w:rPr>
    </w:lvl>
    <w:lvl w:ilvl="1">
      <w:start w:val="1"/>
      <w:numFmt w:val="decimal"/>
      <w:lvlText w:val="%1.%2"/>
      <w:lvlJc w:val="left"/>
      <w:pPr>
        <w:ind w:left="487" w:hanging="388"/>
        <w:jc w:val="left"/>
      </w:pPr>
      <w:rPr>
        <w:rFonts w:ascii="Calibri" w:eastAsia="Calibri" w:hAnsi="Calibri" w:hint="default"/>
        <w:color w:val="2F5496"/>
        <w:w w:val="99"/>
        <w:sz w:val="26"/>
        <w:szCs w:val="26"/>
      </w:rPr>
    </w:lvl>
    <w:lvl w:ilvl="2">
      <w:start w:val="1"/>
      <w:numFmt w:val="bullet"/>
      <w:lvlText w:val=""/>
      <w:lvlJc w:val="left"/>
      <w:pPr>
        <w:ind w:left="820" w:hanging="360"/>
      </w:pPr>
      <w:rPr>
        <w:rFonts w:ascii="Symbol" w:eastAsia="Symbol" w:hAnsi="Symbol" w:hint="default"/>
        <w:w w:val="99"/>
        <w:sz w:val="24"/>
        <w:szCs w:val="24"/>
      </w:rPr>
    </w:lvl>
    <w:lvl w:ilvl="3">
      <w:start w:val="1"/>
      <w:numFmt w:val="bullet"/>
      <w:lvlText w:val="•"/>
      <w:lvlJc w:val="left"/>
      <w:pPr>
        <w:ind w:left="820" w:hanging="360"/>
      </w:pPr>
      <w:rPr>
        <w:rFonts w:hint="default"/>
      </w:rPr>
    </w:lvl>
    <w:lvl w:ilvl="4">
      <w:start w:val="1"/>
      <w:numFmt w:val="bullet"/>
      <w:lvlText w:val="•"/>
      <w:lvlJc w:val="left"/>
      <w:pPr>
        <w:ind w:left="2020" w:hanging="360"/>
      </w:pPr>
      <w:rPr>
        <w:rFonts w:hint="default"/>
      </w:rPr>
    </w:lvl>
    <w:lvl w:ilvl="5">
      <w:start w:val="1"/>
      <w:numFmt w:val="bullet"/>
      <w:lvlText w:val="•"/>
      <w:lvlJc w:val="left"/>
      <w:pPr>
        <w:ind w:left="3220" w:hanging="360"/>
      </w:pPr>
      <w:rPr>
        <w:rFonts w:hint="default"/>
      </w:rPr>
    </w:lvl>
    <w:lvl w:ilvl="6">
      <w:start w:val="1"/>
      <w:numFmt w:val="bullet"/>
      <w:lvlText w:val="•"/>
      <w:lvlJc w:val="left"/>
      <w:pPr>
        <w:ind w:left="4420" w:hanging="360"/>
      </w:pPr>
      <w:rPr>
        <w:rFonts w:hint="default"/>
      </w:rPr>
    </w:lvl>
    <w:lvl w:ilvl="7">
      <w:start w:val="1"/>
      <w:numFmt w:val="bullet"/>
      <w:lvlText w:val="•"/>
      <w:lvlJc w:val="left"/>
      <w:pPr>
        <w:ind w:left="5620" w:hanging="360"/>
      </w:pPr>
      <w:rPr>
        <w:rFonts w:hint="default"/>
      </w:rPr>
    </w:lvl>
    <w:lvl w:ilvl="8">
      <w:start w:val="1"/>
      <w:numFmt w:val="bullet"/>
      <w:lvlText w:val="•"/>
      <w:lvlJc w:val="left"/>
      <w:pPr>
        <w:ind w:left="6820" w:hanging="360"/>
      </w:pPr>
      <w:rPr>
        <w:rFonts w:hint="default"/>
      </w:rPr>
    </w:lvl>
  </w:abstractNum>
  <w:abstractNum w:abstractNumId="3" w15:restartNumberingAfterBreak="0">
    <w:nsid w:val="28FC11DE"/>
    <w:multiLevelType w:val="multilevel"/>
    <w:tmpl w:val="89C84218"/>
    <w:lvl w:ilvl="0">
      <w:start w:val="1"/>
      <w:numFmt w:val="decimal"/>
      <w:lvlText w:val="%1)"/>
      <w:lvlJc w:val="left"/>
      <w:pPr>
        <w:ind w:left="307" w:hanging="208"/>
        <w:jc w:val="left"/>
      </w:pPr>
      <w:rPr>
        <w:rFonts w:ascii="Calibri" w:eastAsia="Calibri" w:hAnsi="Calibri" w:hint="default"/>
        <w:spacing w:val="-1"/>
        <w:w w:val="100"/>
        <w:sz w:val="20"/>
        <w:szCs w:val="20"/>
      </w:rPr>
    </w:lvl>
    <w:lvl w:ilvl="1">
      <w:start w:val="1"/>
      <w:numFmt w:val="decimal"/>
      <w:lvlText w:val="%1.%2"/>
      <w:lvlJc w:val="left"/>
      <w:pPr>
        <w:ind w:left="629" w:hanging="290"/>
        <w:jc w:val="left"/>
      </w:pPr>
      <w:rPr>
        <w:rFonts w:ascii="Calibri" w:eastAsia="Calibri" w:hAnsi="Calibri" w:hint="default"/>
        <w:spacing w:val="-1"/>
        <w:w w:val="100"/>
        <w:sz w:val="20"/>
        <w:szCs w:val="20"/>
      </w:rPr>
    </w:lvl>
    <w:lvl w:ilvl="2">
      <w:start w:val="1"/>
      <w:numFmt w:val="decimal"/>
      <w:lvlText w:val="%1.%2.%3"/>
      <w:lvlJc w:val="left"/>
      <w:pPr>
        <w:ind w:left="1070" w:hanging="731"/>
        <w:jc w:val="left"/>
      </w:pPr>
      <w:rPr>
        <w:rFonts w:ascii="Calibri" w:eastAsia="Calibri" w:hAnsi="Calibri" w:hint="default"/>
        <w:spacing w:val="-1"/>
        <w:w w:val="100"/>
        <w:sz w:val="20"/>
        <w:szCs w:val="20"/>
      </w:rPr>
    </w:lvl>
    <w:lvl w:ilvl="3">
      <w:start w:val="1"/>
      <w:numFmt w:val="bullet"/>
      <w:lvlText w:val="•"/>
      <w:lvlJc w:val="left"/>
      <w:pPr>
        <w:ind w:left="1080" w:hanging="731"/>
      </w:pPr>
      <w:rPr>
        <w:rFonts w:hint="default"/>
      </w:rPr>
    </w:lvl>
    <w:lvl w:ilvl="4">
      <w:start w:val="1"/>
      <w:numFmt w:val="bullet"/>
      <w:lvlText w:val="•"/>
      <w:lvlJc w:val="left"/>
      <w:pPr>
        <w:ind w:left="2242" w:hanging="731"/>
      </w:pPr>
      <w:rPr>
        <w:rFonts w:hint="default"/>
      </w:rPr>
    </w:lvl>
    <w:lvl w:ilvl="5">
      <w:start w:val="1"/>
      <w:numFmt w:val="bullet"/>
      <w:lvlText w:val="•"/>
      <w:lvlJc w:val="left"/>
      <w:pPr>
        <w:ind w:left="3405" w:hanging="731"/>
      </w:pPr>
      <w:rPr>
        <w:rFonts w:hint="default"/>
      </w:rPr>
    </w:lvl>
    <w:lvl w:ilvl="6">
      <w:start w:val="1"/>
      <w:numFmt w:val="bullet"/>
      <w:lvlText w:val="•"/>
      <w:lvlJc w:val="left"/>
      <w:pPr>
        <w:ind w:left="4568" w:hanging="731"/>
      </w:pPr>
      <w:rPr>
        <w:rFonts w:hint="default"/>
      </w:rPr>
    </w:lvl>
    <w:lvl w:ilvl="7">
      <w:start w:val="1"/>
      <w:numFmt w:val="bullet"/>
      <w:lvlText w:val="•"/>
      <w:lvlJc w:val="left"/>
      <w:pPr>
        <w:ind w:left="5731" w:hanging="731"/>
      </w:pPr>
      <w:rPr>
        <w:rFonts w:hint="default"/>
      </w:rPr>
    </w:lvl>
    <w:lvl w:ilvl="8">
      <w:start w:val="1"/>
      <w:numFmt w:val="bullet"/>
      <w:lvlText w:val="•"/>
      <w:lvlJc w:val="left"/>
      <w:pPr>
        <w:ind w:left="6894" w:hanging="731"/>
      </w:pPr>
      <w:rPr>
        <w:rFonts w:hint="default"/>
      </w:rPr>
    </w:lvl>
  </w:abstractNum>
  <w:abstractNum w:abstractNumId="4" w15:restartNumberingAfterBreak="0">
    <w:nsid w:val="4C1D3589"/>
    <w:multiLevelType w:val="multilevel"/>
    <w:tmpl w:val="1F685A72"/>
    <w:lvl w:ilvl="0">
      <w:start w:val="4"/>
      <w:numFmt w:val="decimal"/>
      <w:lvlText w:val="%1"/>
      <w:lvlJc w:val="left"/>
      <w:pPr>
        <w:ind w:left="460" w:hanging="360"/>
        <w:jc w:val="left"/>
      </w:pPr>
      <w:rPr>
        <w:rFonts w:hint="default"/>
      </w:rPr>
    </w:lvl>
    <w:lvl w:ilvl="1">
      <w:start w:val="2"/>
      <w:numFmt w:val="decimal"/>
      <w:lvlText w:val="%1.%2"/>
      <w:lvlJc w:val="left"/>
      <w:pPr>
        <w:ind w:left="460" w:hanging="360"/>
        <w:jc w:val="left"/>
      </w:pPr>
      <w:rPr>
        <w:rFonts w:ascii="Calibri" w:eastAsia="Calibri" w:hAnsi="Calibri" w:hint="default"/>
        <w:color w:val="2F5496"/>
        <w:w w:val="99"/>
        <w:sz w:val="26"/>
        <w:szCs w:val="26"/>
      </w:rPr>
    </w:lvl>
    <w:lvl w:ilvl="2">
      <w:start w:val="1"/>
      <w:numFmt w:val="decimal"/>
      <w:lvlText w:val="%1.%2.%3"/>
      <w:lvlJc w:val="left"/>
      <w:pPr>
        <w:ind w:left="820" w:hanging="720"/>
        <w:jc w:val="left"/>
      </w:pPr>
      <w:rPr>
        <w:rFonts w:ascii="Calibri" w:eastAsia="Calibri" w:hAnsi="Calibri" w:hint="default"/>
        <w:color w:val="2F5496"/>
        <w:w w:val="99"/>
        <w:sz w:val="26"/>
        <w:szCs w:val="26"/>
      </w:rPr>
    </w:lvl>
    <w:lvl w:ilvl="3">
      <w:start w:val="1"/>
      <w:numFmt w:val="bullet"/>
      <w:lvlText w:val="•"/>
      <w:lvlJc w:val="left"/>
      <w:pPr>
        <w:ind w:left="2686" w:hanging="720"/>
      </w:pPr>
      <w:rPr>
        <w:rFonts w:hint="default"/>
      </w:rPr>
    </w:lvl>
    <w:lvl w:ilvl="4">
      <w:start w:val="1"/>
      <w:numFmt w:val="bullet"/>
      <w:lvlText w:val="•"/>
      <w:lvlJc w:val="left"/>
      <w:pPr>
        <w:ind w:left="3620" w:hanging="720"/>
      </w:pPr>
      <w:rPr>
        <w:rFonts w:hint="default"/>
      </w:rPr>
    </w:lvl>
    <w:lvl w:ilvl="5">
      <w:start w:val="1"/>
      <w:numFmt w:val="bullet"/>
      <w:lvlText w:val="•"/>
      <w:lvlJc w:val="left"/>
      <w:pPr>
        <w:ind w:left="4553" w:hanging="720"/>
      </w:pPr>
      <w:rPr>
        <w:rFonts w:hint="default"/>
      </w:rPr>
    </w:lvl>
    <w:lvl w:ilvl="6">
      <w:start w:val="1"/>
      <w:numFmt w:val="bullet"/>
      <w:lvlText w:val="•"/>
      <w:lvlJc w:val="left"/>
      <w:pPr>
        <w:ind w:left="5486" w:hanging="720"/>
      </w:pPr>
      <w:rPr>
        <w:rFonts w:hint="default"/>
      </w:rPr>
    </w:lvl>
    <w:lvl w:ilvl="7">
      <w:start w:val="1"/>
      <w:numFmt w:val="bullet"/>
      <w:lvlText w:val="•"/>
      <w:lvlJc w:val="left"/>
      <w:pPr>
        <w:ind w:left="6420" w:hanging="720"/>
      </w:pPr>
      <w:rPr>
        <w:rFonts w:hint="default"/>
      </w:rPr>
    </w:lvl>
    <w:lvl w:ilvl="8">
      <w:start w:val="1"/>
      <w:numFmt w:val="bullet"/>
      <w:lvlText w:val="•"/>
      <w:lvlJc w:val="left"/>
      <w:pPr>
        <w:ind w:left="7353" w:hanging="720"/>
      </w:pPr>
      <w:rPr>
        <w:rFonts w:hint="default"/>
      </w:rPr>
    </w:lvl>
  </w:abstractNum>
  <w:abstractNum w:abstractNumId="5" w15:restartNumberingAfterBreak="0">
    <w:nsid w:val="6DE66D1E"/>
    <w:multiLevelType w:val="multilevel"/>
    <w:tmpl w:val="33BE9182"/>
    <w:lvl w:ilvl="0">
      <w:start w:val="4"/>
      <w:numFmt w:val="decimal"/>
      <w:lvlText w:val="%1"/>
      <w:lvlJc w:val="left"/>
      <w:pPr>
        <w:ind w:left="460" w:hanging="360"/>
        <w:jc w:val="left"/>
      </w:pPr>
      <w:rPr>
        <w:rFonts w:hint="default"/>
      </w:rPr>
    </w:lvl>
    <w:lvl w:ilvl="1">
      <w:start w:val="5"/>
      <w:numFmt w:val="decimal"/>
      <w:lvlText w:val="%1.%2"/>
      <w:lvlJc w:val="left"/>
      <w:pPr>
        <w:ind w:left="460" w:hanging="360"/>
        <w:jc w:val="left"/>
      </w:pPr>
      <w:rPr>
        <w:rFonts w:ascii="Calibri" w:eastAsia="Calibri" w:hAnsi="Calibri" w:hint="default"/>
        <w:color w:val="2F5496"/>
        <w:w w:val="99"/>
        <w:sz w:val="26"/>
        <w:szCs w:val="26"/>
      </w:rPr>
    </w:lvl>
    <w:lvl w:ilvl="2">
      <w:start w:val="1"/>
      <w:numFmt w:val="bullet"/>
      <w:lvlText w:val="•"/>
      <w:lvlJc w:val="left"/>
      <w:pPr>
        <w:ind w:left="2212" w:hanging="360"/>
      </w:pPr>
      <w:rPr>
        <w:rFonts w:hint="default"/>
      </w:rPr>
    </w:lvl>
    <w:lvl w:ilvl="3">
      <w:start w:val="1"/>
      <w:numFmt w:val="bullet"/>
      <w:lvlText w:val="•"/>
      <w:lvlJc w:val="left"/>
      <w:pPr>
        <w:ind w:left="3088" w:hanging="360"/>
      </w:pPr>
      <w:rPr>
        <w:rFonts w:hint="default"/>
      </w:rPr>
    </w:lvl>
    <w:lvl w:ilvl="4">
      <w:start w:val="1"/>
      <w:numFmt w:val="bullet"/>
      <w:lvlText w:val="•"/>
      <w:lvlJc w:val="left"/>
      <w:pPr>
        <w:ind w:left="3964" w:hanging="360"/>
      </w:pPr>
      <w:rPr>
        <w:rFonts w:hint="default"/>
      </w:rPr>
    </w:lvl>
    <w:lvl w:ilvl="5">
      <w:start w:val="1"/>
      <w:numFmt w:val="bullet"/>
      <w:lvlText w:val="•"/>
      <w:lvlJc w:val="left"/>
      <w:pPr>
        <w:ind w:left="4840" w:hanging="360"/>
      </w:pPr>
      <w:rPr>
        <w:rFonts w:hint="default"/>
      </w:rPr>
    </w:lvl>
    <w:lvl w:ilvl="6">
      <w:start w:val="1"/>
      <w:numFmt w:val="bullet"/>
      <w:lvlText w:val="•"/>
      <w:lvlJc w:val="left"/>
      <w:pPr>
        <w:ind w:left="5716" w:hanging="360"/>
      </w:pPr>
      <w:rPr>
        <w:rFonts w:hint="default"/>
      </w:rPr>
    </w:lvl>
    <w:lvl w:ilvl="7">
      <w:start w:val="1"/>
      <w:numFmt w:val="bullet"/>
      <w:lvlText w:val="•"/>
      <w:lvlJc w:val="left"/>
      <w:pPr>
        <w:ind w:left="6592" w:hanging="360"/>
      </w:pPr>
      <w:rPr>
        <w:rFonts w:hint="default"/>
      </w:rPr>
    </w:lvl>
    <w:lvl w:ilvl="8">
      <w:start w:val="1"/>
      <w:numFmt w:val="bullet"/>
      <w:lvlText w:val="•"/>
      <w:lvlJc w:val="left"/>
      <w:pPr>
        <w:ind w:left="7468" w:hanging="360"/>
      </w:pPr>
      <w:rPr>
        <w:rFonts w:hint="default"/>
      </w:rPr>
    </w:lvl>
  </w:abstractNum>
  <w:num w:numId="1" w16cid:durableId="548221466">
    <w:abstractNumId w:val="0"/>
  </w:num>
  <w:num w:numId="2" w16cid:durableId="1310984802">
    <w:abstractNumId w:val="1"/>
  </w:num>
  <w:num w:numId="3" w16cid:durableId="1064333710">
    <w:abstractNumId w:val="5"/>
  </w:num>
  <w:num w:numId="4" w16cid:durableId="1369180069">
    <w:abstractNumId w:val="4"/>
  </w:num>
  <w:num w:numId="5" w16cid:durableId="162821805">
    <w:abstractNumId w:val="2"/>
  </w:num>
  <w:num w:numId="6" w16cid:durableId="171799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593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6F6"/>
    <w:rsid w:val="000024C9"/>
    <w:rsid w:val="00003B31"/>
    <w:rsid w:val="00011A2C"/>
    <w:rsid w:val="0002143A"/>
    <w:rsid w:val="000222B4"/>
    <w:rsid w:val="00031498"/>
    <w:rsid w:val="00043592"/>
    <w:rsid w:val="00045A9A"/>
    <w:rsid w:val="00046043"/>
    <w:rsid w:val="000465A2"/>
    <w:rsid w:val="00053CF4"/>
    <w:rsid w:val="00060C08"/>
    <w:rsid w:val="00063C90"/>
    <w:rsid w:val="00076D3B"/>
    <w:rsid w:val="0008538A"/>
    <w:rsid w:val="000A1650"/>
    <w:rsid w:val="000A6855"/>
    <w:rsid w:val="000B5071"/>
    <w:rsid w:val="000C3935"/>
    <w:rsid w:val="000C6F18"/>
    <w:rsid w:val="000D7D3C"/>
    <w:rsid w:val="000E1FAF"/>
    <w:rsid w:val="000F11A0"/>
    <w:rsid w:val="000F11A4"/>
    <w:rsid w:val="00104AFA"/>
    <w:rsid w:val="001055C2"/>
    <w:rsid w:val="00113601"/>
    <w:rsid w:val="0011470C"/>
    <w:rsid w:val="00123C08"/>
    <w:rsid w:val="00125184"/>
    <w:rsid w:val="00127CA7"/>
    <w:rsid w:val="00132196"/>
    <w:rsid w:val="00132301"/>
    <w:rsid w:val="00144D71"/>
    <w:rsid w:val="00147052"/>
    <w:rsid w:val="00152089"/>
    <w:rsid w:val="00154EBD"/>
    <w:rsid w:val="00161CAE"/>
    <w:rsid w:val="001759F9"/>
    <w:rsid w:val="001830FC"/>
    <w:rsid w:val="00183A5F"/>
    <w:rsid w:val="0018522E"/>
    <w:rsid w:val="001901D0"/>
    <w:rsid w:val="00193B37"/>
    <w:rsid w:val="001978CC"/>
    <w:rsid w:val="001B26DC"/>
    <w:rsid w:val="001C333B"/>
    <w:rsid w:val="001D314F"/>
    <w:rsid w:val="001D5FFE"/>
    <w:rsid w:val="001E43FD"/>
    <w:rsid w:val="001E669B"/>
    <w:rsid w:val="001E698B"/>
    <w:rsid w:val="001E6AC4"/>
    <w:rsid w:val="002008D5"/>
    <w:rsid w:val="002017EB"/>
    <w:rsid w:val="00203F80"/>
    <w:rsid w:val="00211FC1"/>
    <w:rsid w:val="00212F67"/>
    <w:rsid w:val="00216C1F"/>
    <w:rsid w:val="00226B05"/>
    <w:rsid w:val="00231AFD"/>
    <w:rsid w:val="00247304"/>
    <w:rsid w:val="00247D6E"/>
    <w:rsid w:val="00254DCE"/>
    <w:rsid w:val="00263D59"/>
    <w:rsid w:val="00264A81"/>
    <w:rsid w:val="00267C46"/>
    <w:rsid w:val="002A1F38"/>
    <w:rsid w:val="002B3B12"/>
    <w:rsid w:val="002B453B"/>
    <w:rsid w:val="002D4398"/>
    <w:rsid w:val="002D51DA"/>
    <w:rsid w:val="002E11F0"/>
    <w:rsid w:val="002E1D45"/>
    <w:rsid w:val="002E30FF"/>
    <w:rsid w:val="002E3BF3"/>
    <w:rsid w:val="002F1384"/>
    <w:rsid w:val="002F6832"/>
    <w:rsid w:val="00304713"/>
    <w:rsid w:val="00307595"/>
    <w:rsid w:val="003174F3"/>
    <w:rsid w:val="0032036E"/>
    <w:rsid w:val="0032740F"/>
    <w:rsid w:val="00331B53"/>
    <w:rsid w:val="0033771B"/>
    <w:rsid w:val="0036341D"/>
    <w:rsid w:val="00363ED8"/>
    <w:rsid w:val="0036404B"/>
    <w:rsid w:val="00370F1A"/>
    <w:rsid w:val="00371A69"/>
    <w:rsid w:val="00374E2E"/>
    <w:rsid w:val="003805E6"/>
    <w:rsid w:val="00382907"/>
    <w:rsid w:val="003A0F15"/>
    <w:rsid w:val="003A2BB4"/>
    <w:rsid w:val="003B6FB9"/>
    <w:rsid w:val="003C08A0"/>
    <w:rsid w:val="003C1B42"/>
    <w:rsid w:val="003C70CE"/>
    <w:rsid w:val="003D1471"/>
    <w:rsid w:val="003D382C"/>
    <w:rsid w:val="003D5F4E"/>
    <w:rsid w:val="003E0A9E"/>
    <w:rsid w:val="003F0507"/>
    <w:rsid w:val="004016CA"/>
    <w:rsid w:val="00410BE9"/>
    <w:rsid w:val="004114A9"/>
    <w:rsid w:val="00415DD1"/>
    <w:rsid w:val="00424A43"/>
    <w:rsid w:val="00430F82"/>
    <w:rsid w:val="004449C0"/>
    <w:rsid w:val="00446E4C"/>
    <w:rsid w:val="004550DC"/>
    <w:rsid w:val="00457944"/>
    <w:rsid w:val="004606CA"/>
    <w:rsid w:val="00461779"/>
    <w:rsid w:val="0047492E"/>
    <w:rsid w:val="00475395"/>
    <w:rsid w:val="004767E9"/>
    <w:rsid w:val="004806F6"/>
    <w:rsid w:val="00486BF6"/>
    <w:rsid w:val="00487D24"/>
    <w:rsid w:val="00492F4B"/>
    <w:rsid w:val="004B3351"/>
    <w:rsid w:val="004B475C"/>
    <w:rsid w:val="004B4CE9"/>
    <w:rsid w:val="004C084B"/>
    <w:rsid w:val="004C5EB8"/>
    <w:rsid w:val="004E402D"/>
    <w:rsid w:val="004F1B2C"/>
    <w:rsid w:val="004F68AE"/>
    <w:rsid w:val="00510754"/>
    <w:rsid w:val="00511EF5"/>
    <w:rsid w:val="00521954"/>
    <w:rsid w:val="00540B52"/>
    <w:rsid w:val="00540EBC"/>
    <w:rsid w:val="005413C1"/>
    <w:rsid w:val="00544996"/>
    <w:rsid w:val="005662CC"/>
    <w:rsid w:val="005712BE"/>
    <w:rsid w:val="00582585"/>
    <w:rsid w:val="00585D96"/>
    <w:rsid w:val="00592023"/>
    <w:rsid w:val="005D03C7"/>
    <w:rsid w:val="005D1B6E"/>
    <w:rsid w:val="005D7DC7"/>
    <w:rsid w:val="005E0745"/>
    <w:rsid w:val="005E31C2"/>
    <w:rsid w:val="005E42C5"/>
    <w:rsid w:val="005F1844"/>
    <w:rsid w:val="005F583E"/>
    <w:rsid w:val="005F742E"/>
    <w:rsid w:val="006067D0"/>
    <w:rsid w:val="00606C89"/>
    <w:rsid w:val="006117F0"/>
    <w:rsid w:val="00626F01"/>
    <w:rsid w:val="00626F0F"/>
    <w:rsid w:val="00647A22"/>
    <w:rsid w:val="00661BD2"/>
    <w:rsid w:val="00661C29"/>
    <w:rsid w:val="00662CF0"/>
    <w:rsid w:val="00665597"/>
    <w:rsid w:val="00667537"/>
    <w:rsid w:val="0067047E"/>
    <w:rsid w:val="00670CD6"/>
    <w:rsid w:val="00682B5B"/>
    <w:rsid w:val="00687B25"/>
    <w:rsid w:val="0069375C"/>
    <w:rsid w:val="00694261"/>
    <w:rsid w:val="0069707D"/>
    <w:rsid w:val="006A0442"/>
    <w:rsid w:val="006A5564"/>
    <w:rsid w:val="006B03AE"/>
    <w:rsid w:val="006B14FA"/>
    <w:rsid w:val="006C4C62"/>
    <w:rsid w:val="006C5F8F"/>
    <w:rsid w:val="006C65F4"/>
    <w:rsid w:val="006D6347"/>
    <w:rsid w:val="006D7B91"/>
    <w:rsid w:val="006E2099"/>
    <w:rsid w:val="006F12FA"/>
    <w:rsid w:val="006F4C36"/>
    <w:rsid w:val="00702AE2"/>
    <w:rsid w:val="00704822"/>
    <w:rsid w:val="007231AD"/>
    <w:rsid w:val="00730632"/>
    <w:rsid w:val="007416B0"/>
    <w:rsid w:val="00744B2D"/>
    <w:rsid w:val="00745104"/>
    <w:rsid w:val="00745ADC"/>
    <w:rsid w:val="00752343"/>
    <w:rsid w:val="00753024"/>
    <w:rsid w:val="0075772F"/>
    <w:rsid w:val="007638CB"/>
    <w:rsid w:val="007652E6"/>
    <w:rsid w:val="00773677"/>
    <w:rsid w:val="00773DA6"/>
    <w:rsid w:val="00783C2D"/>
    <w:rsid w:val="00796B0D"/>
    <w:rsid w:val="007A036E"/>
    <w:rsid w:val="007A3F6C"/>
    <w:rsid w:val="007B5655"/>
    <w:rsid w:val="007C26B8"/>
    <w:rsid w:val="007D42A9"/>
    <w:rsid w:val="007D5AA2"/>
    <w:rsid w:val="007E2B8C"/>
    <w:rsid w:val="007F1BE9"/>
    <w:rsid w:val="007F46A9"/>
    <w:rsid w:val="007F4A33"/>
    <w:rsid w:val="007F648C"/>
    <w:rsid w:val="00806070"/>
    <w:rsid w:val="00814BDF"/>
    <w:rsid w:val="00823091"/>
    <w:rsid w:val="00823AF2"/>
    <w:rsid w:val="0083004A"/>
    <w:rsid w:val="00830CA8"/>
    <w:rsid w:val="00836405"/>
    <w:rsid w:val="008376C0"/>
    <w:rsid w:val="008467D7"/>
    <w:rsid w:val="0086360B"/>
    <w:rsid w:val="0086716C"/>
    <w:rsid w:val="00867BF0"/>
    <w:rsid w:val="00881A6F"/>
    <w:rsid w:val="0088237D"/>
    <w:rsid w:val="00887FB7"/>
    <w:rsid w:val="00892CD9"/>
    <w:rsid w:val="008A5B65"/>
    <w:rsid w:val="008B4CE0"/>
    <w:rsid w:val="008C1DFB"/>
    <w:rsid w:val="008C2938"/>
    <w:rsid w:val="008C3B3F"/>
    <w:rsid w:val="008C4FD5"/>
    <w:rsid w:val="008C6CE9"/>
    <w:rsid w:val="008C76AF"/>
    <w:rsid w:val="008D2DB8"/>
    <w:rsid w:val="008F257E"/>
    <w:rsid w:val="008F3BFA"/>
    <w:rsid w:val="008F6147"/>
    <w:rsid w:val="0090198C"/>
    <w:rsid w:val="009167D6"/>
    <w:rsid w:val="009203D1"/>
    <w:rsid w:val="0093344C"/>
    <w:rsid w:val="00943F80"/>
    <w:rsid w:val="0094583F"/>
    <w:rsid w:val="00976892"/>
    <w:rsid w:val="009826A6"/>
    <w:rsid w:val="00987FEB"/>
    <w:rsid w:val="009943E4"/>
    <w:rsid w:val="00996A6F"/>
    <w:rsid w:val="00997999"/>
    <w:rsid w:val="00997A8E"/>
    <w:rsid w:val="009A2DC9"/>
    <w:rsid w:val="009A3F99"/>
    <w:rsid w:val="009B6413"/>
    <w:rsid w:val="009C0CFA"/>
    <w:rsid w:val="009C3A49"/>
    <w:rsid w:val="009C4FE3"/>
    <w:rsid w:val="009D0CB1"/>
    <w:rsid w:val="009E617A"/>
    <w:rsid w:val="009F38ED"/>
    <w:rsid w:val="009F7E29"/>
    <w:rsid w:val="00A12717"/>
    <w:rsid w:val="00A16B96"/>
    <w:rsid w:val="00A21649"/>
    <w:rsid w:val="00A2430C"/>
    <w:rsid w:val="00A24E71"/>
    <w:rsid w:val="00A25D54"/>
    <w:rsid w:val="00A26E8F"/>
    <w:rsid w:val="00A42269"/>
    <w:rsid w:val="00A45088"/>
    <w:rsid w:val="00A5773C"/>
    <w:rsid w:val="00A6503D"/>
    <w:rsid w:val="00A84CAA"/>
    <w:rsid w:val="00A854D7"/>
    <w:rsid w:val="00A9141F"/>
    <w:rsid w:val="00A93A09"/>
    <w:rsid w:val="00A94739"/>
    <w:rsid w:val="00A9510D"/>
    <w:rsid w:val="00A97586"/>
    <w:rsid w:val="00A976EA"/>
    <w:rsid w:val="00AA1D79"/>
    <w:rsid w:val="00AA5088"/>
    <w:rsid w:val="00AB4495"/>
    <w:rsid w:val="00AC433B"/>
    <w:rsid w:val="00AC55FF"/>
    <w:rsid w:val="00AD31C8"/>
    <w:rsid w:val="00AD67A5"/>
    <w:rsid w:val="00AF2782"/>
    <w:rsid w:val="00AF508C"/>
    <w:rsid w:val="00AF5D71"/>
    <w:rsid w:val="00B0597B"/>
    <w:rsid w:val="00B16619"/>
    <w:rsid w:val="00B2087A"/>
    <w:rsid w:val="00B21109"/>
    <w:rsid w:val="00B24415"/>
    <w:rsid w:val="00B30BDD"/>
    <w:rsid w:val="00B3126C"/>
    <w:rsid w:val="00B31C7F"/>
    <w:rsid w:val="00B35477"/>
    <w:rsid w:val="00B368D0"/>
    <w:rsid w:val="00B437CB"/>
    <w:rsid w:val="00B4580C"/>
    <w:rsid w:val="00B50A7D"/>
    <w:rsid w:val="00B556D8"/>
    <w:rsid w:val="00B7150E"/>
    <w:rsid w:val="00B73602"/>
    <w:rsid w:val="00B73A45"/>
    <w:rsid w:val="00B937C8"/>
    <w:rsid w:val="00B964FF"/>
    <w:rsid w:val="00B976BD"/>
    <w:rsid w:val="00BC1793"/>
    <w:rsid w:val="00BC18A6"/>
    <w:rsid w:val="00BC4E05"/>
    <w:rsid w:val="00BC5C0F"/>
    <w:rsid w:val="00BC67FB"/>
    <w:rsid w:val="00BD0FA0"/>
    <w:rsid w:val="00BD27B6"/>
    <w:rsid w:val="00BD2BF6"/>
    <w:rsid w:val="00BE19FB"/>
    <w:rsid w:val="00BE1B1A"/>
    <w:rsid w:val="00BE33C0"/>
    <w:rsid w:val="00BE3780"/>
    <w:rsid w:val="00BE5F7A"/>
    <w:rsid w:val="00BF0983"/>
    <w:rsid w:val="00BF249C"/>
    <w:rsid w:val="00BF6084"/>
    <w:rsid w:val="00BF702D"/>
    <w:rsid w:val="00C063E5"/>
    <w:rsid w:val="00C215BC"/>
    <w:rsid w:val="00C21D8E"/>
    <w:rsid w:val="00C36EE3"/>
    <w:rsid w:val="00C42807"/>
    <w:rsid w:val="00C4395B"/>
    <w:rsid w:val="00C4429C"/>
    <w:rsid w:val="00C51014"/>
    <w:rsid w:val="00C5107C"/>
    <w:rsid w:val="00C61C20"/>
    <w:rsid w:val="00C63D48"/>
    <w:rsid w:val="00C64B23"/>
    <w:rsid w:val="00C70572"/>
    <w:rsid w:val="00C75A61"/>
    <w:rsid w:val="00C76166"/>
    <w:rsid w:val="00C82A12"/>
    <w:rsid w:val="00C85D3A"/>
    <w:rsid w:val="00C9787B"/>
    <w:rsid w:val="00CA5158"/>
    <w:rsid w:val="00CA62FA"/>
    <w:rsid w:val="00CB2BD9"/>
    <w:rsid w:val="00CB594F"/>
    <w:rsid w:val="00CB5CA4"/>
    <w:rsid w:val="00CB6C68"/>
    <w:rsid w:val="00CC2ED3"/>
    <w:rsid w:val="00CC7D80"/>
    <w:rsid w:val="00CE2520"/>
    <w:rsid w:val="00CE4CA2"/>
    <w:rsid w:val="00D02523"/>
    <w:rsid w:val="00D02EF4"/>
    <w:rsid w:val="00D14C6E"/>
    <w:rsid w:val="00D34327"/>
    <w:rsid w:val="00D34E62"/>
    <w:rsid w:val="00D37A51"/>
    <w:rsid w:val="00D41301"/>
    <w:rsid w:val="00D44B6D"/>
    <w:rsid w:val="00D50A5C"/>
    <w:rsid w:val="00D5452B"/>
    <w:rsid w:val="00D57F9B"/>
    <w:rsid w:val="00D67A40"/>
    <w:rsid w:val="00D763E2"/>
    <w:rsid w:val="00D820B1"/>
    <w:rsid w:val="00D907AB"/>
    <w:rsid w:val="00D94763"/>
    <w:rsid w:val="00DA5274"/>
    <w:rsid w:val="00DC0512"/>
    <w:rsid w:val="00DC4418"/>
    <w:rsid w:val="00DD526F"/>
    <w:rsid w:val="00DE0807"/>
    <w:rsid w:val="00DE0AEC"/>
    <w:rsid w:val="00DE129F"/>
    <w:rsid w:val="00DE3357"/>
    <w:rsid w:val="00DE4012"/>
    <w:rsid w:val="00E144E5"/>
    <w:rsid w:val="00E15703"/>
    <w:rsid w:val="00E16CAB"/>
    <w:rsid w:val="00E20F56"/>
    <w:rsid w:val="00E24B21"/>
    <w:rsid w:val="00E24F8F"/>
    <w:rsid w:val="00E47B92"/>
    <w:rsid w:val="00E53A41"/>
    <w:rsid w:val="00E7673D"/>
    <w:rsid w:val="00E80BB2"/>
    <w:rsid w:val="00E9719A"/>
    <w:rsid w:val="00EA7152"/>
    <w:rsid w:val="00EB140E"/>
    <w:rsid w:val="00ED0267"/>
    <w:rsid w:val="00ED3175"/>
    <w:rsid w:val="00ED565F"/>
    <w:rsid w:val="00EE3D30"/>
    <w:rsid w:val="00EE4781"/>
    <w:rsid w:val="00EE67DB"/>
    <w:rsid w:val="00EF1C25"/>
    <w:rsid w:val="00EF2400"/>
    <w:rsid w:val="00EF51EC"/>
    <w:rsid w:val="00F03C70"/>
    <w:rsid w:val="00F07D8E"/>
    <w:rsid w:val="00F106E9"/>
    <w:rsid w:val="00F2319C"/>
    <w:rsid w:val="00F234BC"/>
    <w:rsid w:val="00F2534A"/>
    <w:rsid w:val="00F26D0B"/>
    <w:rsid w:val="00F26E69"/>
    <w:rsid w:val="00F36902"/>
    <w:rsid w:val="00F42FC6"/>
    <w:rsid w:val="00F44A0A"/>
    <w:rsid w:val="00F4672A"/>
    <w:rsid w:val="00F57E06"/>
    <w:rsid w:val="00F60187"/>
    <w:rsid w:val="00F610E2"/>
    <w:rsid w:val="00F625E4"/>
    <w:rsid w:val="00F737B2"/>
    <w:rsid w:val="00F763D9"/>
    <w:rsid w:val="00F81088"/>
    <w:rsid w:val="00F91169"/>
    <w:rsid w:val="00F936C9"/>
    <w:rsid w:val="00FA5503"/>
    <w:rsid w:val="00FA6750"/>
    <w:rsid w:val="00FC1F34"/>
    <w:rsid w:val="00FE1B53"/>
    <w:rsid w:val="00FF0600"/>
    <w:rsid w:val="00FF07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9E2B1D"/>
  <w15:docId w15:val="{A648419B-4949-438C-A56B-12858B6BB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31" w:hanging="331"/>
      <w:outlineLvl w:val="0"/>
    </w:pPr>
    <w:rPr>
      <w:rFonts w:ascii="Calibri" w:eastAsia="Calibri" w:hAnsi="Calibri"/>
      <w:sz w:val="32"/>
      <w:szCs w:val="32"/>
    </w:rPr>
  </w:style>
  <w:style w:type="paragraph" w:styleId="Heading2">
    <w:name w:val="heading 2"/>
    <w:basedOn w:val="Normal"/>
    <w:uiPriority w:val="1"/>
    <w:qFormat/>
    <w:pPr>
      <w:ind w:left="460" w:hanging="360"/>
      <w:outlineLvl w:val="1"/>
    </w:pPr>
    <w:rPr>
      <w:rFonts w:ascii="Calibri" w:eastAsia="Calibri" w:hAnsi="Calibr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307" w:hanging="207"/>
    </w:pPr>
    <w:rPr>
      <w:rFonts w:ascii="Calibri" w:eastAsia="Calibri" w:hAnsi="Calibri"/>
      <w:sz w:val="20"/>
      <w:szCs w:val="20"/>
    </w:rPr>
  </w:style>
  <w:style w:type="paragraph" w:styleId="TOC2">
    <w:name w:val="toc 2"/>
    <w:basedOn w:val="Normal"/>
    <w:uiPriority w:val="1"/>
    <w:qFormat/>
    <w:pPr>
      <w:ind w:left="1060" w:hanging="720"/>
    </w:pPr>
    <w:rPr>
      <w:rFonts w:ascii="Calibri" w:eastAsia="Calibri" w:hAnsi="Calibri"/>
      <w:sz w:val="16"/>
      <w:szCs w:val="16"/>
    </w:rPr>
  </w:style>
  <w:style w:type="paragraph" w:styleId="TOC3">
    <w:name w:val="toc 3"/>
    <w:basedOn w:val="Normal"/>
    <w:uiPriority w:val="1"/>
    <w:qFormat/>
    <w:pPr>
      <w:ind w:left="629" w:hanging="289"/>
    </w:pPr>
    <w:rPr>
      <w:rFonts w:ascii="Calibri" w:eastAsia="Calibri" w:hAnsi="Calibri"/>
      <w:b/>
      <w:bCs/>
      <w:i/>
    </w:rPr>
  </w:style>
  <w:style w:type="paragraph" w:styleId="BodyText">
    <w:name w:val="Body Text"/>
    <w:basedOn w:val="Normal"/>
    <w:uiPriority w:val="1"/>
    <w:qFormat/>
    <w:pPr>
      <w:ind w:left="10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E11F0"/>
    <w:rPr>
      <w:rFonts w:ascii="Tahoma" w:hAnsi="Tahoma" w:cs="Tahoma"/>
      <w:sz w:val="16"/>
      <w:szCs w:val="16"/>
    </w:rPr>
  </w:style>
  <w:style w:type="character" w:customStyle="1" w:styleId="BalloonTextChar">
    <w:name w:val="Balloon Text Char"/>
    <w:basedOn w:val="DefaultParagraphFont"/>
    <w:link w:val="BalloonText"/>
    <w:uiPriority w:val="99"/>
    <w:semiHidden/>
    <w:rsid w:val="002E11F0"/>
    <w:rPr>
      <w:rFonts w:ascii="Tahoma" w:hAnsi="Tahoma" w:cs="Tahoma"/>
      <w:sz w:val="16"/>
      <w:szCs w:val="16"/>
    </w:rPr>
  </w:style>
  <w:style w:type="paragraph" w:styleId="Header">
    <w:name w:val="header"/>
    <w:basedOn w:val="Normal"/>
    <w:link w:val="HeaderChar"/>
    <w:uiPriority w:val="99"/>
    <w:unhideWhenUsed/>
    <w:rsid w:val="004C084B"/>
    <w:pPr>
      <w:tabs>
        <w:tab w:val="center" w:pos="4513"/>
        <w:tab w:val="right" w:pos="9026"/>
      </w:tabs>
    </w:pPr>
  </w:style>
  <w:style w:type="character" w:customStyle="1" w:styleId="HeaderChar">
    <w:name w:val="Header Char"/>
    <w:basedOn w:val="DefaultParagraphFont"/>
    <w:link w:val="Header"/>
    <w:uiPriority w:val="99"/>
    <w:qFormat/>
    <w:rsid w:val="004C084B"/>
  </w:style>
  <w:style w:type="paragraph" w:styleId="Footer">
    <w:name w:val="footer"/>
    <w:basedOn w:val="Normal"/>
    <w:link w:val="FooterChar"/>
    <w:uiPriority w:val="99"/>
    <w:unhideWhenUsed/>
    <w:rsid w:val="004C084B"/>
    <w:pPr>
      <w:tabs>
        <w:tab w:val="center" w:pos="4513"/>
        <w:tab w:val="right" w:pos="9026"/>
      </w:tabs>
    </w:pPr>
  </w:style>
  <w:style w:type="character" w:customStyle="1" w:styleId="FooterChar">
    <w:name w:val="Footer Char"/>
    <w:basedOn w:val="DefaultParagraphFont"/>
    <w:link w:val="Footer"/>
    <w:uiPriority w:val="99"/>
    <w:qFormat/>
    <w:rsid w:val="004C084B"/>
  </w:style>
  <w:style w:type="paragraph" w:customStyle="1" w:styleId="MLAfinalreportText">
    <w:name w:val="MLA final report Text"/>
    <w:basedOn w:val="Normal"/>
    <w:link w:val="MLAfinalreportTextCharChar"/>
    <w:autoRedefine/>
    <w:rsid w:val="006D6347"/>
    <w:pPr>
      <w:widowControl/>
      <w:jc w:val="center"/>
    </w:pPr>
    <w:rPr>
      <w:rFonts w:eastAsiaTheme="minorEastAsia" w:cs="Times New Roman"/>
      <w:b/>
      <w:sz w:val="20"/>
      <w:szCs w:val="20"/>
      <w:lang w:val="en-AU"/>
    </w:rPr>
  </w:style>
  <w:style w:type="character" w:customStyle="1" w:styleId="MLAfinalreportTextCharChar">
    <w:name w:val="MLA final report Text Char Char"/>
    <w:link w:val="MLAfinalreportText"/>
    <w:rsid w:val="006D6347"/>
    <w:rPr>
      <w:rFonts w:eastAsiaTheme="minorEastAsia" w:cs="Times New Roman"/>
      <w:b/>
      <w:sz w:val="20"/>
      <w:szCs w:val="20"/>
      <w:lang w:val="en-AU"/>
    </w:rPr>
  </w:style>
  <w:style w:type="paragraph" w:styleId="FootnoteText">
    <w:name w:val="footnote text"/>
    <w:basedOn w:val="Normal"/>
    <w:link w:val="FootnoteTextChar"/>
    <w:uiPriority w:val="99"/>
    <w:rsid w:val="006D6347"/>
    <w:pPr>
      <w:widowControl/>
    </w:pPr>
    <w:rPr>
      <w:rFonts w:ascii="Arial" w:eastAsiaTheme="minorEastAsia" w:hAnsi="Arial" w:cs="Times New Roman"/>
      <w:sz w:val="20"/>
      <w:szCs w:val="20"/>
      <w:lang w:val="en-AU"/>
    </w:rPr>
  </w:style>
  <w:style w:type="character" w:customStyle="1" w:styleId="FootnoteTextChar">
    <w:name w:val="Footnote Text Char"/>
    <w:basedOn w:val="DefaultParagraphFont"/>
    <w:link w:val="FootnoteText"/>
    <w:uiPriority w:val="99"/>
    <w:rsid w:val="006D6347"/>
    <w:rPr>
      <w:rFonts w:ascii="Arial" w:eastAsiaTheme="minorEastAsia" w:hAnsi="Arial" w:cs="Times New Roman"/>
      <w:sz w:val="20"/>
      <w:szCs w:val="20"/>
      <w:lang w:val="en-AU"/>
    </w:rPr>
  </w:style>
  <w:style w:type="character" w:styleId="FootnoteReference">
    <w:name w:val="footnote reference"/>
    <w:uiPriority w:val="99"/>
    <w:rsid w:val="006D6347"/>
    <w:rPr>
      <w:vertAlign w:val="superscript"/>
    </w:rPr>
  </w:style>
  <w:style w:type="table" w:styleId="TableGrid">
    <w:name w:val="Table Grid"/>
    <w:basedOn w:val="TableNormal"/>
    <w:uiPriority w:val="39"/>
    <w:rsid w:val="009C4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5D54"/>
    <w:rPr>
      <w:color w:val="0000FF"/>
      <w:u w:val="single"/>
    </w:rPr>
  </w:style>
  <w:style w:type="paragraph" w:styleId="Revision">
    <w:name w:val="Revision"/>
    <w:hidden/>
    <w:uiPriority w:val="99"/>
    <w:semiHidden/>
    <w:rsid w:val="006F12FA"/>
    <w:pPr>
      <w:widowControl/>
    </w:pPr>
  </w:style>
  <w:style w:type="character" w:styleId="UnresolvedMention">
    <w:name w:val="Unresolved Mention"/>
    <w:basedOn w:val="DefaultParagraphFont"/>
    <w:uiPriority w:val="99"/>
    <w:semiHidden/>
    <w:unhideWhenUsed/>
    <w:rsid w:val="00E53A41"/>
    <w:rPr>
      <w:color w:val="605E5C"/>
      <w:shd w:val="clear" w:color="auto" w:fill="E1DFDD"/>
    </w:rPr>
  </w:style>
  <w:style w:type="paragraph" w:styleId="Title">
    <w:name w:val="Title"/>
    <w:basedOn w:val="Normal"/>
    <w:next w:val="Normal"/>
    <w:link w:val="TitleChar"/>
    <w:uiPriority w:val="10"/>
    <w:qFormat/>
    <w:rsid w:val="00C76166"/>
    <w:pPr>
      <w:widowControl/>
      <w:spacing w:after="360" w:line="280" w:lineRule="atLeast"/>
      <w:contextualSpacing/>
    </w:pPr>
    <w:rPr>
      <w:rFonts w:ascii="Arial" w:eastAsiaTheme="majorEastAsia" w:hAnsi="Arial" w:cs="Times New Roman (Headings CS)"/>
      <w:b/>
      <w:color w:val="005B7F"/>
      <w:kern w:val="28"/>
      <w:sz w:val="44"/>
      <w:szCs w:val="56"/>
      <w:lang w:val="en-AU"/>
    </w:rPr>
  </w:style>
  <w:style w:type="character" w:customStyle="1" w:styleId="TitleChar">
    <w:name w:val="Title Char"/>
    <w:basedOn w:val="DefaultParagraphFont"/>
    <w:link w:val="Title"/>
    <w:uiPriority w:val="10"/>
    <w:rsid w:val="00C76166"/>
    <w:rPr>
      <w:rFonts w:ascii="Arial" w:eastAsiaTheme="majorEastAsia" w:hAnsi="Arial" w:cs="Times New Roman (Headings CS)"/>
      <w:b/>
      <w:color w:val="005B7F"/>
      <w:kern w:val="28"/>
      <w:sz w:val="44"/>
      <w:szCs w:val="56"/>
      <w:lang w:val="en-AU"/>
    </w:rPr>
  </w:style>
  <w:style w:type="paragraph" w:customStyle="1" w:styleId="Default">
    <w:name w:val="Default"/>
    <w:rsid w:val="00C76166"/>
    <w:pPr>
      <w:widowControl/>
      <w:autoSpaceDE w:val="0"/>
      <w:autoSpaceDN w:val="0"/>
      <w:adjustRightInd w:val="0"/>
    </w:pPr>
    <w:rPr>
      <w:rFonts w:ascii="Arial" w:hAnsi="Arial" w:cs="Arial"/>
      <w:color w:val="000000"/>
      <w:sz w:val="24"/>
      <w:szCs w:val="24"/>
      <w:lang w:val="en-GB"/>
      <w14:ligatures w14:val="standardContextual"/>
    </w:rPr>
  </w:style>
  <w:style w:type="paragraph" w:styleId="NormalWeb">
    <w:name w:val="Normal (Web)"/>
    <w:basedOn w:val="Normal"/>
    <w:uiPriority w:val="99"/>
    <w:unhideWhenUsed/>
    <w:rsid w:val="00FF07B1"/>
    <w:pPr>
      <w:widowControl/>
      <w:spacing w:before="100" w:beforeAutospacing="1" w:after="100" w:afterAutospacing="1"/>
    </w:pPr>
    <w:rPr>
      <w:rFonts w:ascii="Times New Roman" w:eastAsia="Times New Roman" w:hAnsi="Times New Roman" w:cs="Times New Roman"/>
      <w:sz w:val="24"/>
      <w:szCs w:val="24"/>
      <w:lang w:val="en-AU" w:eastAsia="en-GB"/>
    </w:rPr>
  </w:style>
  <w:style w:type="paragraph" w:customStyle="1" w:styleId="Abstract">
    <w:name w:val="Abstract"/>
    <w:basedOn w:val="Normal"/>
    <w:qFormat/>
    <w:rsid w:val="007E2B8C"/>
    <w:pPr>
      <w:widowControl/>
      <w:spacing w:line="360" w:lineRule="auto"/>
      <w:jc w:val="both"/>
    </w:pPr>
    <w:rPr>
      <w:rFonts w:ascii="Calibri" w:eastAsia="Calibri" w:hAnsi="Calibri" w:cs="Times New Roman"/>
      <w:b/>
      <w:sz w:val="24"/>
      <w:lang w:val="en-AU"/>
    </w:rPr>
  </w:style>
  <w:style w:type="character" w:styleId="CommentReference">
    <w:name w:val="annotation reference"/>
    <w:basedOn w:val="DefaultParagraphFont"/>
    <w:uiPriority w:val="99"/>
    <w:semiHidden/>
    <w:unhideWhenUsed/>
    <w:rsid w:val="00BE5F7A"/>
    <w:rPr>
      <w:sz w:val="16"/>
      <w:szCs w:val="16"/>
    </w:rPr>
  </w:style>
  <w:style w:type="paragraph" w:styleId="CommentText">
    <w:name w:val="annotation text"/>
    <w:basedOn w:val="Normal"/>
    <w:link w:val="CommentTextChar"/>
    <w:uiPriority w:val="99"/>
    <w:unhideWhenUsed/>
    <w:rsid w:val="00BE5F7A"/>
    <w:rPr>
      <w:sz w:val="20"/>
      <w:szCs w:val="20"/>
    </w:rPr>
  </w:style>
  <w:style w:type="character" w:customStyle="1" w:styleId="CommentTextChar">
    <w:name w:val="Comment Text Char"/>
    <w:basedOn w:val="DefaultParagraphFont"/>
    <w:link w:val="CommentText"/>
    <w:uiPriority w:val="99"/>
    <w:rsid w:val="00BE5F7A"/>
    <w:rPr>
      <w:sz w:val="20"/>
      <w:szCs w:val="20"/>
    </w:rPr>
  </w:style>
  <w:style w:type="paragraph" w:styleId="CommentSubject">
    <w:name w:val="annotation subject"/>
    <w:basedOn w:val="CommentText"/>
    <w:next w:val="CommentText"/>
    <w:link w:val="CommentSubjectChar"/>
    <w:uiPriority w:val="99"/>
    <w:semiHidden/>
    <w:unhideWhenUsed/>
    <w:rsid w:val="00BE5F7A"/>
    <w:rPr>
      <w:b/>
      <w:bCs/>
    </w:rPr>
  </w:style>
  <w:style w:type="character" w:customStyle="1" w:styleId="CommentSubjectChar">
    <w:name w:val="Comment Subject Char"/>
    <w:basedOn w:val="CommentTextChar"/>
    <w:link w:val="CommentSubject"/>
    <w:uiPriority w:val="99"/>
    <w:semiHidden/>
    <w:rsid w:val="00BE5F7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659831">
      <w:bodyDiv w:val="1"/>
      <w:marLeft w:val="0"/>
      <w:marRight w:val="0"/>
      <w:marTop w:val="0"/>
      <w:marBottom w:val="0"/>
      <w:divBdr>
        <w:top w:val="none" w:sz="0" w:space="0" w:color="auto"/>
        <w:left w:val="none" w:sz="0" w:space="0" w:color="auto"/>
        <w:bottom w:val="none" w:sz="0" w:space="0" w:color="auto"/>
        <w:right w:val="none" w:sz="0" w:space="0" w:color="auto"/>
      </w:divBdr>
    </w:div>
    <w:div w:id="799491022">
      <w:bodyDiv w:val="1"/>
      <w:marLeft w:val="0"/>
      <w:marRight w:val="0"/>
      <w:marTop w:val="0"/>
      <w:marBottom w:val="0"/>
      <w:divBdr>
        <w:top w:val="none" w:sz="0" w:space="0" w:color="auto"/>
        <w:left w:val="none" w:sz="0" w:space="0" w:color="auto"/>
        <w:bottom w:val="none" w:sz="0" w:space="0" w:color="auto"/>
        <w:right w:val="none" w:sz="0" w:space="0" w:color="auto"/>
      </w:divBdr>
    </w:div>
    <w:div w:id="1445613263">
      <w:bodyDiv w:val="1"/>
      <w:marLeft w:val="0"/>
      <w:marRight w:val="0"/>
      <w:marTop w:val="0"/>
      <w:marBottom w:val="0"/>
      <w:divBdr>
        <w:top w:val="none" w:sz="0" w:space="0" w:color="auto"/>
        <w:left w:val="none" w:sz="0" w:space="0" w:color="auto"/>
        <w:bottom w:val="none" w:sz="0" w:space="0" w:color="auto"/>
        <w:right w:val="none" w:sz="0" w:space="0" w:color="auto"/>
      </w:divBdr>
    </w:div>
    <w:div w:id="1586068249">
      <w:bodyDiv w:val="1"/>
      <w:marLeft w:val="0"/>
      <w:marRight w:val="0"/>
      <w:marTop w:val="0"/>
      <w:marBottom w:val="0"/>
      <w:divBdr>
        <w:top w:val="none" w:sz="0" w:space="0" w:color="auto"/>
        <w:left w:val="none" w:sz="0" w:space="0" w:color="auto"/>
        <w:bottom w:val="none" w:sz="0" w:space="0" w:color="auto"/>
        <w:right w:val="none" w:sz="0" w:space="0" w:color="auto"/>
      </w:divBdr>
      <w:divsChild>
        <w:div w:id="2028940642">
          <w:marLeft w:val="0"/>
          <w:marRight w:val="0"/>
          <w:marTop w:val="0"/>
          <w:marBottom w:val="0"/>
          <w:divBdr>
            <w:top w:val="none" w:sz="0" w:space="0" w:color="auto"/>
            <w:left w:val="none" w:sz="0" w:space="0" w:color="auto"/>
            <w:bottom w:val="none" w:sz="0" w:space="0" w:color="auto"/>
            <w:right w:val="none" w:sz="0" w:space="0" w:color="auto"/>
          </w:divBdr>
        </w:div>
        <w:div w:id="650335140">
          <w:marLeft w:val="0"/>
          <w:marRight w:val="0"/>
          <w:marTop w:val="0"/>
          <w:marBottom w:val="0"/>
          <w:divBdr>
            <w:top w:val="none" w:sz="0" w:space="0" w:color="auto"/>
            <w:left w:val="none" w:sz="0" w:space="0" w:color="auto"/>
            <w:bottom w:val="none" w:sz="0" w:space="0" w:color="auto"/>
            <w:right w:val="none" w:sz="0" w:space="0" w:color="auto"/>
          </w:divBdr>
        </w:div>
      </w:divsChild>
    </w:div>
    <w:div w:id="1618878330">
      <w:bodyDiv w:val="1"/>
      <w:marLeft w:val="0"/>
      <w:marRight w:val="0"/>
      <w:marTop w:val="0"/>
      <w:marBottom w:val="0"/>
      <w:divBdr>
        <w:top w:val="none" w:sz="0" w:space="0" w:color="auto"/>
        <w:left w:val="none" w:sz="0" w:space="0" w:color="auto"/>
        <w:bottom w:val="none" w:sz="0" w:space="0" w:color="auto"/>
        <w:right w:val="none" w:sz="0" w:space="0" w:color="auto"/>
      </w:divBdr>
    </w:div>
    <w:div w:id="1802765534">
      <w:bodyDiv w:val="1"/>
      <w:marLeft w:val="0"/>
      <w:marRight w:val="0"/>
      <w:marTop w:val="0"/>
      <w:marBottom w:val="0"/>
      <w:divBdr>
        <w:top w:val="none" w:sz="0" w:space="0" w:color="auto"/>
        <w:left w:val="none" w:sz="0" w:space="0" w:color="auto"/>
        <w:bottom w:val="none" w:sz="0" w:space="0" w:color="auto"/>
        <w:right w:val="none" w:sz="0" w:space="0" w:color="auto"/>
      </w:divBdr>
    </w:div>
    <w:div w:id="2098164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3.xml"/><Relationship Id="rId18" Type="http://schemas.openxmlformats.org/officeDocument/2006/relationships/hyperlink" Target="https://www.abs.gov.au/AUSSTATS/abs%40.nsf/DetailsPage/6345.0Jun%202019?OpenDocument" TargetMode="External"/><Relationship Id="rId26" Type="http://schemas.openxmlformats.org/officeDocument/2006/relationships/hyperlink" Target="https://apo.org.au/organisation/84183" TargetMode="External"/><Relationship Id="rId3" Type="http://schemas.openxmlformats.org/officeDocument/2006/relationships/styles" Target="styles.xml"/><Relationship Id="rId21" Type="http://schemas.openxmlformats.org/officeDocument/2006/relationships/hyperlink" Target="http://www.accc.gov.au/system/files/Issues%20paper%2011%20Feb%2008.pdf" TargetMode="Externa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hyperlink" Target="https://www.abs.gov.au/AUSSTATS/abs@.nsf/DetailsPage/6401.0Junper%20cent202019?OpenDoc" TargetMode="External"/><Relationship Id="rId25" Type="http://schemas.openxmlformats.org/officeDocument/2006/relationships/hyperlink" Target="http://www.oecd.org/daf/competition/competition-issues-in-food-chain.htm" TargetMode="External"/><Relationship Id="rId2" Type="http://schemas.openxmlformats.org/officeDocument/2006/relationships/numbering" Target="numbering.xml"/><Relationship Id="rId16" Type="http://schemas.openxmlformats.org/officeDocument/2006/relationships/hyperlink" Target="http://www.agriculture.gov.au/abares/research-" TargetMode="External"/><Relationship Id="rId20" Type="http://schemas.openxmlformats.org/officeDocument/2006/relationships/hyperlink" Target="http://www.accc.gov.au/publications/examination-of-the-prices-paid-"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accc.gov.au/inquiries-and-consultations/supermarkets-inquiry-2024-25/"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www.accc.gov.au/focus-areas/market-studies/cattle-and-" TargetMode="External"/><Relationship Id="rId28" Type="http://schemas.openxmlformats.org/officeDocument/2006/relationships/header" Target="header3.xml"/><Relationship Id="rId10" Type="http://schemas.openxmlformats.org/officeDocument/2006/relationships/footer" Target="footer1.xml"/><Relationship Id="rId19" Type="http://schemas.openxmlformats.org/officeDocument/2006/relationships/hyperlink" Target="http://www.accc.gov.au/publications/report-on-prices-paid-to-suppliers-by-retailers-i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4.xml"/><Relationship Id="rId22" Type="http://schemas.openxmlformats.org/officeDocument/2006/relationships/hyperlink" Target="http://www.accc.gov.au/focus-" TargetMode="External"/><Relationship Id="rId27" Type="http://schemas.openxmlformats.org/officeDocument/2006/relationships/hyperlink" Target="https://apo.org.au/organisation/62353"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AMPC%20project\meatp.xlsm"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MPC%20project\meatp.xlsm"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MPC%20project\meatp.xlsm"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MPC%20project\Data%20sets\chicken.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27800158983492"/>
          <c:y val="0.16558818897637795"/>
          <c:w val="0.65102040816326534"/>
          <c:h val="0.73897058823529416"/>
        </c:manualLayout>
      </c:layout>
      <c:lineChart>
        <c:grouping val="standard"/>
        <c:varyColors val="0"/>
        <c:ser>
          <c:idx val="0"/>
          <c:order val="0"/>
          <c:tx>
            <c:v>nominal beef margin</c:v>
          </c:tx>
          <c:spPr>
            <a:ln w="12700">
              <a:solidFill>
                <a:srgbClr val="000000"/>
              </a:solidFill>
              <a:prstDash val="solid"/>
            </a:ln>
          </c:spPr>
          <c:marker>
            <c:symbol val="square"/>
            <c:size val="5"/>
            <c:spPr>
              <a:solidFill>
                <a:srgbClr val="FF0000"/>
              </a:solidFill>
              <a:ln>
                <a:solidFill>
                  <a:srgbClr val="000000"/>
                </a:solidFill>
                <a:prstDash val="solid"/>
              </a:ln>
            </c:spPr>
          </c:marker>
          <c:val>
            <c:numRef>
              <c:f>Sheet1!$J$2:$J$53</c:f>
              <c:numCache>
                <c:formatCode>0.00</c:formatCode>
                <c:ptCount val="52"/>
                <c:pt idx="0">
                  <c:v>121.4835264133457</c:v>
                </c:pt>
                <c:pt idx="1">
                  <c:v>130.93637627432807</c:v>
                </c:pt>
                <c:pt idx="2">
                  <c:v>136.37889249304914</c:v>
                </c:pt>
                <c:pt idx="3">
                  <c:v>158.77075996292865</c:v>
                </c:pt>
                <c:pt idx="4">
                  <c:v>194.13855421686748</c:v>
                </c:pt>
                <c:pt idx="5">
                  <c:v>182.39265523632994</c:v>
                </c:pt>
                <c:pt idx="6">
                  <c:v>194.56617238183503</c:v>
                </c:pt>
                <c:pt idx="7">
                  <c:v>211.32474513438368</c:v>
                </c:pt>
                <c:pt idx="8">
                  <c:v>229.96144578313252</c:v>
                </c:pt>
                <c:pt idx="9">
                  <c:v>330.3162418906395</c:v>
                </c:pt>
                <c:pt idx="10">
                  <c:v>404.30000000000007</c:v>
                </c:pt>
                <c:pt idx="11">
                  <c:v>418.3</c:v>
                </c:pt>
                <c:pt idx="12">
                  <c:v>432.59999999999997</c:v>
                </c:pt>
                <c:pt idx="13">
                  <c:v>468.79999999999995</c:v>
                </c:pt>
                <c:pt idx="14">
                  <c:v>486.90000000000003</c:v>
                </c:pt>
                <c:pt idx="15">
                  <c:v>511.3</c:v>
                </c:pt>
                <c:pt idx="16">
                  <c:v>534</c:v>
                </c:pt>
                <c:pt idx="17">
                  <c:v>560.29999999999995</c:v>
                </c:pt>
                <c:pt idx="18">
                  <c:v>610.9</c:v>
                </c:pt>
                <c:pt idx="19">
                  <c:v>696.4</c:v>
                </c:pt>
                <c:pt idx="20">
                  <c:v>748.2</c:v>
                </c:pt>
                <c:pt idx="21">
                  <c:v>771.9</c:v>
                </c:pt>
                <c:pt idx="22">
                  <c:v>763.40000000000009</c:v>
                </c:pt>
                <c:pt idx="23">
                  <c:v>745.1</c:v>
                </c:pt>
                <c:pt idx="24">
                  <c:v>774.8</c:v>
                </c:pt>
                <c:pt idx="25">
                  <c:v>806.40000000000009</c:v>
                </c:pt>
                <c:pt idx="26">
                  <c:v>835.7</c:v>
                </c:pt>
                <c:pt idx="27">
                  <c:v>815.4</c:v>
                </c:pt>
                <c:pt idx="28">
                  <c:v>801.3</c:v>
                </c:pt>
                <c:pt idx="29">
                  <c:v>806.5</c:v>
                </c:pt>
                <c:pt idx="30">
                  <c:v>823.9</c:v>
                </c:pt>
                <c:pt idx="31">
                  <c:v>919</c:v>
                </c:pt>
                <c:pt idx="32">
                  <c:v>1061.5999999999999</c:v>
                </c:pt>
                <c:pt idx="33">
                  <c:v>1086.1000000000001</c:v>
                </c:pt>
                <c:pt idx="34">
                  <c:v>1091.1999999999998</c:v>
                </c:pt>
                <c:pt idx="35">
                  <c:v>1185.7</c:v>
                </c:pt>
                <c:pt idx="36">
                  <c:v>1248.5</c:v>
                </c:pt>
                <c:pt idx="37">
                  <c:v>1245.5</c:v>
                </c:pt>
                <c:pt idx="38">
                  <c:v>1280</c:v>
                </c:pt>
                <c:pt idx="39">
                  <c:v>1333</c:v>
                </c:pt>
                <c:pt idx="40">
                  <c:v>1297</c:v>
                </c:pt>
                <c:pt idx="41">
                  <c:v>1212</c:v>
                </c:pt>
                <c:pt idx="42">
                  <c:v>1240</c:v>
                </c:pt>
                <c:pt idx="43">
                  <c:v>1245</c:v>
                </c:pt>
                <c:pt idx="44">
                  <c:v>1302</c:v>
                </c:pt>
                <c:pt idx="45">
                  <c:v>1306</c:v>
                </c:pt>
                <c:pt idx="46">
                  <c:v>1398</c:v>
                </c:pt>
                <c:pt idx="47">
                  <c:v>1433</c:v>
                </c:pt>
                <c:pt idx="48">
                  <c:v>1537.488547562504</c:v>
                </c:pt>
                <c:pt idx="49">
                  <c:v>1758.8932182201997</c:v>
                </c:pt>
                <c:pt idx="50">
                  <c:v>1774.0949930734218</c:v>
                </c:pt>
                <c:pt idx="51">
                  <c:v>1897.9689293489018</c:v>
                </c:pt>
              </c:numCache>
            </c:numRef>
          </c:val>
          <c:smooth val="0"/>
          <c:extLst>
            <c:ext xmlns:c16="http://schemas.microsoft.com/office/drawing/2014/chart" uri="{C3380CC4-5D6E-409C-BE32-E72D297353CC}">
              <c16:uniqueId val="{00000000-923C-49D0-9003-10EA833E98A6}"/>
            </c:ext>
          </c:extLst>
        </c:ser>
        <c:ser>
          <c:idx val="1"/>
          <c:order val="1"/>
          <c:tx>
            <c:v>real beef margin</c:v>
          </c:tx>
          <c:spPr>
            <a:ln w="12700">
              <a:solidFill>
                <a:srgbClr val="000000"/>
              </a:solidFill>
              <a:prstDash val="solid"/>
            </a:ln>
          </c:spPr>
          <c:marker>
            <c:symbol val="square"/>
            <c:size val="5"/>
            <c:spPr>
              <a:solidFill>
                <a:srgbClr val="00FF00"/>
              </a:solidFill>
              <a:ln>
                <a:solidFill>
                  <a:srgbClr val="000000"/>
                </a:solidFill>
                <a:prstDash val="solid"/>
              </a:ln>
            </c:spPr>
          </c:marker>
          <c:val>
            <c:numRef>
              <c:f>Sheet1!$K$2:$K$53</c:f>
              <c:numCache>
                <c:formatCode>General</c:formatCode>
                <c:ptCount val="52"/>
                <c:pt idx="0">
                  <c:v>1120.3130521073458</c:v>
                </c:pt>
                <c:pt idx="1">
                  <c:v>1161.2927260936674</c:v>
                </c:pt>
                <c:pt idx="2">
                  <c:v>1163.9974156978269</c:v>
                </c:pt>
                <c:pt idx="3">
                  <c:v>1255.9855971549061</c:v>
                </c:pt>
                <c:pt idx="4">
                  <c:v>1294.2570281124497</c:v>
                </c:pt>
                <c:pt idx="5">
                  <c:v>1077.6523204509892</c:v>
                </c:pt>
                <c:pt idx="6">
                  <c:v>1010.7333630225197</c:v>
                </c:pt>
                <c:pt idx="7">
                  <c:v>1000.3538231213428</c:v>
                </c:pt>
                <c:pt idx="8">
                  <c:v>1007.4981195317964</c:v>
                </c:pt>
                <c:pt idx="9">
                  <c:v>1312.0804047294519</c:v>
                </c:pt>
                <c:pt idx="10">
                  <c:v>1470.1818181818185</c:v>
                </c:pt>
                <c:pt idx="11">
                  <c:v>1377.1193415637861</c:v>
                </c:pt>
                <c:pt idx="12">
                  <c:v>1277.0479704797046</c:v>
                </c:pt>
                <c:pt idx="13">
                  <c:v>1295.027624309392</c:v>
                </c:pt>
                <c:pt idx="14">
                  <c:v>1289.8013245033112</c:v>
                </c:pt>
                <c:pt idx="15">
                  <c:v>1249.3585827733662</c:v>
                </c:pt>
                <c:pt idx="16">
                  <c:v>1193.963107881498</c:v>
                </c:pt>
                <c:pt idx="17">
                  <c:v>1166.6840187402395</c:v>
                </c:pt>
                <c:pt idx="18">
                  <c:v>1185.6380397865114</c:v>
                </c:pt>
                <c:pt idx="19">
                  <c:v>1250.8307139649753</c:v>
                </c:pt>
                <c:pt idx="20">
                  <c:v>1276.7918088737201</c:v>
                </c:pt>
                <c:pt idx="21">
                  <c:v>1292.964824120603</c:v>
                </c:pt>
                <c:pt idx="22">
                  <c:v>1265.4786572731041</c:v>
                </c:pt>
                <c:pt idx="23">
                  <c:v>1213.0240130240131</c:v>
                </c:pt>
                <c:pt idx="24">
                  <c:v>1222.0820189274448</c:v>
                </c:pt>
                <c:pt idx="25">
                  <c:v>1219.9697428139184</c:v>
                </c:pt>
                <c:pt idx="26">
                  <c:v>1247.7790220231432</c:v>
                </c:pt>
                <c:pt idx="27">
                  <c:v>1217.9238237490663</c:v>
                </c:pt>
                <c:pt idx="28">
                  <c:v>1181.858407079646</c:v>
                </c:pt>
                <c:pt idx="29">
                  <c:v>1161.6852718761254</c:v>
                </c:pt>
                <c:pt idx="30">
                  <c:v>1119.429347826087</c:v>
                </c:pt>
                <c:pt idx="31">
                  <c:v>1214.0026420079259</c:v>
                </c:pt>
                <c:pt idx="32">
                  <c:v>1361.4620070535429</c:v>
                </c:pt>
                <c:pt idx="33">
                  <c:v>1360.1753287413903</c:v>
                </c:pt>
                <c:pt idx="34">
                  <c:v>1334.393151941302</c:v>
                </c:pt>
                <c:pt idx="35">
                  <c:v>1404.8578199052133</c:v>
                </c:pt>
                <c:pt idx="36">
                  <c:v>1436.7088607594935</c:v>
                </c:pt>
                <c:pt idx="37">
                  <c:v>1386.5850264403007</c:v>
                </c:pt>
                <c:pt idx="38">
                  <c:v>1381.9163292847504</c:v>
                </c:pt>
                <c:pt idx="39">
                  <c:v>1406.4890530203111</c:v>
                </c:pt>
                <c:pt idx="40">
                  <c:v>1327.1936556664109</c:v>
                </c:pt>
                <c:pt idx="41">
                  <c:v>1212.3030757689423</c:v>
                </c:pt>
                <c:pt idx="42">
                  <c:v>1212.713936430318</c:v>
                </c:pt>
                <c:pt idx="43">
                  <c:v>1185.4320399904784</c:v>
                </c:pt>
                <c:pt idx="44">
                  <c:v>1218.8158202667914</c:v>
                </c:pt>
                <c:pt idx="45">
                  <c:v>1205.9095106186519</c:v>
                </c:pt>
                <c:pt idx="46">
                  <c:v>1269.1783931003179</c:v>
                </c:pt>
                <c:pt idx="47">
                  <c:v>1276.3304386550878</c:v>
                </c:pt>
                <c:pt idx="48">
                  <c:v>1347.1969748630922</c:v>
                </c:pt>
                <c:pt idx="49">
                  <c:v>1520.8761074104623</c:v>
                </c:pt>
                <c:pt idx="50">
                  <c:v>1509.5468990201418</c:v>
                </c:pt>
                <c:pt idx="51">
                  <c:v>1546.2068670866818</c:v>
                </c:pt>
              </c:numCache>
            </c:numRef>
          </c:val>
          <c:smooth val="0"/>
          <c:extLst>
            <c:ext xmlns:c16="http://schemas.microsoft.com/office/drawing/2014/chart" uri="{C3380CC4-5D6E-409C-BE32-E72D297353CC}">
              <c16:uniqueId val="{00000001-923C-49D0-9003-10EA833E98A6}"/>
            </c:ext>
          </c:extLst>
        </c:ser>
        <c:dLbls>
          <c:showLegendKey val="0"/>
          <c:showVal val="0"/>
          <c:showCatName val="0"/>
          <c:showSerName val="0"/>
          <c:showPercent val="0"/>
          <c:showBubbleSize val="0"/>
        </c:dLbls>
        <c:marker val="1"/>
        <c:smooth val="0"/>
        <c:axId val="1792799744"/>
        <c:axId val="1"/>
      </c:lineChart>
      <c:catAx>
        <c:axId val="1792799744"/>
        <c:scaling>
          <c:orientation val="minMax"/>
        </c:scaling>
        <c:delete val="0"/>
        <c:axPos val="b"/>
        <c:title>
          <c:tx>
            <c:rich>
              <a:bodyPr/>
              <a:lstStyle/>
              <a:p>
                <a:pPr>
                  <a:defRPr/>
                </a:pPr>
                <a:r>
                  <a:rPr lang="en-AU"/>
                  <a:t>year</a:t>
                </a:r>
              </a:p>
            </c:rich>
          </c:tx>
          <c:overlay val="0"/>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
        <c:crosses val="autoZero"/>
        <c:auto val="0"/>
        <c:lblAlgn val="ctr"/>
        <c:lblOffset val="100"/>
        <c:tickLblSkip val="3"/>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a:pPr>
                <a:r>
                  <a:rPr lang="en-AU"/>
                  <a:t>c/kg</a:t>
                </a:r>
              </a:p>
            </c:rich>
          </c:tx>
          <c:overlay val="0"/>
        </c:title>
        <c:numFmt formatCode="0.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792799744"/>
        <c:crosses val="autoZero"/>
        <c:crossBetween val="between"/>
      </c:valAx>
      <c:spPr>
        <a:solidFill>
          <a:srgbClr val="C0C0C0"/>
        </a:solidFill>
        <a:ln w="12700">
          <a:solidFill>
            <a:srgbClr val="808080"/>
          </a:solidFill>
          <a:prstDash val="solid"/>
        </a:ln>
      </c:spPr>
    </c:plotArea>
    <c:legend>
      <c:legendPos val="r"/>
      <c:layout>
        <c:manualLayout>
          <c:xMode val="edge"/>
          <c:yMode val="edge"/>
          <c:x val="0.81882750841796759"/>
          <c:y val="0.38501342400625388"/>
          <c:w val="0.16076812977257932"/>
          <c:h val="0.294257881796396"/>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0"/>
    <c:dispBlanksAs val="gap"/>
    <c:showDLblsOverMax val="0"/>
  </c:chart>
  <c:spPr>
    <a:solidFill>
      <a:srgbClr val="FFFFFF"/>
    </a:solidFill>
    <a:ln w="12700">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51546391752577"/>
          <c:y val="9.420289855072464E-2"/>
          <c:w val="0.65567010309278351"/>
          <c:h val="0.74275362318840576"/>
        </c:manualLayout>
      </c:layout>
      <c:lineChart>
        <c:grouping val="standard"/>
        <c:varyColors val="0"/>
        <c:ser>
          <c:idx val="0"/>
          <c:order val="0"/>
          <c:tx>
            <c:v>nominal lamb margin</c:v>
          </c:tx>
          <c:spPr>
            <a:ln w="12700">
              <a:solidFill>
                <a:srgbClr val="FF0000"/>
              </a:solidFill>
              <a:prstDash val="solid"/>
            </a:ln>
          </c:spPr>
          <c:marker>
            <c:symbol val="none"/>
          </c:marker>
          <c:val>
            <c:numRef>
              <c:f>Sheet1!$M$2:$M$49</c:f>
              <c:numCache>
                <c:formatCode>0.00</c:formatCode>
                <c:ptCount val="48"/>
                <c:pt idx="0">
                  <c:v>66.693073563990595</c:v>
                </c:pt>
                <c:pt idx="1">
                  <c:v>67.776075467472836</c:v>
                </c:pt>
                <c:pt idx="2">
                  <c:v>69.513508005822416</c:v>
                </c:pt>
                <c:pt idx="3">
                  <c:v>88.145152838427961</c:v>
                </c:pt>
                <c:pt idx="4">
                  <c:v>115.63269286754003</c:v>
                </c:pt>
                <c:pt idx="5">
                  <c:v>118.41007278020379</c:v>
                </c:pt>
                <c:pt idx="6">
                  <c:v>137.26209606986896</c:v>
                </c:pt>
                <c:pt idx="7">
                  <c:v>154.07633187772922</c:v>
                </c:pt>
                <c:pt idx="8">
                  <c:v>174.54983988355161</c:v>
                </c:pt>
                <c:pt idx="9">
                  <c:v>214.05342066957783</c:v>
                </c:pt>
                <c:pt idx="10">
                  <c:v>240.29999999999998</c:v>
                </c:pt>
                <c:pt idx="11">
                  <c:v>239.3</c:v>
                </c:pt>
                <c:pt idx="12">
                  <c:v>260.2</c:v>
                </c:pt>
                <c:pt idx="13">
                  <c:v>275.89999999999998</c:v>
                </c:pt>
                <c:pt idx="14">
                  <c:v>285.29999999999995</c:v>
                </c:pt>
                <c:pt idx="15">
                  <c:v>307</c:v>
                </c:pt>
                <c:pt idx="16">
                  <c:v>317</c:v>
                </c:pt>
                <c:pt idx="17">
                  <c:v>353.1</c:v>
                </c:pt>
                <c:pt idx="18">
                  <c:v>387.3</c:v>
                </c:pt>
                <c:pt idx="19">
                  <c:v>416.7</c:v>
                </c:pt>
                <c:pt idx="20">
                  <c:v>402</c:v>
                </c:pt>
                <c:pt idx="21">
                  <c:v>407.4</c:v>
                </c:pt>
                <c:pt idx="22">
                  <c:v>379.6</c:v>
                </c:pt>
                <c:pt idx="23">
                  <c:v>388.6</c:v>
                </c:pt>
                <c:pt idx="24">
                  <c:v>419.7</c:v>
                </c:pt>
                <c:pt idx="25">
                  <c:v>419.7</c:v>
                </c:pt>
                <c:pt idx="26">
                  <c:v>418.6</c:v>
                </c:pt>
                <c:pt idx="27">
                  <c:v>447.4</c:v>
                </c:pt>
                <c:pt idx="28">
                  <c:v>464.6</c:v>
                </c:pt>
                <c:pt idx="29">
                  <c:v>461.5</c:v>
                </c:pt>
                <c:pt idx="30">
                  <c:v>499.9</c:v>
                </c:pt>
                <c:pt idx="31">
                  <c:v>532.70000000000005</c:v>
                </c:pt>
                <c:pt idx="32">
                  <c:v>570.6</c:v>
                </c:pt>
                <c:pt idx="33">
                  <c:v>629</c:v>
                </c:pt>
                <c:pt idx="34">
                  <c:v>695.2</c:v>
                </c:pt>
                <c:pt idx="35">
                  <c:v>751.7</c:v>
                </c:pt>
                <c:pt idx="36">
                  <c:v>809.3</c:v>
                </c:pt>
                <c:pt idx="37">
                  <c:v>801.9</c:v>
                </c:pt>
                <c:pt idx="38">
                  <c:v>798</c:v>
                </c:pt>
                <c:pt idx="39">
                  <c:v>848</c:v>
                </c:pt>
                <c:pt idx="40">
                  <c:v>850</c:v>
                </c:pt>
                <c:pt idx="41">
                  <c:v>915</c:v>
                </c:pt>
                <c:pt idx="42">
                  <c:v>962</c:v>
                </c:pt>
                <c:pt idx="43">
                  <c:v>837</c:v>
                </c:pt>
                <c:pt idx="44">
                  <c:v>788</c:v>
                </c:pt>
                <c:pt idx="45">
                  <c:v>833</c:v>
                </c:pt>
                <c:pt idx="46">
                  <c:v>907</c:v>
                </c:pt>
                <c:pt idx="47">
                  <c:v>870</c:v>
                </c:pt>
              </c:numCache>
            </c:numRef>
          </c:val>
          <c:smooth val="0"/>
          <c:extLst>
            <c:ext xmlns:c16="http://schemas.microsoft.com/office/drawing/2014/chart" uri="{C3380CC4-5D6E-409C-BE32-E72D297353CC}">
              <c16:uniqueId val="{00000000-DCBF-4AE8-932B-416E515869E6}"/>
            </c:ext>
          </c:extLst>
        </c:ser>
        <c:ser>
          <c:idx val="1"/>
          <c:order val="1"/>
          <c:tx>
            <c:v>real lamb margin</c:v>
          </c:tx>
          <c:spPr>
            <a:ln w="12700">
              <a:solidFill>
                <a:srgbClr val="00FF00"/>
              </a:solidFill>
              <a:prstDash val="solid"/>
            </a:ln>
          </c:spPr>
          <c:marker>
            <c:symbol val="none"/>
          </c:marker>
          <c:val>
            <c:numRef>
              <c:f>Sheet1!$N$2:$N$49</c:f>
              <c:numCache>
                <c:formatCode>General</c:formatCode>
                <c:ptCount val="48"/>
                <c:pt idx="0">
                  <c:v>615.03911686486833</c:v>
                </c:pt>
                <c:pt idx="1">
                  <c:v>601.11533313438326</c:v>
                </c:pt>
                <c:pt idx="2">
                  <c:v>593.29960960778033</c:v>
                </c:pt>
                <c:pt idx="3">
                  <c:v>697.28860937576189</c:v>
                </c:pt>
                <c:pt idx="4">
                  <c:v>770.88461911693344</c:v>
                </c:pt>
                <c:pt idx="5">
                  <c:v>699.61638274861912</c:v>
                </c:pt>
                <c:pt idx="6">
                  <c:v>713.049849713605</c:v>
                </c:pt>
                <c:pt idx="7">
                  <c:v>729.35541717268268</c:v>
                </c:pt>
                <c:pt idx="8">
                  <c:v>764.7309523923401</c:v>
                </c:pt>
                <c:pt idx="9">
                  <c:v>850.26184973019986</c:v>
                </c:pt>
                <c:pt idx="10">
                  <c:v>873.81818181818187</c:v>
                </c:pt>
                <c:pt idx="11">
                  <c:v>787.81893004115227</c:v>
                </c:pt>
                <c:pt idx="12">
                  <c:v>768.11808118081183</c:v>
                </c:pt>
                <c:pt idx="13">
                  <c:v>762.15469613259654</c:v>
                </c:pt>
                <c:pt idx="14">
                  <c:v>755.7615894039734</c:v>
                </c:pt>
                <c:pt idx="15">
                  <c:v>750.15271838729382</c:v>
                </c:pt>
                <c:pt idx="16">
                  <c:v>708.775852431526</c:v>
                </c:pt>
                <c:pt idx="17">
                  <c:v>735.24206142634046</c:v>
                </c:pt>
                <c:pt idx="18">
                  <c:v>751.67394468704515</c:v>
                </c:pt>
                <c:pt idx="19">
                  <c:v>748.45083071396493</c:v>
                </c:pt>
                <c:pt idx="20">
                  <c:v>686.00682593856652</c:v>
                </c:pt>
                <c:pt idx="21">
                  <c:v>682.41206030150749</c:v>
                </c:pt>
                <c:pt idx="22">
                  <c:v>629.25818483215915</c:v>
                </c:pt>
                <c:pt idx="23">
                  <c:v>632.64143264143274</c:v>
                </c:pt>
                <c:pt idx="24">
                  <c:v>661.98738170347008</c:v>
                </c:pt>
                <c:pt idx="25">
                  <c:v>634.94704992435709</c:v>
                </c:pt>
                <c:pt idx="26">
                  <c:v>625.00933184023893</c:v>
                </c:pt>
                <c:pt idx="27">
                  <c:v>668.2598954443614</c:v>
                </c:pt>
                <c:pt idx="28">
                  <c:v>685.25073746312694</c:v>
                </c:pt>
                <c:pt idx="29">
                  <c:v>664.7461289160965</c:v>
                </c:pt>
                <c:pt idx="30">
                  <c:v>679.21195652173913</c:v>
                </c:pt>
                <c:pt idx="31">
                  <c:v>703.69881109643325</c:v>
                </c:pt>
                <c:pt idx="32">
                  <c:v>731.77300416800267</c:v>
                </c:pt>
                <c:pt idx="33">
                  <c:v>787.72698810269264</c:v>
                </c:pt>
                <c:pt idx="34">
                  <c:v>850.13757260776526</c:v>
                </c:pt>
                <c:pt idx="35">
                  <c:v>890.63981042654029</c:v>
                </c:pt>
                <c:pt idx="36">
                  <c:v>931.30034522439576</c:v>
                </c:pt>
                <c:pt idx="37">
                  <c:v>892.73587531310886</c:v>
                </c:pt>
                <c:pt idx="38">
                  <c:v>861.53846153846155</c:v>
                </c:pt>
                <c:pt idx="39">
                  <c:v>894.75072540226859</c:v>
                </c:pt>
                <c:pt idx="40">
                  <c:v>869.78766948068562</c:v>
                </c:pt>
                <c:pt idx="41">
                  <c:v>915.22880720180046</c:v>
                </c:pt>
                <c:pt idx="42">
                  <c:v>940.83129584352071</c:v>
                </c:pt>
                <c:pt idx="43">
                  <c:v>796.95310640323726</c:v>
                </c:pt>
                <c:pt idx="44">
                  <c:v>737.65504329510884</c:v>
                </c:pt>
                <c:pt idx="45">
                  <c:v>769.15974145891039</c:v>
                </c:pt>
                <c:pt idx="46">
                  <c:v>823.42260553790288</c:v>
                </c:pt>
                <c:pt idx="47">
                  <c:v>774.88309953239809</c:v>
                </c:pt>
              </c:numCache>
            </c:numRef>
          </c:val>
          <c:smooth val="0"/>
          <c:extLst>
            <c:ext xmlns:c16="http://schemas.microsoft.com/office/drawing/2014/chart" uri="{C3380CC4-5D6E-409C-BE32-E72D297353CC}">
              <c16:uniqueId val="{00000001-DCBF-4AE8-932B-416E515869E6}"/>
            </c:ext>
          </c:extLst>
        </c:ser>
        <c:dLbls>
          <c:showLegendKey val="0"/>
          <c:showVal val="0"/>
          <c:showCatName val="0"/>
          <c:showSerName val="0"/>
          <c:showPercent val="0"/>
          <c:showBubbleSize val="0"/>
        </c:dLbls>
        <c:smooth val="0"/>
        <c:axId val="251932384"/>
        <c:axId val="1"/>
      </c:lineChart>
      <c:catAx>
        <c:axId val="251932384"/>
        <c:scaling>
          <c:orientation val="minMax"/>
        </c:scaling>
        <c:delete val="0"/>
        <c:axPos val="b"/>
        <c:title>
          <c:tx>
            <c:rich>
              <a:bodyPr/>
              <a:lstStyle/>
              <a:p>
                <a:pPr>
                  <a:defRPr/>
                </a:pPr>
                <a:r>
                  <a:rPr lang="en-US"/>
                  <a:t>year</a:t>
                </a:r>
              </a:p>
            </c:rich>
          </c:tx>
          <c:overlay val="0"/>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
        <c:crosses val="autoZero"/>
        <c:auto val="0"/>
        <c:lblAlgn val="ctr"/>
        <c:lblOffset val="100"/>
        <c:tickLblSkip val="3"/>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a:pPr>
                <a:r>
                  <a:rPr lang="en-US"/>
                  <a:t>c/kg</a:t>
                </a:r>
              </a:p>
            </c:rich>
          </c:tx>
          <c:overlay val="0"/>
        </c:title>
        <c:numFmt formatCode="0.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51932384"/>
        <c:crosses val="autoZero"/>
        <c:crossBetween val="between"/>
      </c:valAx>
      <c:spPr>
        <a:solidFill>
          <a:srgbClr val="C0C0C0"/>
        </a:solidFill>
        <a:ln w="12700">
          <a:solidFill>
            <a:srgbClr val="808080"/>
          </a:solidFill>
          <a:prstDash val="solid"/>
        </a:ln>
      </c:spPr>
    </c:plotArea>
    <c:legend>
      <c:legendPos val="r"/>
      <c:layout>
        <c:manualLayout>
          <c:xMode val="edge"/>
          <c:yMode val="edge"/>
          <c:x val="0.82533679171479535"/>
          <c:y val="0.3857622285082361"/>
          <c:w val="0.15406286778676179"/>
          <c:h val="0.38573248841775226"/>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0"/>
    <c:dispBlanksAs val="gap"/>
    <c:showDLblsOverMax val="0"/>
  </c:chart>
  <c:spPr>
    <a:solidFill>
      <a:srgbClr val="FFFFFF"/>
    </a:solidFill>
    <a:ln w="12700">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52049626974631"/>
          <c:y val="9.4206176265049221E-2"/>
          <c:w val="0.65569202484629219"/>
          <c:h val="0.74277946670519579"/>
        </c:manualLayout>
      </c:layout>
      <c:lineChart>
        <c:grouping val="stacked"/>
        <c:varyColors val="0"/>
        <c:ser>
          <c:idx val="1"/>
          <c:order val="0"/>
          <c:tx>
            <c:v>nominal pork margin</c:v>
          </c:tx>
          <c:spPr>
            <a:ln w="12700">
              <a:solidFill>
                <a:srgbClr val="000000"/>
              </a:solidFill>
              <a:prstDash val="solid"/>
            </a:ln>
          </c:spPr>
          <c:marker>
            <c:symbol val="square"/>
            <c:size val="5"/>
            <c:spPr>
              <a:noFill/>
              <a:ln>
                <a:solidFill>
                  <a:srgbClr val="0000FF"/>
                </a:solidFill>
                <a:prstDash val="solid"/>
              </a:ln>
            </c:spPr>
          </c:marker>
          <c:val>
            <c:numRef>
              <c:f>Sheet1!$P$2:$P$49</c:f>
              <c:numCache>
                <c:formatCode>0.00</c:formatCode>
                <c:ptCount val="48"/>
                <c:pt idx="0">
                  <c:v>71.357225433526025</c:v>
                </c:pt>
                <c:pt idx="1">
                  <c:v>72.171098265895935</c:v>
                </c:pt>
                <c:pt idx="2">
                  <c:v>79.441040462427736</c:v>
                </c:pt>
                <c:pt idx="3">
                  <c:v>84.78843930635837</c:v>
                </c:pt>
                <c:pt idx="4">
                  <c:v>102.98323699421967</c:v>
                </c:pt>
                <c:pt idx="5">
                  <c:v>123.34393063583815</c:v>
                </c:pt>
                <c:pt idx="6">
                  <c:v>149.35491329479765</c:v>
                </c:pt>
                <c:pt idx="7">
                  <c:v>165.5</c:v>
                </c:pt>
                <c:pt idx="8">
                  <c:v>181.87109826589599</c:v>
                </c:pt>
                <c:pt idx="9">
                  <c:v>225.49942196531788</c:v>
                </c:pt>
                <c:pt idx="10">
                  <c:v>241.6</c:v>
                </c:pt>
                <c:pt idx="11">
                  <c:v>268.10000000000002</c:v>
                </c:pt>
                <c:pt idx="12">
                  <c:v>297.09999999999997</c:v>
                </c:pt>
                <c:pt idx="13">
                  <c:v>344.7</c:v>
                </c:pt>
                <c:pt idx="14">
                  <c:v>335.9</c:v>
                </c:pt>
                <c:pt idx="15">
                  <c:v>361</c:v>
                </c:pt>
                <c:pt idx="16">
                  <c:v>374.7</c:v>
                </c:pt>
                <c:pt idx="17">
                  <c:v>400.3</c:v>
                </c:pt>
                <c:pt idx="18">
                  <c:v>420.9</c:v>
                </c:pt>
                <c:pt idx="19">
                  <c:v>457.59999999999997</c:v>
                </c:pt>
                <c:pt idx="20">
                  <c:v>441.6</c:v>
                </c:pt>
                <c:pt idx="21">
                  <c:v>436.7</c:v>
                </c:pt>
                <c:pt idx="22">
                  <c:v>454.9</c:v>
                </c:pt>
                <c:pt idx="23">
                  <c:v>452</c:v>
                </c:pt>
                <c:pt idx="24">
                  <c:v>465.7</c:v>
                </c:pt>
                <c:pt idx="25">
                  <c:v>457.9</c:v>
                </c:pt>
                <c:pt idx="26">
                  <c:v>462.6</c:v>
                </c:pt>
                <c:pt idx="27">
                  <c:v>510.4</c:v>
                </c:pt>
                <c:pt idx="28">
                  <c:v>538.1</c:v>
                </c:pt>
                <c:pt idx="29">
                  <c:v>512</c:v>
                </c:pt>
                <c:pt idx="30">
                  <c:v>505.9</c:v>
                </c:pt>
                <c:pt idx="31">
                  <c:v>558.79999999999995</c:v>
                </c:pt>
                <c:pt idx="32">
                  <c:v>631.70000000000005</c:v>
                </c:pt>
                <c:pt idx="33">
                  <c:v>658.3</c:v>
                </c:pt>
                <c:pt idx="34">
                  <c:v>651.63564119194098</c:v>
                </c:pt>
                <c:pt idx="35">
                  <c:v>704.94161639044603</c:v>
                </c:pt>
                <c:pt idx="36">
                  <c:v>709.28963309519304</c:v>
                </c:pt>
                <c:pt idx="37">
                  <c:v>744.85983227718793</c:v>
                </c:pt>
                <c:pt idx="38">
                  <c:v>680.78291599160093</c:v>
                </c:pt>
                <c:pt idx="39">
                  <c:v>759.62629898653495</c:v>
                </c:pt>
                <c:pt idx="40">
                  <c:v>808.02763281411808</c:v>
                </c:pt>
                <c:pt idx="41">
                  <c:v>811</c:v>
                </c:pt>
                <c:pt idx="42">
                  <c:v>788.32621748338397</c:v>
                </c:pt>
                <c:pt idx="43">
                  <c:v>776.98435303446695</c:v>
                </c:pt>
                <c:pt idx="44">
                  <c:v>805.66559939431102</c:v>
                </c:pt>
                <c:pt idx="45">
                  <c:v>812.81635589086795</c:v>
                </c:pt>
                <c:pt idx="46">
                  <c:v>852.11753686536804</c:v>
                </c:pt>
                <c:pt idx="47">
                  <c:v>925.89796744049795</c:v>
                </c:pt>
              </c:numCache>
            </c:numRef>
          </c:val>
          <c:smooth val="0"/>
          <c:extLst>
            <c:ext xmlns:c16="http://schemas.microsoft.com/office/drawing/2014/chart" uri="{C3380CC4-5D6E-409C-BE32-E72D297353CC}">
              <c16:uniqueId val="{00000000-EEF6-4528-B26B-F20F6914B60C}"/>
            </c:ext>
          </c:extLst>
        </c:ser>
        <c:dLbls>
          <c:showLegendKey val="0"/>
          <c:showVal val="0"/>
          <c:showCatName val="0"/>
          <c:showSerName val="0"/>
          <c:showPercent val="0"/>
          <c:showBubbleSize val="0"/>
        </c:dLbls>
        <c:marker val="1"/>
        <c:smooth val="0"/>
        <c:axId val="251933344"/>
        <c:axId val="1"/>
      </c:lineChart>
      <c:lineChart>
        <c:grouping val="standard"/>
        <c:varyColors val="0"/>
        <c:ser>
          <c:idx val="0"/>
          <c:order val="1"/>
          <c:tx>
            <c:v>real pork margin</c:v>
          </c:tx>
          <c:spPr>
            <a:ln>
              <a:solidFill>
                <a:srgbClr val="000000"/>
              </a:solidFill>
            </a:ln>
          </c:spPr>
          <c:marker>
            <c:symbol val="square"/>
            <c:size val="5"/>
            <c:spPr>
              <a:solidFill>
                <a:srgbClr val="FF00FF"/>
              </a:solidFill>
              <a:ln>
                <a:solidFill>
                  <a:srgbClr val="FF00FF"/>
                </a:solidFill>
                <a:prstDash val="solid"/>
              </a:ln>
            </c:spPr>
          </c:marker>
          <c:val>
            <c:numRef>
              <c:f>Sheet1!$Q$2:$Q$49</c:f>
              <c:numCache>
                <c:formatCode>General</c:formatCode>
                <c:ptCount val="48"/>
                <c:pt idx="0">
                  <c:v>658.05161716612224</c:v>
                </c:pt>
                <c:pt idx="1">
                  <c:v>640.09539468833407</c:v>
                </c:pt>
                <c:pt idx="2">
                  <c:v>678.03135887267376</c:v>
                </c:pt>
                <c:pt idx="3">
                  <c:v>670.73470328474889</c:v>
                </c:pt>
                <c:pt idx="4">
                  <c:v>686.55491329479776</c:v>
                </c:pt>
                <c:pt idx="5">
                  <c:v>728.76768470214563</c:v>
                </c:pt>
                <c:pt idx="6">
                  <c:v>775.86967945349431</c:v>
                </c:pt>
                <c:pt idx="7">
                  <c:v>783.43195266272187</c:v>
                </c:pt>
                <c:pt idx="8">
                  <c:v>796.8065641441226</c:v>
                </c:pt>
                <c:pt idx="9">
                  <c:v>895.72759469838275</c:v>
                </c:pt>
                <c:pt idx="10">
                  <c:v>878.5454545454545</c:v>
                </c:pt>
                <c:pt idx="11">
                  <c:v>882.63374485596717</c:v>
                </c:pt>
                <c:pt idx="12">
                  <c:v>877.04797047970476</c:v>
                </c:pt>
                <c:pt idx="13">
                  <c:v>952.20994475138116</c:v>
                </c:pt>
                <c:pt idx="14">
                  <c:v>889.80132450331121</c:v>
                </c:pt>
                <c:pt idx="15">
                  <c:v>882.10140500916316</c:v>
                </c:pt>
                <c:pt idx="16">
                  <c:v>837.78647288988259</c:v>
                </c:pt>
                <c:pt idx="17">
                  <c:v>833.52420614263406</c:v>
                </c:pt>
                <c:pt idx="18">
                  <c:v>816.88500727802045</c:v>
                </c:pt>
                <c:pt idx="19">
                  <c:v>821.91288729232144</c:v>
                </c:pt>
                <c:pt idx="20">
                  <c:v>753.58361774744026</c:v>
                </c:pt>
                <c:pt idx="21">
                  <c:v>731.49078726968173</c:v>
                </c:pt>
                <c:pt idx="22">
                  <c:v>754.08205553253197</c:v>
                </c:pt>
                <c:pt idx="23">
                  <c:v>735.8567358567359</c:v>
                </c:pt>
                <c:pt idx="24">
                  <c:v>734.5425867507887</c:v>
                </c:pt>
                <c:pt idx="25">
                  <c:v>692.73827534039333</c:v>
                </c:pt>
                <c:pt idx="26">
                  <c:v>690.7054871220605</c:v>
                </c:pt>
                <c:pt idx="27">
                  <c:v>762.35997012696032</c:v>
                </c:pt>
                <c:pt idx="28">
                  <c:v>793.65781710914462</c:v>
                </c:pt>
                <c:pt idx="29">
                  <c:v>737.48649621894128</c:v>
                </c:pt>
                <c:pt idx="30">
                  <c:v>687.36413043478262</c:v>
                </c:pt>
                <c:pt idx="31">
                  <c:v>738.17701453104348</c:v>
                </c:pt>
                <c:pt idx="32">
                  <c:v>810.13145238858613</c:v>
                </c:pt>
                <c:pt idx="33">
                  <c:v>824.42078897933618</c:v>
                </c:pt>
                <c:pt idx="34">
                  <c:v>796.86412863581893</c:v>
                </c:pt>
                <c:pt idx="35">
                  <c:v>835.23888197920132</c:v>
                </c:pt>
                <c:pt idx="36">
                  <c:v>816.21361691046377</c:v>
                </c:pt>
                <c:pt idx="37">
                  <c:v>829.23443615606777</c:v>
                </c:pt>
                <c:pt idx="38">
                  <c:v>734.98830336475135</c:v>
                </c:pt>
                <c:pt idx="39">
                  <c:v>801.50493166608805</c:v>
                </c:pt>
                <c:pt idx="40">
                  <c:v>826.83820190751408</c:v>
                </c:pt>
                <c:pt idx="41">
                  <c:v>811.20280070017509</c:v>
                </c:pt>
                <c:pt idx="42">
                  <c:v>770.97918580282055</c:v>
                </c:pt>
                <c:pt idx="43">
                  <c:v>739.8089531392211</c:v>
                </c:pt>
                <c:pt idx="44">
                  <c:v>754.19199568856629</c:v>
                </c:pt>
                <c:pt idx="45">
                  <c:v>750.52295096109697</c:v>
                </c:pt>
                <c:pt idx="46">
                  <c:v>773.59740069484155</c:v>
                </c:pt>
                <c:pt idx="47">
                  <c:v>824.66975501269019</c:v>
                </c:pt>
              </c:numCache>
            </c:numRef>
          </c:val>
          <c:smooth val="0"/>
          <c:extLst>
            <c:ext xmlns:c16="http://schemas.microsoft.com/office/drawing/2014/chart" uri="{C3380CC4-5D6E-409C-BE32-E72D297353CC}">
              <c16:uniqueId val="{00000001-EEF6-4528-B26B-F20F6914B60C}"/>
            </c:ext>
          </c:extLst>
        </c:ser>
        <c:dLbls>
          <c:showLegendKey val="0"/>
          <c:showVal val="0"/>
          <c:showCatName val="0"/>
          <c:showSerName val="0"/>
          <c:showPercent val="0"/>
          <c:showBubbleSize val="0"/>
        </c:dLbls>
        <c:marker val="1"/>
        <c:smooth val="0"/>
        <c:axId val="3"/>
        <c:axId val="4"/>
      </c:lineChart>
      <c:catAx>
        <c:axId val="251933344"/>
        <c:scaling>
          <c:orientation val="minMax"/>
        </c:scaling>
        <c:delete val="0"/>
        <c:axPos val="b"/>
        <c:title>
          <c:tx>
            <c:rich>
              <a:bodyPr/>
              <a:lstStyle/>
              <a:p>
                <a:pPr>
                  <a:defRPr/>
                </a:pPr>
                <a:r>
                  <a:rPr lang="en-AU"/>
                  <a:t>year</a:t>
                </a:r>
              </a:p>
            </c:rich>
          </c:tx>
          <c:overlay val="0"/>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
        <c:crosses val="autoZero"/>
        <c:auto val="0"/>
        <c:lblAlgn val="ctr"/>
        <c:lblOffset val="100"/>
        <c:tickLblSkip val="3"/>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a:pPr>
                <a:r>
                  <a:rPr lang="en-US"/>
                  <a:t>c/kg</a:t>
                </a:r>
              </a:p>
            </c:rich>
          </c:tx>
          <c:overlay val="0"/>
        </c:title>
        <c:numFmt formatCode="0.00"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251933344"/>
        <c:crosses val="autoZero"/>
        <c:crossBetween val="between"/>
      </c:valAx>
      <c:catAx>
        <c:axId val="3"/>
        <c:scaling>
          <c:orientation val="minMax"/>
        </c:scaling>
        <c:delete val="1"/>
        <c:axPos val="b"/>
        <c:majorTickMark val="out"/>
        <c:minorTickMark val="none"/>
        <c:tickLblPos val="nextTo"/>
        <c:crossAx val="4"/>
        <c:crosses val="autoZero"/>
        <c:auto val="0"/>
        <c:lblAlgn val="ctr"/>
        <c:lblOffset val="100"/>
        <c:noMultiLvlLbl val="0"/>
      </c:catAx>
      <c:valAx>
        <c:axId val="4"/>
        <c:scaling>
          <c:orientation val="minMax"/>
        </c:scaling>
        <c:delete val="1"/>
        <c:axPos val="r"/>
        <c:numFmt formatCode="General" sourceLinked="1"/>
        <c:majorTickMark val="out"/>
        <c:minorTickMark val="none"/>
        <c:tickLblPos val="nextTo"/>
        <c:crossAx val="3"/>
        <c:crosses val="max"/>
        <c:crossBetween val="between"/>
      </c:valAx>
      <c:spPr>
        <a:solidFill>
          <a:srgbClr val="C0C0C0"/>
        </a:solidFill>
        <a:ln w="12700">
          <a:solidFill>
            <a:srgbClr val="808080"/>
          </a:solidFill>
          <a:prstDash val="solid"/>
        </a:ln>
      </c:spPr>
    </c:plotArea>
    <c:legend>
      <c:legendPos val="r"/>
      <c:layout>
        <c:manualLayout>
          <c:xMode val="edge"/>
          <c:yMode val="edge"/>
          <c:x val="0.82498656799678471"/>
          <c:y val="0.36745585412376913"/>
          <c:w val="0.15197247612396511"/>
          <c:h val="0.3526685397517581"/>
        </c:manualLayout>
      </c:layout>
      <c:overlay val="0"/>
      <c:spPr>
        <a:solidFill>
          <a:srgbClr val="FFFFFF"/>
        </a:solidFill>
        <a:ln w="3175">
          <a:solidFill>
            <a:srgbClr val="000000"/>
          </a:solidFill>
          <a:prstDash val="solid"/>
        </a:ln>
      </c:spPr>
      <c:txPr>
        <a:bodyPr/>
        <a:lstStyle/>
        <a:p>
          <a:pPr>
            <a:defRPr sz="845" b="0" i="0" u="none" strike="noStrike" baseline="0">
              <a:solidFill>
                <a:srgbClr val="000000"/>
              </a:solidFill>
              <a:latin typeface="Arial"/>
              <a:ea typeface="Arial"/>
              <a:cs typeface="Arial"/>
            </a:defRPr>
          </a:pPr>
          <a:endParaRPr lang="en-US"/>
        </a:p>
      </c:txPr>
    </c:legend>
    <c:plotVisOnly val="0"/>
    <c:dispBlanksAs val="gap"/>
    <c:showDLblsOverMax val="0"/>
  </c:chart>
  <c:spPr>
    <a:solidFill>
      <a:srgbClr val="FFFFFF"/>
    </a:solidFill>
    <a:ln w="12700">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146981627296588"/>
          <c:y val="7.407407407407407E-2"/>
          <c:w val="0.69079119317658921"/>
          <c:h val="0.71897564887722376"/>
        </c:manualLayout>
      </c:layout>
      <c:lineChart>
        <c:grouping val="standard"/>
        <c:varyColors val="0"/>
        <c:ser>
          <c:idx val="0"/>
          <c:order val="0"/>
          <c:tx>
            <c:v>nominal chicken margin</c:v>
          </c:tx>
          <c:spPr>
            <a:ln w="28575" cap="rnd">
              <a:solidFill>
                <a:schemeClr val="accent1"/>
              </a:solidFill>
              <a:round/>
            </a:ln>
            <a:effectLst/>
          </c:spPr>
          <c:marker>
            <c:symbol val="none"/>
          </c:marker>
          <c:cat>
            <c:numRef>
              <c:f>chicken!$A$6:$A$53</c:f>
              <c:numCache>
                <c:formatCode>0</c:formatCode>
                <c:ptCount val="48"/>
                <c:pt idx="0">
                  <c:v>1974</c:v>
                </c:pt>
                <c:pt idx="1">
                  <c:v>1975</c:v>
                </c:pt>
                <c:pt idx="2">
                  <c:v>1976</c:v>
                </c:pt>
                <c:pt idx="3">
                  <c:v>1977</c:v>
                </c:pt>
                <c:pt idx="4">
                  <c:v>1978</c:v>
                </c:pt>
                <c:pt idx="5">
                  <c:v>1979</c:v>
                </c:pt>
                <c:pt idx="6">
                  <c:v>1980</c:v>
                </c:pt>
                <c:pt idx="7">
                  <c:v>1981</c:v>
                </c:pt>
                <c:pt idx="8">
                  <c:v>1982</c:v>
                </c:pt>
                <c:pt idx="9">
                  <c:v>1983</c:v>
                </c:pt>
                <c:pt idx="10">
                  <c:v>1984</c:v>
                </c:pt>
                <c:pt idx="11">
                  <c:v>1985</c:v>
                </c:pt>
                <c:pt idx="12">
                  <c:v>1986</c:v>
                </c:pt>
                <c:pt idx="13">
                  <c:v>1987</c:v>
                </c:pt>
                <c:pt idx="14">
                  <c:v>1988</c:v>
                </c:pt>
                <c:pt idx="15">
                  <c:v>1989</c:v>
                </c:pt>
                <c:pt idx="16">
                  <c:v>1990</c:v>
                </c:pt>
                <c:pt idx="17">
                  <c:v>1991</c:v>
                </c:pt>
                <c:pt idx="18">
                  <c:v>1992</c:v>
                </c:pt>
                <c:pt idx="19">
                  <c:v>1993</c:v>
                </c:pt>
                <c:pt idx="20">
                  <c:v>1994</c:v>
                </c:pt>
                <c:pt idx="21">
                  <c:v>1995</c:v>
                </c:pt>
                <c:pt idx="22">
                  <c:v>1996</c:v>
                </c:pt>
                <c:pt idx="23">
                  <c:v>1997</c:v>
                </c:pt>
                <c:pt idx="24">
                  <c:v>1998</c:v>
                </c:pt>
                <c:pt idx="25">
                  <c:v>1999</c:v>
                </c:pt>
                <c:pt idx="26">
                  <c:v>2000</c:v>
                </c:pt>
                <c:pt idx="27">
                  <c:v>2001</c:v>
                </c:pt>
                <c:pt idx="28">
                  <c:v>2002</c:v>
                </c:pt>
                <c:pt idx="29">
                  <c:v>2003</c:v>
                </c:pt>
                <c:pt idx="30">
                  <c:v>2004</c:v>
                </c:pt>
                <c:pt idx="31">
                  <c:v>2005</c:v>
                </c:pt>
                <c:pt idx="32">
                  <c:v>2006</c:v>
                </c:pt>
                <c:pt idx="33">
                  <c:v>2007</c:v>
                </c:pt>
                <c:pt idx="34">
                  <c:v>2008</c:v>
                </c:pt>
                <c:pt idx="35">
                  <c:v>2009</c:v>
                </c:pt>
                <c:pt idx="36">
                  <c:v>2010</c:v>
                </c:pt>
                <c:pt idx="37">
                  <c:v>2011</c:v>
                </c:pt>
                <c:pt idx="38">
                  <c:v>2012</c:v>
                </c:pt>
                <c:pt idx="39">
                  <c:v>2013</c:v>
                </c:pt>
                <c:pt idx="40">
                  <c:v>2014</c:v>
                </c:pt>
                <c:pt idx="41">
                  <c:v>2015</c:v>
                </c:pt>
                <c:pt idx="42">
                  <c:v>2016</c:v>
                </c:pt>
                <c:pt idx="43">
                  <c:v>2017</c:v>
                </c:pt>
                <c:pt idx="44">
                  <c:v>2018</c:v>
                </c:pt>
                <c:pt idx="45">
                  <c:v>2019</c:v>
                </c:pt>
                <c:pt idx="46">
                  <c:v>2020</c:v>
                </c:pt>
                <c:pt idx="47">
                  <c:v>2021</c:v>
                </c:pt>
              </c:numCache>
            </c:numRef>
          </c:cat>
          <c:val>
            <c:numRef>
              <c:f>chicken!$P$6:$P$53</c:f>
              <c:numCache>
                <c:formatCode>General</c:formatCode>
                <c:ptCount val="48"/>
                <c:pt idx="0">
                  <c:v>38.974666666666664</c:v>
                </c:pt>
                <c:pt idx="1">
                  <c:v>39.001333333333349</c:v>
                </c:pt>
                <c:pt idx="2">
                  <c:v>41.920000000000016</c:v>
                </c:pt>
                <c:pt idx="3">
                  <c:v>49.386666666666684</c:v>
                </c:pt>
                <c:pt idx="4">
                  <c:v>44.434666666666686</c:v>
                </c:pt>
                <c:pt idx="5">
                  <c:v>51.253333333333359</c:v>
                </c:pt>
                <c:pt idx="6">
                  <c:v>62.734666666666669</c:v>
                </c:pt>
                <c:pt idx="7">
                  <c:v>65.826666666666654</c:v>
                </c:pt>
                <c:pt idx="8">
                  <c:v>56.653333333333364</c:v>
                </c:pt>
                <c:pt idx="9">
                  <c:v>52.048000000000002</c:v>
                </c:pt>
                <c:pt idx="10">
                  <c:v>48.186666666666696</c:v>
                </c:pt>
                <c:pt idx="11">
                  <c:v>44.021333333333359</c:v>
                </c:pt>
                <c:pt idx="12">
                  <c:v>41.526666666666671</c:v>
                </c:pt>
                <c:pt idx="13">
                  <c:v>42.977333333333348</c:v>
                </c:pt>
                <c:pt idx="14">
                  <c:v>50.428000000000054</c:v>
                </c:pt>
                <c:pt idx="15">
                  <c:v>43.361333333333391</c:v>
                </c:pt>
                <c:pt idx="16">
                  <c:v>19.800000000000011</c:v>
                </c:pt>
                <c:pt idx="17">
                  <c:v>38.024300752374046</c:v>
                </c:pt>
                <c:pt idx="18">
                  <c:v>68.711026231464928</c:v>
                </c:pt>
                <c:pt idx="19">
                  <c:v>65.253891016234775</c:v>
                </c:pt>
                <c:pt idx="20">
                  <c:v>62.81097790384564</c:v>
                </c:pt>
                <c:pt idx="21">
                  <c:v>72.291002305697504</c:v>
                </c:pt>
                <c:pt idx="22">
                  <c:v>88.24652664508011</c:v>
                </c:pt>
                <c:pt idx="23">
                  <c:v>92.605012563683545</c:v>
                </c:pt>
                <c:pt idx="24">
                  <c:v>93.472169215515635</c:v>
                </c:pt>
                <c:pt idx="25">
                  <c:v>96.873829485442968</c:v>
                </c:pt>
                <c:pt idx="26">
                  <c:v>103.04847168303885</c:v>
                </c:pt>
                <c:pt idx="27">
                  <c:v>120.16915051815886</c:v>
                </c:pt>
                <c:pt idx="28">
                  <c:v>115.97286387791513</c:v>
                </c:pt>
                <c:pt idx="29">
                  <c:v>122.6306631440556</c:v>
                </c:pt>
                <c:pt idx="30">
                  <c:v>117.321589954041</c:v>
                </c:pt>
                <c:pt idx="31">
                  <c:v>109.37897735167297</c:v>
                </c:pt>
                <c:pt idx="32">
                  <c:v>116.73547166531122</c:v>
                </c:pt>
                <c:pt idx="33">
                  <c:v>147.08102500423183</c:v>
                </c:pt>
                <c:pt idx="34">
                  <c:v>131.59668370063773</c:v>
                </c:pt>
                <c:pt idx="35">
                  <c:v>99.27153400398231</c:v>
                </c:pt>
                <c:pt idx="36">
                  <c:v>108.50481451459279</c:v>
                </c:pt>
                <c:pt idx="37">
                  <c:v>105.15902918029178</c:v>
                </c:pt>
                <c:pt idx="38">
                  <c:v>105.06315326771636</c:v>
                </c:pt>
                <c:pt idx="39">
                  <c:v>100.50133333333338</c:v>
                </c:pt>
                <c:pt idx="40">
                  <c:v>96.953333333333376</c:v>
                </c:pt>
                <c:pt idx="41">
                  <c:v>77.867999999999995</c:v>
                </c:pt>
                <c:pt idx="42">
                  <c:v>77.648000000000025</c:v>
                </c:pt>
                <c:pt idx="43">
                  <c:v>86.953333333333376</c:v>
                </c:pt>
                <c:pt idx="44">
                  <c:v>94.753333333333387</c:v>
                </c:pt>
                <c:pt idx="45">
                  <c:v>101.30666666666673</c:v>
                </c:pt>
                <c:pt idx="46">
                  <c:v>98.840000000000032</c:v>
                </c:pt>
                <c:pt idx="47">
                  <c:v>105.00666666666672</c:v>
                </c:pt>
              </c:numCache>
            </c:numRef>
          </c:val>
          <c:smooth val="0"/>
          <c:extLst>
            <c:ext xmlns:c16="http://schemas.microsoft.com/office/drawing/2014/chart" uri="{C3380CC4-5D6E-409C-BE32-E72D297353CC}">
              <c16:uniqueId val="{00000000-392B-4113-83A8-35207E45D1C8}"/>
            </c:ext>
          </c:extLst>
        </c:ser>
        <c:ser>
          <c:idx val="1"/>
          <c:order val="1"/>
          <c:tx>
            <c:v>real chicken margin</c:v>
          </c:tx>
          <c:spPr>
            <a:ln w="28575" cap="rnd">
              <a:solidFill>
                <a:schemeClr val="accent2"/>
              </a:solidFill>
              <a:round/>
            </a:ln>
            <a:effectLst/>
          </c:spPr>
          <c:marker>
            <c:symbol val="none"/>
          </c:marker>
          <c:cat>
            <c:numRef>
              <c:f>chicken!$A$6:$A$53</c:f>
              <c:numCache>
                <c:formatCode>0</c:formatCode>
                <c:ptCount val="48"/>
                <c:pt idx="0">
                  <c:v>1974</c:v>
                </c:pt>
                <c:pt idx="1">
                  <c:v>1975</c:v>
                </c:pt>
                <c:pt idx="2">
                  <c:v>1976</c:v>
                </c:pt>
                <c:pt idx="3">
                  <c:v>1977</c:v>
                </c:pt>
                <c:pt idx="4">
                  <c:v>1978</c:v>
                </c:pt>
                <c:pt idx="5">
                  <c:v>1979</c:v>
                </c:pt>
                <c:pt idx="6">
                  <c:v>1980</c:v>
                </c:pt>
                <c:pt idx="7">
                  <c:v>1981</c:v>
                </c:pt>
                <c:pt idx="8">
                  <c:v>1982</c:v>
                </c:pt>
                <c:pt idx="9">
                  <c:v>1983</c:v>
                </c:pt>
                <c:pt idx="10">
                  <c:v>1984</c:v>
                </c:pt>
                <c:pt idx="11">
                  <c:v>1985</c:v>
                </c:pt>
                <c:pt idx="12">
                  <c:v>1986</c:v>
                </c:pt>
                <c:pt idx="13">
                  <c:v>1987</c:v>
                </c:pt>
                <c:pt idx="14">
                  <c:v>1988</c:v>
                </c:pt>
                <c:pt idx="15">
                  <c:v>1989</c:v>
                </c:pt>
                <c:pt idx="16">
                  <c:v>1990</c:v>
                </c:pt>
                <c:pt idx="17">
                  <c:v>1991</c:v>
                </c:pt>
                <c:pt idx="18">
                  <c:v>1992</c:v>
                </c:pt>
                <c:pt idx="19">
                  <c:v>1993</c:v>
                </c:pt>
                <c:pt idx="20">
                  <c:v>1994</c:v>
                </c:pt>
                <c:pt idx="21">
                  <c:v>1995</c:v>
                </c:pt>
                <c:pt idx="22">
                  <c:v>1996</c:v>
                </c:pt>
                <c:pt idx="23">
                  <c:v>1997</c:v>
                </c:pt>
                <c:pt idx="24">
                  <c:v>1998</c:v>
                </c:pt>
                <c:pt idx="25">
                  <c:v>1999</c:v>
                </c:pt>
                <c:pt idx="26">
                  <c:v>2000</c:v>
                </c:pt>
                <c:pt idx="27">
                  <c:v>2001</c:v>
                </c:pt>
                <c:pt idx="28">
                  <c:v>2002</c:v>
                </c:pt>
                <c:pt idx="29">
                  <c:v>2003</c:v>
                </c:pt>
                <c:pt idx="30">
                  <c:v>2004</c:v>
                </c:pt>
                <c:pt idx="31">
                  <c:v>2005</c:v>
                </c:pt>
                <c:pt idx="32">
                  <c:v>2006</c:v>
                </c:pt>
                <c:pt idx="33">
                  <c:v>2007</c:v>
                </c:pt>
                <c:pt idx="34">
                  <c:v>2008</c:v>
                </c:pt>
                <c:pt idx="35">
                  <c:v>2009</c:v>
                </c:pt>
                <c:pt idx="36">
                  <c:v>2010</c:v>
                </c:pt>
                <c:pt idx="37">
                  <c:v>2011</c:v>
                </c:pt>
                <c:pt idx="38">
                  <c:v>2012</c:v>
                </c:pt>
                <c:pt idx="39">
                  <c:v>2013</c:v>
                </c:pt>
                <c:pt idx="40">
                  <c:v>2014</c:v>
                </c:pt>
                <c:pt idx="41">
                  <c:v>2015</c:v>
                </c:pt>
                <c:pt idx="42">
                  <c:v>2016</c:v>
                </c:pt>
                <c:pt idx="43">
                  <c:v>2017</c:v>
                </c:pt>
                <c:pt idx="44">
                  <c:v>2018</c:v>
                </c:pt>
                <c:pt idx="45">
                  <c:v>2019</c:v>
                </c:pt>
                <c:pt idx="46">
                  <c:v>2020</c:v>
                </c:pt>
                <c:pt idx="47">
                  <c:v>2021</c:v>
                </c:pt>
              </c:numCache>
            </c:numRef>
          </c:cat>
          <c:val>
            <c:numRef>
              <c:f>chicken!$Q$6:$Q$53</c:f>
              <c:numCache>
                <c:formatCode>General</c:formatCode>
                <c:ptCount val="48"/>
                <c:pt idx="0">
                  <c:v>259.83111111111106</c:v>
                </c:pt>
                <c:pt idx="1">
                  <c:v>230.43623830625316</c:v>
                </c:pt>
                <c:pt idx="2">
                  <c:v>217.76623376623382</c:v>
                </c:pt>
                <c:pt idx="3">
                  <c:v>233.78303747534525</c:v>
                </c:pt>
                <c:pt idx="4">
                  <c:v>194.67542898868209</c:v>
                </c:pt>
                <c:pt idx="5">
                  <c:v>203.58821582257539</c:v>
                </c:pt>
                <c:pt idx="6">
                  <c:v>228.12606060606063</c:v>
                </c:pt>
                <c:pt idx="7">
                  <c:v>216.71330589849106</c:v>
                </c:pt>
                <c:pt idx="8">
                  <c:v>167.24231242312433</c:v>
                </c:pt>
                <c:pt idx="9">
                  <c:v>143.77900552486187</c:v>
                </c:pt>
                <c:pt idx="10">
                  <c:v>127.64679911699788</c:v>
                </c:pt>
                <c:pt idx="11">
                  <c:v>107.5658725310528</c:v>
                </c:pt>
                <c:pt idx="12">
                  <c:v>92.848891373206641</c:v>
                </c:pt>
                <c:pt idx="13">
                  <c:v>89.489501995488496</c:v>
                </c:pt>
                <c:pt idx="14">
                  <c:v>97.870936438622138</c:v>
                </c:pt>
                <c:pt idx="15">
                  <c:v>77.882951653944133</c:v>
                </c:pt>
                <c:pt idx="16">
                  <c:v>33.788395904436882</c:v>
                </c:pt>
                <c:pt idx="17">
                  <c:v>63.69229606762822</c:v>
                </c:pt>
                <c:pt idx="18">
                  <c:v>113.90141107578107</c:v>
                </c:pt>
                <c:pt idx="19">
                  <c:v>106.23344080787103</c:v>
                </c:pt>
                <c:pt idx="20">
                  <c:v>99.070943066002599</c:v>
                </c:pt>
                <c:pt idx="21">
                  <c:v>109.36611543978442</c:v>
                </c:pt>
                <c:pt idx="22">
                  <c:v>131.76039812628611</c:v>
                </c:pt>
                <c:pt idx="23">
                  <c:v>138.3196602892958</c:v>
                </c:pt>
                <c:pt idx="24">
                  <c:v>137.8645563650673</c:v>
                </c:pt>
                <c:pt idx="25">
                  <c:v>139.5373849268174</c:v>
                </c:pt>
                <c:pt idx="26">
                  <c:v>140.0115104389115</c:v>
                </c:pt>
                <c:pt idx="27">
                  <c:v>158.74392406626004</c:v>
                </c:pt>
                <c:pt idx="28">
                  <c:v>148.73082895532562</c:v>
                </c:pt>
                <c:pt idx="29">
                  <c:v>153.57628446343847</c:v>
                </c:pt>
                <c:pt idx="30">
                  <c:v>143.46877401900457</c:v>
                </c:pt>
                <c:pt idx="31">
                  <c:v>129.59594472947035</c:v>
                </c:pt>
                <c:pt idx="32">
                  <c:v>134.33310893591624</c:v>
                </c:pt>
                <c:pt idx="33">
                  <c:v>163.7417478477393</c:v>
                </c:pt>
                <c:pt idx="34">
                  <c:v>142.07469225439971</c:v>
                </c:pt>
                <c:pt idx="35">
                  <c:v>104.74443049747539</c:v>
                </c:pt>
                <c:pt idx="36">
                  <c:v>111.03076440480204</c:v>
                </c:pt>
                <c:pt idx="37">
                  <c:v>105.1853255116697</c:v>
                </c:pt>
                <c:pt idx="38">
                  <c:v>102.75125013957592</c:v>
                </c:pt>
                <c:pt idx="39">
                  <c:v>95.692771562326456</c:v>
                </c:pt>
                <c:pt idx="40">
                  <c:v>90.759029565488774</c:v>
                </c:pt>
                <c:pt idx="41">
                  <c:v>71.90027700831024</c:v>
                </c:pt>
                <c:pt idx="42">
                  <c:v>70.492964139809374</c:v>
                </c:pt>
                <c:pt idx="43">
                  <c:v>77.446745342536957</c:v>
                </c:pt>
                <c:pt idx="44">
                  <c:v>83.025921869295416</c:v>
                </c:pt>
                <c:pt idx="45">
                  <c:v>87.597636547052943</c:v>
                </c:pt>
                <c:pt idx="46">
                  <c:v>84.101255052116599</c:v>
                </c:pt>
                <c:pt idx="47">
                  <c:v>85.545145960624609</c:v>
                </c:pt>
              </c:numCache>
            </c:numRef>
          </c:val>
          <c:smooth val="0"/>
          <c:extLst>
            <c:ext xmlns:c16="http://schemas.microsoft.com/office/drawing/2014/chart" uri="{C3380CC4-5D6E-409C-BE32-E72D297353CC}">
              <c16:uniqueId val="{00000001-392B-4113-83A8-35207E45D1C8}"/>
            </c:ext>
          </c:extLst>
        </c:ser>
        <c:dLbls>
          <c:showLegendKey val="0"/>
          <c:showVal val="0"/>
          <c:showCatName val="0"/>
          <c:showSerName val="0"/>
          <c:showPercent val="0"/>
          <c:showBubbleSize val="0"/>
        </c:dLbls>
        <c:smooth val="0"/>
        <c:axId val="152551679"/>
        <c:axId val="1"/>
      </c:lineChart>
      <c:catAx>
        <c:axId val="15255167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Year</a:t>
                </a:r>
              </a:p>
            </c:rich>
          </c:tx>
          <c:layout>
            <c:manualLayout>
              <c:xMode val="edge"/>
              <c:yMode val="edge"/>
              <c:x val="0.48669681542261634"/>
              <c:y val="0.92960617241685373"/>
            </c:manualLayout>
          </c:layout>
          <c:overlay val="0"/>
          <c:spPr>
            <a:noFill/>
            <a:ln>
              <a:noFill/>
            </a:ln>
            <a:effectLst/>
          </c:spPr>
        </c:title>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c/kg</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551679"/>
        <c:crosses val="autoZero"/>
        <c:crossBetween val="between"/>
      </c:valAx>
      <c:spPr>
        <a:noFill/>
        <a:ln w="25400">
          <a:noFill/>
        </a:ln>
      </c:spPr>
    </c:plotArea>
    <c:legend>
      <c:legendPos val="r"/>
      <c:layout>
        <c:manualLayout>
          <c:xMode val="edge"/>
          <c:yMode val="edge"/>
          <c:x val="0.80836710803856371"/>
          <c:y val="0.27019761116816926"/>
          <c:w val="0.19163289196143607"/>
          <c:h val="0.35493489038507869"/>
        </c:manualLayout>
      </c:layout>
      <c:overlay val="0"/>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F105A-DB01-4AFD-B4F2-E2E6E390A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22</Pages>
  <Words>8159</Words>
  <Characters>46508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Microsoft Word - Minor Research Project - Alastair Hilli - Final..docx</vt:lpstr>
    </vt:vector>
  </TitlesOfParts>
  <Company>The University of Melbourne</Company>
  <LinksUpToDate>false</LinksUpToDate>
  <CharactersWithSpaces>54558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Minor Research Project - Alastair Hilli - Final..docx</dc:title>
  <dc:creator>Garry Griffith</dc:creator>
  <cp:lastModifiedBy>Garry Griffith</cp:lastModifiedBy>
  <cp:revision>7</cp:revision>
  <cp:lastPrinted>2025-04-14T00:01:00Z</cp:lastPrinted>
  <dcterms:created xsi:type="dcterms:W3CDTF">2025-04-16T23:12:00Z</dcterms:created>
  <dcterms:modified xsi:type="dcterms:W3CDTF">2025-05-11T22:38:00Z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2019-10-27T00:00:00Z</vt:filetime>
  </property>
  <property fmtid="{D5CDD505-2E9C-101B-9397-08002B2CF9AE}" pid="3" name="Creator">
    <vt:lpwstr>Word</vt:lpwstr>
  </property>
  <property fmtid="{D5CDD505-2E9C-101B-9397-08002B2CF9AE}" pid="4" name="LastSaved">
    <vt:filetime>2019-11-21T00:00:00Z</vt:filetime>
  </property>
</Properties>
</file>