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329A4" w14:textId="77777777" w:rsidR="00BB462F" w:rsidRPr="004A3F69" w:rsidRDefault="00BB462F" w:rsidP="00BB462F">
      <w:pPr>
        <w:spacing w:after="0" w:line="240" w:lineRule="auto"/>
        <w:jc w:val="center"/>
        <w:rPr>
          <w:rFonts w:ascii="Calibri" w:eastAsia="Aptos" w:hAnsi="Calibri" w:cs="Calibri"/>
          <w:b/>
          <w:sz w:val="40"/>
          <w:szCs w:val="40"/>
        </w:rPr>
      </w:pPr>
      <w:r w:rsidRPr="004A3F69">
        <w:rPr>
          <w:rFonts w:ascii="Calibri" w:eastAsia="Aptos" w:hAnsi="Calibri" w:cs="Calibri"/>
          <w:b/>
          <w:bCs/>
          <w:sz w:val="40"/>
          <w:szCs w:val="40"/>
        </w:rPr>
        <w:t>Agricultural and Resource Economics and Agribusiness (AREA) Working Papers</w:t>
      </w:r>
      <w:r w:rsidRPr="004A3F69">
        <w:rPr>
          <w:rFonts w:ascii="Calibri" w:eastAsia="Aptos" w:hAnsi="Calibri" w:cs="Calibri"/>
          <w:b/>
          <w:sz w:val="40"/>
          <w:szCs w:val="40"/>
        </w:rPr>
        <w:t xml:space="preserve"> </w:t>
      </w:r>
    </w:p>
    <w:p w14:paraId="2C91247D" w14:textId="2347B0A7" w:rsidR="00BB462F" w:rsidRPr="004A3F69" w:rsidRDefault="00BB462F" w:rsidP="00BB462F">
      <w:pPr>
        <w:spacing w:after="0" w:line="240" w:lineRule="auto"/>
        <w:jc w:val="center"/>
        <w:rPr>
          <w:rFonts w:ascii="Calibri" w:eastAsia="Aptos" w:hAnsi="Calibri" w:cs="Calibri"/>
          <w:b/>
          <w:sz w:val="40"/>
          <w:szCs w:val="40"/>
        </w:rPr>
      </w:pPr>
      <w:r w:rsidRPr="004A3F69">
        <w:rPr>
          <w:rFonts w:ascii="Calibri" w:eastAsia="Aptos" w:hAnsi="Calibri" w:cs="Calibri"/>
          <w:b/>
          <w:sz w:val="40"/>
          <w:szCs w:val="40"/>
        </w:rPr>
        <w:t>2026</w:t>
      </w:r>
      <w:r w:rsidRPr="008973E0">
        <w:rPr>
          <w:rFonts w:ascii="Calibri" w:eastAsia="Aptos" w:hAnsi="Calibri" w:cs="Calibri"/>
          <w:b/>
          <w:sz w:val="40"/>
          <w:szCs w:val="40"/>
        </w:rPr>
        <w:t>, Paper 2</w:t>
      </w:r>
      <w:r w:rsidR="00FE60AB">
        <w:rPr>
          <w:rFonts w:ascii="Calibri" w:eastAsia="Aptos" w:hAnsi="Calibri" w:cs="Calibri"/>
          <w:b/>
          <w:sz w:val="40"/>
          <w:szCs w:val="40"/>
        </w:rPr>
        <w:t>3</w:t>
      </w:r>
      <w:r w:rsidRPr="004A3F69">
        <w:rPr>
          <w:rFonts w:ascii="Calibri" w:eastAsia="Aptos" w:hAnsi="Calibri" w:cs="Calibri"/>
          <w:b/>
          <w:sz w:val="40"/>
          <w:szCs w:val="40"/>
          <w:vertAlign w:val="superscript"/>
        </w:rPr>
        <w:footnoteReference w:id="1"/>
      </w:r>
    </w:p>
    <w:p w14:paraId="573193D2" w14:textId="1498FE8C" w:rsidR="00BB462F" w:rsidRDefault="00BB462F" w:rsidP="009F1618">
      <w:pPr>
        <w:spacing w:after="0" w:line="240" w:lineRule="auto"/>
        <w:contextualSpacing/>
        <w:jc w:val="center"/>
        <w:rPr>
          <w:rFonts w:ascii="Calibri" w:eastAsia="Aptos" w:hAnsi="Calibri" w:cs="Calibri"/>
          <w:b/>
          <w:sz w:val="36"/>
          <w:szCs w:val="36"/>
        </w:rPr>
      </w:pPr>
      <w:r w:rsidRPr="00DE2164">
        <w:rPr>
          <w:rFonts w:eastAsia="Aptos" w:cs="Times New Roman"/>
          <w:b/>
          <w:bCs/>
        </w:rPr>
        <w:t>----------------------------------------------------------------------------------------------------------------</w:t>
      </w:r>
      <w:r w:rsidR="007A11FA" w:rsidRPr="004A3F69">
        <w:rPr>
          <w:rFonts w:ascii="Calibri" w:eastAsia="Aptos" w:hAnsi="Calibri" w:cs="Calibri"/>
          <w:b/>
          <w:sz w:val="36"/>
          <w:szCs w:val="36"/>
        </w:rPr>
        <w:t>Long-</w:t>
      </w:r>
      <w:r w:rsidR="007E7CAC" w:rsidRPr="004A3F69">
        <w:rPr>
          <w:rFonts w:ascii="Calibri" w:eastAsia="Aptos" w:hAnsi="Calibri" w:cs="Calibri"/>
          <w:b/>
          <w:sz w:val="36"/>
          <w:szCs w:val="36"/>
        </w:rPr>
        <w:t>R</w:t>
      </w:r>
      <w:r w:rsidR="007A11FA" w:rsidRPr="004A3F69">
        <w:rPr>
          <w:rFonts w:ascii="Calibri" w:eastAsia="Aptos" w:hAnsi="Calibri" w:cs="Calibri"/>
          <w:b/>
          <w:sz w:val="36"/>
          <w:szCs w:val="36"/>
        </w:rPr>
        <w:t xml:space="preserve">un Relationships </w:t>
      </w:r>
      <w:r w:rsidR="00842B4C">
        <w:rPr>
          <w:rFonts w:ascii="Calibri" w:eastAsia="Aptos" w:hAnsi="Calibri" w:cs="Calibri"/>
          <w:b/>
          <w:sz w:val="36"/>
          <w:szCs w:val="36"/>
        </w:rPr>
        <w:t>B</w:t>
      </w:r>
      <w:r w:rsidR="007A11FA" w:rsidRPr="004A3F69">
        <w:rPr>
          <w:rFonts w:ascii="Calibri" w:eastAsia="Aptos" w:hAnsi="Calibri" w:cs="Calibri"/>
          <w:b/>
          <w:sz w:val="36"/>
          <w:szCs w:val="36"/>
        </w:rPr>
        <w:t>etween Australia</w:t>
      </w:r>
      <w:r w:rsidR="00842B4C">
        <w:rPr>
          <w:rFonts w:ascii="Calibri" w:eastAsia="Aptos" w:hAnsi="Calibri" w:cs="Calibri"/>
          <w:b/>
          <w:sz w:val="36"/>
          <w:szCs w:val="36"/>
        </w:rPr>
        <w:t>n</w:t>
      </w:r>
      <w:r w:rsidR="007A11FA" w:rsidRPr="004A3F69">
        <w:rPr>
          <w:rFonts w:ascii="Calibri" w:eastAsia="Aptos" w:hAnsi="Calibri" w:cs="Calibri"/>
          <w:b/>
          <w:sz w:val="36"/>
          <w:szCs w:val="36"/>
        </w:rPr>
        <w:t xml:space="preserve"> and </w:t>
      </w:r>
      <w:r w:rsidR="0091314E">
        <w:rPr>
          <w:rFonts w:ascii="Calibri" w:eastAsia="Aptos" w:hAnsi="Calibri" w:cs="Calibri"/>
          <w:b/>
          <w:sz w:val="36"/>
          <w:szCs w:val="36"/>
        </w:rPr>
        <w:t>World</w:t>
      </w:r>
      <w:r w:rsidR="007A11FA" w:rsidRPr="004A3F69">
        <w:rPr>
          <w:rFonts w:ascii="Calibri" w:eastAsia="Aptos" w:hAnsi="Calibri" w:cs="Calibri"/>
          <w:b/>
          <w:sz w:val="36"/>
          <w:szCs w:val="36"/>
        </w:rPr>
        <w:t xml:space="preserve"> Dairy </w:t>
      </w:r>
      <w:r w:rsidR="00ED6010">
        <w:rPr>
          <w:rFonts w:ascii="Calibri" w:eastAsia="Aptos" w:hAnsi="Calibri" w:cs="Calibri"/>
          <w:b/>
          <w:sz w:val="36"/>
          <w:szCs w:val="36"/>
        </w:rPr>
        <w:t>Product Prices</w:t>
      </w:r>
      <w:r w:rsidRPr="004A3F69">
        <w:rPr>
          <w:rFonts w:ascii="Calibri" w:eastAsia="Aptos" w:hAnsi="Calibri" w:cs="Calibri"/>
          <w:b/>
          <w:bCs/>
          <w:sz w:val="36"/>
          <w:szCs w:val="36"/>
          <w:vertAlign w:val="superscript"/>
        </w:rPr>
        <w:footnoteReference w:id="2"/>
      </w:r>
    </w:p>
    <w:p w14:paraId="6277807D" w14:textId="77777777" w:rsidR="009F1618" w:rsidRPr="00DE2164" w:rsidRDefault="009F1618" w:rsidP="009F1618">
      <w:pPr>
        <w:spacing w:after="0" w:line="240" w:lineRule="auto"/>
        <w:contextualSpacing/>
        <w:jc w:val="center"/>
        <w:rPr>
          <w:rFonts w:eastAsia="Aptos" w:cs="Times New Roman"/>
          <w:b/>
          <w:bCs/>
          <w:sz w:val="26"/>
          <w:szCs w:val="26"/>
        </w:rPr>
      </w:pPr>
    </w:p>
    <w:p w14:paraId="2400B2E9" w14:textId="77777777" w:rsidR="00BB462F" w:rsidRPr="00DE2164" w:rsidRDefault="00BB462F" w:rsidP="009F1618">
      <w:pPr>
        <w:spacing w:after="0" w:line="240" w:lineRule="auto"/>
        <w:contextualSpacing/>
        <w:rPr>
          <w:rFonts w:eastAsia="Aptos" w:cs="Times New Roman"/>
          <w:sz w:val="6"/>
          <w:szCs w:val="6"/>
        </w:rPr>
      </w:pPr>
    </w:p>
    <w:p w14:paraId="074E5487" w14:textId="77777777" w:rsidR="00C55FAD" w:rsidRDefault="00C55FAD" w:rsidP="009F1618">
      <w:pPr>
        <w:spacing w:after="0" w:line="240" w:lineRule="auto"/>
        <w:contextualSpacing/>
        <w:jc w:val="center"/>
        <w:rPr>
          <w:rFonts w:ascii="Calibri" w:eastAsia="Aptos" w:hAnsi="Calibri" w:cs="Calibri"/>
          <w:vertAlign w:val="superscript"/>
        </w:rPr>
      </w:pPr>
      <w:r w:rsidRPr="004A3F69">
        <w:rPr>
          <w:rFonts w:ascii="Calibri" w:eastAsia="Aptos" w:hAnsi="Calibri" w:cs="Calibri"/>
        </w:rPr>
        <w:t>Matt Selvan</w:t>
      </w:r>
      <w:r w:rsidRPr="004A3F69">
        <w:rPr>
          <w:rFonts w:ascii="Calibri" w:eastAsia="Aptos" w:hAnsi="Calibri" w:cs="Calibri"/>
          <w:vertAlign w:val="superscript"/>
        </w:rPr>
        <w:t>a</w:t>
      </w:r>
      <w:r w:rsidRPr="004A3F69">
        <w:rPr>
          <w:rFonts w:ascii="Calibri" w:eastAsia="Aptos" w:hAnsi="Calibri" w:cs="Calibri"/>
        </w:rPr>
        <w:t>, Paul Deane</w:t>
      </w:r>
      <w:r w:rsidRPr="004A3F69">
        <w:rPr>
          <w:rFonts w:ascii="Calibri" w:eastAsia="Aptos" w:hAnsi="Calibri" w:cs="Calibri"/>
          <w:vertAlign w:val="superscript"/>
        </w:rPr>
        <w:t>b</w:t>
      </w:r>
      <w:r w:rsidRPr="004A3F69">
        <w:rPr>
          <w:rFonts w:ascii="Calibri" w:eastAsia="Aptos" w:hAnsi="Calibri" w:cs="Calibri"/>
        </w:rPr>
        <w:t>, Alex Sinnett</w:t>
      </w:r>
      <w:r w:rsidRPr="004A3F69">
        <w:rPr>
          <w:rFonts w:ascii="Calibri" w:eastAsia="Aptos" w:hAnsi="Calibri" w:cs="Calibri"/>
          <w:vertAlign w:val="superscript"/>
        </w:rPr>
        <w:t>b</w:t>
      </w:r>
      <w:r w:rsidRPr="004A3F69">
        <w:rPr>
          <w:rFonts w:ascii="Calibri" w:eastAsia="Aptos" w:hAnsi="Calibri" w:cs="Calibri"/>
        </w:rPr>
        <w:t>, Murray Jenkins</w:t>
      </w:r>
      <w:r w:rsidRPr="004A3F69">
        <w:rPr>
          <w:rFonts w:ascii="Calibri" w:eastAsia="Aptos" w:hAnsi="Calibri" w:cs="Calibri"/>
          <w:vertAlign w:val="superscript"/>
        </w:rPr>
        <w:t>a</w:t>
      </w:r>
      <w:r w:rsidRPr="004A3F69">
        <w:rPr>
          <w:rFonts w:ascii="Calibri" w:eastAsia="Aptos" w:hAnsi="Calibri" w:cs="Calibri"/>
        </w:rPr>
        <w:t>, Bill Malcolm</w:t>
      </w:r>
      <w:r w:rsidRPr="004A3F69">
        <w:rPr>
          <w:rFonts w:ascii="Calibri" w:eastAsia="Aptos" w:hAnsi="Calibri" w:cs="Calibri"/>
          <w:vertAlign w:val="superscript"/>
        </w:rPr>
        <w:t>b</w:t>
      </w:r>
      <w:r w:rsidRPr="004A3F69">
        <w:rPr>
          <w:rFonts w:ascii="Calibri" w:eastAsia="Aptos" w:hAnsi="Calibri" w:cs="Calibri"/>
        </w:rPr>
        <w:t xml:space="preserve"> and Garry Griffith</w:t>
      </w:r>
      <w:r w:rsidRPr="004A3F69">
        <w:rPr>
          <w:rFonts w:ascii="Calibri" w:eastAsia="Aptos" w:hAnsi="Calibri" w:cs="Calibri"/>
          <w:vertAlign w:val="superscript"/>
        </w:rPr>
        <w:t xml:space="preserve">b </w:t>
      </w:r>
    </w:p>
    <w:p w14:paraId="31C14A3D" w14:textId="77777777" w:rsidR="009F1618" w:rsidRPr="004A3F69" w:rsidRDefault="009F1618" w:rsidP="009F1618">
      <w:pPr>
        <w:spacing w:after="0" w:line="240" w:lineRule="auto"/>
        <w:contextualSpacing/>
        <w:jc w:val="center"/>
        <w:rPr>
          <w:rFonts w:ascii="Calibri" w:eastAsia="Aptos" w:hAnsi="Calibri" w:cs="Calibri"/>
          <w:vertAlign w:val="superscript"/>
        </w:rPr>
      </w:pPr>
    </w:p>
    <w:p w14:paraId="26DDEFDC" w14:textId="77777777" w:rsidR="00BB462F" w:rsidRPr="00DE2164" w:rsidRDefault="00BB462F" w:rsidP="009F1618">
      <w:pPr>
        <w:spacing w:after="0" w:line="240" w:lineRule="auto"/>
        <w:contextualSpacing/>
        <w:jc w:val="center"/>
        <w:rPr>
          <w:rFonts w:eastAsia="Aptos" w:cs="Times New Roman"/>
          <w:sz w:val="10"/>
          <w:szCs w:val="10"/>
        </w:rPr>
      </w:pPr>
    </w:p>
    <w:p w14:paraId="2B47A06B" w14:textId="45A5FBFA" w:rsidR="00BB462F" w:rsidRPr="004A3F69" w:rsidRDefault="00BB462F" w:rsidP="009F1618">
      <w:pPr>
        <w:spacing w:after="0" w:line="240" w:lineRule="auto"/>
        <w:contextualSpacing/>
        <w:rPr>
          <w:rFonts w:ascii="Calibri" w:eastAsia="Aptos" w:hAnsi="Calibri" w:cs="Calibri"/>
          <w:sz w:val="20"/>
          <w:szCs w:val="20"/>
        </w:rPr>
      </w:pPr>
      <w:r w:rsidRPr="004A3F69">
        <w:rPr>
          <w:rFonts w:ascii="Calibri" w:eastAsia="Aptos" w:hAnsi="Calibri" w:cs="Calibri"/>
          <w:sz w:val="20"/>
          <w:szCs w:val="20"/>
          <w:vertAlign w:val="superscript"/>
        </w:rPr>
        <w:t>a</w:t>
      </w:r>
      <w:r w:rsidRPr="004A3F69">
        <w:rPr>
          <w:rFonts w:ascii="Calibri" w:eastAsia="Aptos" w:hAnsi="Calibri" w:cs="Calibri"/>
          <w:sz w:val="20"/>
          <w:szCs w:val="20"/>
        </w:rPr>
        <w:t xml:space="preserve"> Dairy Australia</w:t>
      </w:r>
      <w:r w:rsidR="00257420" w:rsidRPr="004A3F69">
        <w:rPr>
          <w:rFonts w:ascii="Calibri" w:eastAsia="Aptos" w:hAnsi="Calibri" w:cs="Calibri"/>
          <w:sz w:val="20"/>
          <w:szCs w:val="20"/>
        </w:rPr>
        <w:t>, Southbank.</w:t>
      </w:r>
    </w:p>
    <w:p w14:paraId="75E1E602" w14:textId="384D3693" w:rsidR="00BB462F" w:rsidRPr="004A3F69" w:rsidRDefault="00BB462F" w:rsidP="009F1618">
      <w:pPr>
        <w:spacing w:after="0" w:line="240" w:lineRule="auto"/>
        <w:contextualSpacing/>
        <w:rPr>
          <w:rFonts w:ascii="Calibri" w:eastAsia="Aptos" w:hAnsi="Calibri" w:cs="Calibri"/>
          <w:sz w:val="20"/>
          <w:szCs w:val="20"/>
        </w:rPr>
      </w:pPr>
      <w:r w:rsidRPr="004A3F69">
        <w:rPr>
          <w:rFonts w:ascii="Calibri" w:eastAsia="Aptos" w:hAnsi="Calibri" w:cs="Calibri"/>
          <w:sz w:val="20"/>
          <w:szCs w:val="20"/>
          <w:vertAlign w:val="superscript"/>
        </w:rPr>
        <w:t>b</w:t>
      </w:r>
      <w:r w:rsidRPr="004A3F69">
        <w:rPr>
          <w:rFonts w:ascii="Calibri" w:eastAsia="Aptos" w:hAnsi="Calibri" w:cs="Calibri"/>
          <w:sz w:val="20"/>
          <w:szCs w:val="20"/>
        </w:rPr>
        <w:t xml:space="preserve"> School of Agriculture, Food and Ecosystem Sciences, University of Melbourne</w:t>
      </w:r>
      <w:r w:rsidR="00257420" w:rsidRPr="004A3F69">
        <w:rPr>
          <w:rFonts w:ascii="Calibri" w:eastAsia="Aptos" w:hAnsi="Calibri" w:cs="Calibri"/>
          <w:sz w:val="20"/>
          <w:szCs w:val="20"/>
        </w:rPr>
        <w:t>, Parkville.</w:t>
      </w:r>
    </w:p>
    <w:p w14:paraId="7641E351" w14:textId="77F6B150" w:rsidR="00BB462F" w:rsidRPr="00DE2164" w:rsidRDefault="00BB462F" w:rsidP="00BB462F">
      <w:pPr>
        <w:spacing w:after="120" w:line="240" w:lineRule="auto"/>
        <w:rPr>
          <w:rFonts w:eastAsia="Aptos" w:cs="Times New Roman"/>
          <w:b/>
          <w:bCs/>
        </w:rPr>
      </w:pPr>
      <w:r w:rsidRPr="00DE2164">
        <w:rPr>
          <w:rFonts w:eastAsia="Aptos" w:cs="Times New Roman"/>
          <w:b/>
          <w:bCs/>
        </w:rPr>
        <w:t>----------------------------------------------------------------------------------------------------------------</w:t>
      </w:r>
    </w:p>
    <w:p w14:paraId="2363455D" w14:textId="7BAF6C2A" w:rsidR="002630A0" w:rsidRPr="000A3D4E" w:rsidRDefault="00820F19" w:rsidP="009F1618">
      <w:pPr>
        <w:spacing w:after="0" w:line="240" w:lineRule="auto"/>
        <w:jc w:val="both"/>
        <w:rPr>
          <w:rFonts w:ascii="Calibri" w:hAnsi="Calibri" w:cs="Calibri"/>
          <w:b/>
          <w:bCs/>
        </w:rPr>
      </w:pPr>
      <w:r w:rsidRPr="000A3D4E">
        <w:rPr>
          <w:rFonts w:ascii="Calibri" w:hAnsi="Calibri" w:cs="Calibri"/>
          <w:b/>
          <w:bCs/>
        </w:rPr>
        <w:t>Abstract</w:t>
      </w:r>
    </w:p>
    <w:p w14:paraId="418ECFE6" w14:textId="77777777" w:rsidR="000A3D4E" w:rsidRDefault="000A3D4E" w:rsidP="009F1618">
      <w:pPr>
        <w:spacing w:after="0" w:line="240" w:lineRule="auto"/>
        <w:jc w:val="both"/>
        <w:rPr>
          <w:rFonts w:ascii="Calibri" w:hAnsi="Calibri" w:cs="Calibri"/>
          <w:sz w:val="22"/>
          <w:szCs w:val="22"/>
        </w:rPr>
      </w:pPr>
    </w:p>
    <w:p w14:paraId="30B47687" w14:textId="0E54A37C" w:rsidR="00343F0E" w:rsidRPr="009F1618" w:rsidRDefault="00BB3210" w:rsidP="009F1618">
      <w:pPr>
        <w:spacing w:after="0" w:line="240" w:lineRule="auto"/>
        <w:jc w:val="both"/>
        <w:rPr>
          <w:rFonts w:ascii="Calibri" w:hAnsi="Calibri" w:cs="Calibri"/>
          <w:b/>
          <w:bCs/>
          <w:sz w:val="22"/>
          <w:szCs w:val="22"/>
        </w:rPr>
      </w:pPr>
      <w:r w:rsidRPr="009F1618">
        <w:rPr>
          <w:rFonts w:ascii="Calibri" w:hAnsi="Calibri" w:cs="Calibri"/>
          <w:sz w:val="22"/>
          <w:szCs w:val="22"/>
        </w:rPr>
        <w:t xml:space="preserve">Since deregulation of the Australian dairy industry in July 2000, the price </w:t>
      </w:r>
      <w:r w:rsidR="00382570">
        <w:rPr>
          <w:rFonts w:ascii="Calibri" w:hAnsi="Calibri" w:cs="Calibri"/>
          <w:sz w:val="22"/>
          <w:szCs w:val="22"/>
        </w:rPr>
        <w:t xml:space="preserve">that </w:t>
      </w:r>
      <w:r w:rsidRPr="009F1618">
        <w:rPr>
          <w:rFonts w:ascii="Calibri" w:hAnsi="Calibri" w:cs="Calibri"/>
          <w:sz w:val="22"/>
          <w:szCs w:val="22"/>
        </w:rPr>
        <w:t xml:space="preserve">farmers receive has been widely understood to reflect the export returns available to processors, who reallocate raw milk between domestic and export markets according to relative returns. </w:t>
      </w:r>
      <w:r w:rsidR="001D4F1C" w:rsidRPr="009F1618">
        <w:rPr>
          <w:rFonts w:ascii="Calibri" w:hAnsi="Calibri" w:cs="Calibri"/>
          <w:sz w:val="22"/>
          <w:szCs w:val="22"/>
        </w:rPr>
        <w:t xml:space="preserve">Whether Australian export prices follow world prices remains empirically untested. </w:t>
      </w:r>
      <w:r w:rsidRPr="009F1618">
        <w:rPr>
          <w:rFonts w:ascii="Calibri" w:hAnsi="Calibri" w:cs="Calibri"/>
          <w:sz w:val="22"/>
          <w:szCs w:val="22"/>
        </w:rPr>
        <w:t xml:space="preserve">Existing studies of international dairy price transmission typically model Australia and New Zealand as a single Oceania market, obscuring the price relationships specific to Australia given New Zealand’s dominant share of regional exports. This paper addresses that gap using monthly free-on-board prices for butter, cheese, skim milk powder and whole milk powder from Australia, New Zealand, the United States and the European Union. Cointegration between export price series is tested using the Johansen procedure and price shock transmission is examined using impulse response analysis. Butter, skim milk powder and whole milk powder are found to be well integrated, with multiple regions participating in error correction following disequilibrium. Cheese is the exception, with Australia being the only market that adjusts and the other regions appearing </w:t>
      </w:r>
      <w:r w:rsidR="00A27F8A">
        <w:rPr>
          <w:rFonts w:ascii="Calibri" w:hAnsi="Calibri" w:cs="Calibri"/>
          <w:sz w:val="22"/>
          <w:szCs w:val="22"/>
        </w:rPr>
        <w:t xml:space="preserve">to be </w:t>
      </w:r>
      <w:r w:rsidRPr="009F1618">
        <w:rPr>
          <w:rFonts w:ascii="Calibri" w:hAnsi="Calibri" w:cs="Calibri"/>
          <w:sz w:val="22"/>
          <w:szCs w:val="22"/>
        </w:rPr>
        <w:t xml:space="preserve">weakly exogenous. These findings provide evidence of Australia’s price-taking role in global dairy markets, </w:t>
      </w:r>
      <w:r w:rsidR="00E90EE4" w:rsidRPr="009F1618">
        <w:rPr>
          <w:rFonts w:ascii="Calibri" w:hAnsi="Calibri" w:cs="Calibri"/>
          <w:sz w:val="22"/>
          <w:szCs w:val="22"/>
        </w:rPr>
        <w:t xml:space="preserve">with implications for how international price shocks </w:t>
      </w:r>
      <w:r w:rsidR="0027587D" w:rsidRPr="009F1618">
        <w:rPr>
          <w:rFonts w:ascii="Calibri" w:hAnsi="Calibri" w:cs="Calibri"/>
          <w:sz w:val="22"/>
          <w:szCs w:val="22"/>
        </w:rPr>
        <w:t xml:space="preserve">may </w:t>
      </w:r>
      <w:r w:rsidR="00E90EE4" w:rsidRPr="009F1618">
        <w:rPr>
          <w:rFonts w:ascii="Calibri" w:hAnsi="Calibri" w:cs="Calibri"/>
          <w:sz w:val="22"/>
          <w:szCs w:val="22"/>
        </w:rPr>
        <w:t>transmit to </w:t>
      </w:r>
      <w:r w:rsidR="0003537D">
        <w:rPr>
          <w:rFonts w:ascii="Calibri" w:hAnsi="Calibri" w:cs="Calibri"/>
          <w:sz w:val="22"/>
          <w:szCs w:val="22"/>
        </w:rPr>
        <w:t xml:space="preserve">dairy </w:t>
      </w:r>
      <w:r w:rsidR="00E90EE4" w:rsidRPr="009F1618">
        <w:rPr>
          <w:rFonts w:ascii="Calibri" w:hAnsi="Calibri" w:cs="Calibri"/>
          <w:sz w:val="22"/>
          <w:szCs w:val="22"/>
        </w:rPr>
        <w:t>farmer returns.</w:t>
      </w:r>
    </w:p>
    <w:p w14:paraId="01592A78" w14:textId="77777777" w:rsidR="00BF4775" w:rsidRPr="009F1618" w:rsidRDefault="00BF4775" w:rsidP="009F1618">
      <w:pPr>
        <w:spacing w:after="0" w:line="240" w:lineRule="auto"/>
        <w:jc w:val="both"/>
        <w:rPr>
          <w:rFonts w:ascii="Calibri" w:hAnsi="Calibri" w:cs="Calibri"/>
          <w:b/>
          <w:bCs/>
          <w:sz w:val="22"/>
          <w:szCs w:val="22"/>
        </w:rPr>
      </w:pPr>
    </w:p>
    <w:p w14:paraId="687D4B81" w14:textId="6150B9FC" w:rsidR="00D60925" w:rsidRDefault="002A7C02" w:rsidP="009F1618">
      <w:pPr>
        <w:spacing w:after="0" w:line="240" w:lineRule="auto"/>
        <w:jc w:val="both"/>
        <w:rPr>
          <w:rFonts w:ascii="Calibri" w:hAnsi="Calibri" w:cs="Calibri"/>
          <w:sz w:val="22"/>
          <w:szCs w:val="22"/>
        </w:rPr>
      </w:pPr>
      <w:r w:rsidRPr="00F4110B">
        <w:rPr>
          <w:rFonts w:ascii="Calibri" w:hAnsi="Calibri" w:cs="Calibri"/>
          <w:b/>
          <w:bCs/>
          <w:i/>
          <w:iCs/>
          <w:sz w:val="22"/>
          <w:szCs w:val="22"/>
        </w:rPr>
        <w:t>Key words</w:t>
      </w:r>
      <w:r w:rsidRPr="009F1618">
        <w:rPr>
          <w:rFonts w:ascii="Calibri" w:hAnsi="Calibri" w:cs="Calibri"/>
          <w:b/>
          <w:bCs/>
          <w:sz w:val="22"/>
          <w:szCs w:val="22"/>
        </w:rPr>
        <w:t>:</w:t>
      </w:r>
      <w:r w:rsidR="00F663A9" w:rsidRPr="009F1618">
        <w:rPr>
          <w:rFonts w:ascii="Calibri" w:hAnsi="Calibri" w:cs="Calibri"/>
          <w:b/>
          <w:bCs/>
          <w:sz w:val="22"/>
          <w:szCs w:val="22"/>
        </w:rPr>
        <w:t xml:space="preserve"> </w:t>
      </w:r>
      <w:r w:rsidR="00F663A9" w:rsidRPr="009F1618">
        <w:rPr>
          <w:rFonts w:ascii="Calibri" w:hAnsi="Calibri" w:cs="Calibri"/>
          <w:sz w:val="22"/>
          <w:szCs w:val="22"/>
        </w:rPr>
        <w:t>price transmission, cointegration, dairy markets</w:t>
      </w:r>
      <w:r w:rsidR="00B30018" w:rsidRPr="009F1618">
        <w:rPr>
          <w:rFonts w:ascii="Calibri" w:hAnsi="Calibri" w:cs="Calibri"/>
          <w:sz w:val="22"/>
          <w:szCs w:val="22"/>
        </w:rPr>
        <w:t xml:space="preserve">, </w:t>
      </w:r>
      <w:r w:rsidR="00593783" w:rsidRPr="009F1618">
        <w:rPr>
          <w:rFonts w:ascii="Calibri" w:hAnsi="Calibri" w:cs="Calibri"/>
          <w:sz w:val="22"/>
          <w:szCs w:val="22"/>
        </w:rPr>
        <w:t>vector error correction model</w:t>
      </w:r>
      <w:r w:rsidR="00C74338" w:rsidRPr="009F1618">
        <w:rPr>
          <w:rFonts w:ascii="Calibri" w:hAnsi="Calibri" w:cs="Calibri"/>
          <w:sz w:val="22"/>
          <w:szCs w:val="22"/>
        </w:rPr>
        <w:t>, impulse response analysis</w:t>
      </w:r>
    </w:p>
    <w:p w14:paraId="76869B41" w14:textId="77777777" w:rsidR="000A3D4E" w:rsidRPr="009F1618" w:rsidRDefault="000A3D4E" w:rsidP="009F1618">
      <w:pPr>
        <w:spacing w:after="0" w:line="240" w:lineRule="auto"/>
        <w:jc w:val="both"/>
        <w:rPr>
          <w:rFonts w:ascii="Calibri" w:hAnsi="Calibri" w:cs="Calibri"/>
          <w:b/>
          <w:bCs/>
          <w:sz w:val="22"/>
          <w:szCs w:val="22"/>
        </w:rPr>
      </w:pPr>
    </w:p>
    <w:p w14:paraId="7A0E7F68" w14:textId="1F2955E8" w:rsidR="00717D4D" w:rsidRPr="00F4110B" w:rsidRDefault="00D55FEE" w:rsidP="000A3D4E">
      <w:pPr>
        <w:pStyle w:val="ListParagraph"/>
        <w:spacing w:after="0" w:line="240" w:lineRule="auto"/>
        <w:ind w:left="0"/>
        <w:jc w:val="both"/>
        <w:rPr>
          <w:rFonts w:ascii="Calibri" w:hAnsi="Calibri" w:cs="Calibri"/>
          <w:b/>
          <w:bCs/>
        </w:rPr>
      </w:pPr>
      <w:r w:rsidRPr="00F4110B">
        <w:rPr>
          <w:rFonts w:ascii="Calibri" w:hAnsi="Calibri" w:cs="Calibri"/>
          <w:b/>
          <w:bCs/>
        </w:rPr>
        <w:t>Introduction</w:t>
      </w:r>
    </w:p>
    <w:p w14:paraId="666ACD61" w14:textId="77777777" w:rsidR="000A3D4E" w:rsidRPr="009F1618" w:rsidRDefault="000A3D4E" w:rsidP="000A3D4E">
      <w:pPr>
        <w:pStyle w:val="ListParagraph"/>
        <w:spacing w:after="0" w:line="240" w:lineRule="auto"/>
        <w:ind w:left="0"/>
        <w:jc w:val="both"/>
        <w:rPr>
          <w:rFonts w:ascii="Calibri" w:hAnsi="Calibri" w:cs="Calibri"/>
          <w:b/>
          <w:bCs/>
          <w:sz w:val="22"/>
          <w:szCs w:val="22"/>
        </w:rPr>
      </w:pPr>
    </w:p>
    <w:p w14:paraId="71D53068" w14:textId="133268A2" w:rsidR="00572A7E" w:rsidRPr="00572A7E" w:rsidRDefault="00CE48EC" w:rsidP="00572A7E">
      <w:pPr>
        <w:spacing w:after="0" w:line="240" w:lineRule="auto"/>
        <w:contextualSpacing/>
        <w:jc w:val="both"/>
        <w:rPr>
          <w:rFonts w:ascii="Calibri" w:hAnsi="Calibri" w:cs="Calibri"/>
          <w:sz w:val="22"/>
          <w:szCs w:val="22"/>
        </w:rPr>
      </w:pPr>
      <w:r w:rsidRPr="005233BE">
        <w:rPr>
          <w:rFonts w:ascii="Calibri" w:hAnsi="Calibri" w:cs="Calibri"/>
          <w:sz w:val="22"/>
          <w:szCs w:val="22"/>
        </w:rPr>
        <w:t xml:space="preserve">The dairy industry was the most highly regulated and assisted major industry in Australia for 75 years until deregulation in 2000. </w:t>
      </w:r>
      <w:r w:rsidR="00214F07">
        <w:rPr>
          <w:rFonts w:ascii="Calibri" w:hAnsi="Calibri" w:cs="Calibri"/>
          <w:sz w:val="22"/>
          <w:szCs w:val="22"/>
        </w:rPr>
        <w:t xml:space="preserve">Freebairn (1992), </w:t>
      </w:r>
      <w:r w:rsidR="00DE5A8E" w:rsidRPr="00DE5A8E">
        <w:rPr>
          <w:rFonts w:ascii="Calibri" w:hAnsi="Calibri" w:cs="Calibri"/>
          <w:sz w:val="22"/>
          <w:szCs w:val="22"/>
        </w:rPr>
        <w:t xml:space="preserve">Edwards (2003) and Griffith and Watson (2016) describe the range of policy instruments </w:t>
      </w:r>
      <w:r w:rsidR="004B68F2">
        <w:rPr>
          <w:rFonts w:ascii="Calibri" w:hAnsi="Calibri" w:cs="Calibri"/>
          <w:sz w:val="22"/>
          <w:szCs w:val="22"/>
        </w:rPr>
        <w:t xml:space="preserve">that were </w:t>
      </w:r>
      <w:r w:rsidR="00DE5A8E" w:rsidRPr="00DE5A8E">
        <w:rPr>
          <w:rFonts w:ascii="Calibri" w:hAnsi="Calibri" w:cs="Calibri"/>
          <w:sz w:val="22"/>
          <w:szCs w:val="22"/>
        </w:rPr>
        <w:t>used.</w:t>
      </w:r>
      <w:r w:rsidR="00DE5A8E">
        <w:rPr>
          <w:rFonts w:ascii="Calibri" w:hAnsi="Calibri" w:cs="Calibri"/>
          <w:sz w:val="22"/>
          <w:szCs w:val="22"/>
        </w:rPr>
        <w:t xml:space="preserve"> </w:t>
      </w:r>
      <w:r w:rsidR="00346EBF" w:rsidRPr="00DE5A8E">
        <w:rPr>
          <w:rFonts w:ascii="Calibri" w:hAnsi="Calibri" w:cs="Calibri"/>
          <w:sz w:val="22"/>
          <w:szCs w:val="22"/>
        </w:rPr>
        <w:t>State</w:t>
      </w:r>
      <w:r w:rsidR="00346EBF" w:rsidRPr="005233BE">
        <w:rPr>
          <w:rFonts w:ascii="Calibri" w:hAnsi="Calibri" w:cs="Calibri"/>
          <w:sz w:val="22"/>
          <w:szCs w:val="22"/>
        </w:rPr>
        <w:t xml:space="preserve"> </w:t>
      </w:r>
      <w:r w:rsidR="001E1666" w:rsidRPr="005233BE">
        <w:rPr>
          <w:rFonts w:ascii="Calibri" w:hAnsi="Calibri" w:cs="Calibri"/>
          <w:sz w:val="22"/>
          <w:szCs w:val="22"/>
        </w:rPr>
        <w:t xml:space="preserve">ﬂuid milk markets were </w:t>
      </w:r>
      <w:r w:rsidR="00346EBF" w:rsidRPr="005233BE">
        <w:rPr>
          <w:rFonts w:ascii="Calibri" w:hAnsi="Calibri" w:cs="Calibri"/>
          <w:sz w:val="22"/>
          <w:szCs w:val="22"/>
        </w:rPr>
        <w:t>tightly</w:t>
      </w:r>
      <w:r w:rsidR="001E1666" w:rsidRPr="005233BE">
        <w:rPr>
          <w:rFonts w:ascii="Calibri" w:hAnsi="Calibri" w:cs="Calibri"/>
          <w:sz w:val="22"/>
          <w:szCs w:val="22"/>
        </w:rPr>
        <w:t xml:space="preserve"> controlled by state marketing authorities which licensed farmers to produce milk, regulated quality, took over ownership of milk at the farm gate, set farm prices for milk, imposed production quotas or price pooling, regulated wholesale and retail margins, regulated milk transport and restricted interstate </w:t>
      </w:r>
      <w:r w:rsidR="001E1666" w:rsidRPr="005233BE">
        <w:rPr>
          <w:rFonts w:ascii="Calibri" w:hAnsi="Calibri" w:cs="Calibri"/>
          <w:sz w:val="22"/>
          <w:szCs w:val="22"/>
        </w:rPr>
        <w:lastRenderedPageBreak/>
        <w:t xml:space="preserve">trade in milk. </w:t>
      </w:r>
      <w:r w:rsidR="00CF3854" w:rsidRPr="005233BE">
        <w:rPr>
          <w:rFonts w:ascii="Calibri" w:hAnsi="Calibri" w:cs="Calibri"/>
          <w:sz w:val="22"/>
          <w:szCs w:val="22"/>
        </w:rPr>
        <w:t xml:space="preserve">These policies </w:t>
      </w:r>
      <w:r w:rsidR="00B77F54" w:rsidRPr="005233BE">
        <w:rPr>
          <w:rFonts w:ascii="Calibri" w:hAnsi="Calibri" w:cs="Calibri"/>
          <w:sz w:val="22"/>
          <w:szCs w:val="22"/>
        </w:rPr>
        <w:t>induced a substantial oversupply of fluid milk greater than domestic</w:t>
      </w:r>
      <w:r w:rsidR="002C19A1" w:rsidRPr="005233BE">
        <w:rPr>
          <w:rFonts w:ascii="Calibri" w:hAnsi="Calibri" w:cs="Calibri"/>
          <w:sz w:val="22"/>
          <w:szCs w:val="22"/>
        </w:rPr>
        <w:t xml:space="preserve"> market requirements which had to be processed and sold on world markets</w:t>
      </w:r>
      <w:r w:rsidR="004C319D" w:rsidRPr="005233BE">
        <w:rPr>
          <w:rFonts w:ascii="Calibri" w:hAnsi="Calibri" w:cs="Calibri"/>
          <w:sz w:val="22"/>
          <w:szCs w:val="22"/>
        </w:rPr>
        <w:t>. In response</w:t>
      </w:r>
      <w:r w:rsidR="008E1216" w:rsidRPr="005233BE">
        <w:rPr>
          <w:rFonts w:ascii="Calibri" w:hAnsi="Calibri" w:cs="Calibri"/>
          <w:sz w:val="22"/>
          <w:szCs w:val="22"/>
        </w:rPr>
        <w:t>, a</w:t>
      </w:r>
      <w:r w:rsidRPr="005233BE">
        <w:rPr>
          <w:rFonts w:ascii="Calibri" w:hAnsi="Calibri" w:cs="Calibri"/>
          <w:sz w:val="22"/>
          <w:szCs w:val="22"/>
        </w:rPr>
        <w:t xml:space="preserve"> number of dairy product stabilisation schemes were implemented, all essentially attempts to shield farmers from the lower and more variable returns that the global market alone would deliver. </w:t>
      </w:r>
      <w:r w:rsidR="005233BE" w:rsidRPr="005233BE">
        <w:rPr>
          <w:rFonts w:ascii="Calibri" w:hAnsi="Calibri" w:cs="Calibri"/>
          <w:sz w:val="22"/>
          <w:szCs w:val="22"/>
        </w:rPr>
        <w:t>All of these policies were removed in 2000</w:t>
      </w:r>
      <w:r w:rsidR="005233BE" w:rsidRPr="00572A7E">
        <w:rPr>
          <w:rFonts w:ascii="Calibri" w:hAnsi="Calibri" w:cs="Calibri"/>
          <w:sz w:val="22"/>
          <w:szCs w:val="22"/>
        </w:rPr>
        <w:t>.</w:t>
      </w:r>
      <w:r w:rsidR="00572A7E" w:rsidRPr="00572A7E">
        <w:rPr>
          <w:rFonts w:ascii="Calibri" w:hAnsi="Calibri" w:cs="Calibri"/>
          <w:sz w:val="22"/>
          <w:szCs w:val="22"/>
        </w:rPr>
        <w:t xml:space="preserve"> </w:t>
      </w:r>
      <w:r w:rsidR="00572A7E">
        <w:rPr>
          <w:rFonts w:ascii="Calibri" w:hAnsi="Calibri" w:cs="Calibri"/>
          <w:sz w:val="22"/>
          <w:szCs w:val="22"/>
        </w:rPr>
        <w:t xml:space="preserve">Following </w:t>
      </w:r>
      <w:r w:rsidR="00DF21BF">
        <w:rPr>
          <w:rFonts w:ascii="Calibri" w:hAnsi="Calibri" w:cs="Calibri"/>
          <w:sz w:val="22"/>
          <w:szCs w:val="22"/>
        </w:rPr>
        <w:t>deregulation</w:t>
      </w:r>
      <w:r w:rsidR="00BE6420">
        <w:rPr>
          <w:rFonts w:ascii="Calibri" w:hAnsi="Calibri" w:cs="Calibri"/>
          <w:sz w:val="22"/>
          <w:szCs w:val="22"/>
        </w:rPr>
        <w:t>, i</w:t>
      </w:r>
      <w:r w:rsidR="00572A7E" w:rsidRPr="00572A7E">
        <w:rPr>
          <w:rFonts w:ascii="Calibri" w:hAnsi="Calibri" w:cs="Calibri"/>
          <w:sz w:val="22"/>
          <w:szCs w:val="22"/>
        </w:rPr>
        <w:t xml:space="preserve">t was generally understood by the </w:t>
      </w:r>
      <w:r w:rsidR="00BE6420">
        <w:rPr>
          <w:rFonts w:ascii="Calibri" w:hAnsi="Calibri" w:cs="Calibri"/>
          <w:sz w:val="22"/>
          <w:szCs w:val="22"/>
        </w:rPr>
        <w:t>dairy</w:t>
      </w:r>
      <w:r w:rsidR="00572A7E" w:rsidRPr="00572A7E">
        <w:rPr>
          <w:rFonts w:ascii="Calibri" w:hAnsi="Calibri" w:cs="Calibri"/>
          <w:sz w:val="22"/>
          <w:szCs w:val="22"/>
        </w:rPr>
        <w:t xml:space="preserve"> industry that international prices ha</w:t>
      </w:r>
      <w:r w:rsidR="00BE6420">
        <w:rPr>
          <w:rFonts w:ascii="Calibri" w:hAnsi="Calibri" w:cs="Calibri"/>
          <w:sz w:val="22"/>
          <w:szCs w:val="22"/>
        </w:rPr>
        <w:t>d</w:t>
      </w:r>
      <w:r w:rsidR="00572A7E" w:rsidRPr="00572A7E">
        <w:rPr>
          <w:rFonts w:ascii="Calibri" w:hAnsi="Calibri" w:cs="Calibri"/>
          <w:sz w:val="22"/>
          <w:szCs w:val="22"/>
        </w:rPr>
        <w:t xml:space="preserve"> a significant influence on farm-gate prices because a substantial share of Australian milk production is destined for export markets</w:t>
      </w:r>
      <w:r w:rsidR="00AD6562">
        <w:rPr>
          <w:rFonts w:ascii="Calibri" w:hAnsi="Calibri" w:cs="Calibri"/>
          <w:sz w:val="22"/>
          <w:szCs w:val="22"/>
        </w:rPr>
        <w:t xml:space="preserve"> (</w:t>
      </w:r>
      <w:r w:rsidR="005707C4">
        <w:rPr>
          <w:rFonts w:ascii="Calibri" w:hAnsi="Calibri" w:cs="Calibri"/>
          <w:sz w:val="22"/>
          <w:szCs w:val="22"/>
        </w:rPr>
        <w:t>F</w:t>
      </w:r>
      <w:r w:rsidR="00AD6562">
        <w:rPr>
          <w:rFonts w:ascii="Calibri" w:hAnsi="Calibri" w:cs="Calibri"/>
          <w:sz w:val="22"/>
          <w:szCs w:val="22"/>
        </w:rPr>
        <w:t>reebairn, 20</w:t>
      </w:r>
      <w:r w:rsidR="00272B0B">
        <w:rPr>
          <w:rFonts w:ascii="Calibri" w:hAnsi="Calibri" w:cs="Calibri"/>
          <w:sz w:val="22"/>
          <w:szCs w:val="22"/>
        </w:rPr>
        <w:t>1</w:t>
      </w:r>
      <w:r w:rsidR="00AD6562">
        <w:rPr>
          <w:rFonts w:ascii="Calibri" w:hAnsi="Calibri" w:cs="Calibri"/>
          <w:sz w:val="22"/>
          <w:szCs w:val="22"/>
        </w:rPr>
        <w:t>6)</w:t>
      </w:r>
      <w:r w:rsidR="005707C4">
        <w:rPr>
          <w:rStyle w:val="FootnoteReference"/>
          <w:rFonts w:ascii="Calibri" w:hAnsi="Calibri" w:cs="Calibri"/>
          <w:sz w:val="22"/>
          <w:szCs w:val="22"/>
        </w:rPr>
        <w:footnoteReference w:id="3"/>
      </w:r>
      <w:r w:rsidR="00572A7E" w:rsidRPr="00572A7E">
        <w:rPr>
          <w:rFonts w:ascii="Calibri" w:hAnsi="Calibri" w:cs="Calibri"/>
          <w:sz w:val="22"/>
          <w:szCs w:val="22"/>
        </w:rPr>
        <w:t>.</w:t>
      </w:r>
    </w:p>
    <w:p w14:paraId="19EA45F2" w14:textId="77777777" w:rsidR="008E1216" w:rsidRDefault="008E1216" w:rsidP="009F1618">
      <w:pPr>
        <w:spacing w:after="0" w:line="240" w:lineRule="auto"/>
        <w:jc w:val="both"/>
        <w:rPr>
          <w:rFonts w:ascii="Calibri" w:hAnsi="Calibri" w:cs="Calibri"/>
        </w:rPr>
      </w:pPr>
    </w:p>
    <w:p w14:paraId="7FF89580" w14:textId="47785B70" w:rsidR="0099048E" w:rsidRPr="00F17994" w:rsidRDefault="00E10EC1" w:rsidP="009F1618">
      <w:pPr>
        <w:spacing w:after="0" w:line="240" w:lineRule="auto"/>
        <w:jc w:val="both"/>
        <w:rPr>
          <w:rFonts w:ascii="Calibri" w:hAnsi="Calibri" w:cs="Calibri"/>
          <w:sz w:val="22"/>
          <w:szCs w:val="22"/>
        </w:rPr>
      </w:pPr>
      <w:r w:rsidRPr="00F17994">
        <w:rPr>
          <w:rFonts w:ascii="Calibri" w:hAnsi="Calibri" w:cs="Calibri"/>
          <w:sz w:val="22"/>
          <w:szCs w:val="22"/>
        </w:rPr>
        <w:t>When Australian supermarkets introduced discount private label milk in 2011,</w:t>
      </w:r>
      <w:r w:rsidR="00140B16" w:rsidRPr="00F17994">
        <w:rPr>
          <w:rFonts w:ascii="Calibri" w:hAnsi="Calibri" w:cs="Calibri"/>
          <w:sz w:val="22"/>
          <w:szCs w:val="22"/>
        </w:rPr>
        <w:t xml:space="preserve"> the decision</w:t>
      </w:r>
      <w:r w:rsidR="00B97D4C" w:rsidRPr="00F17994">
        <w:rPr>
          <w:rFonts w:ascii="Calibri" w:hAnsi="Calibri" w:cs="Calibri"/>
          <w:sz w:val="22"/>
          <w:szCs w:val="22"/>
        </w:rPr>
        <w:t xml:space="preserve"> sparked debate over its </w:t>
      </w:r>
      <w:r w:rsidR="00AD372F" w:rsidRPr="00F17994">
        <w:rPr>
          <w:rFonts w:ascii="Calibri" w:hAnsi="Calibri" w:cs="Calibri"/>
          <w:sz w:val="22"/>
          <w:szCs w:val="22"/>
        </w:rPr>
        <w:t xml:space="preserve">potential </w:t>
      </w:r>
      <w:r w:rsidR="008E3D0C" w:rsidRPr="00F17994">
        <w:rPr>
          <w:rFonts w:ascii="Calibri" w:hAnsi="Calibri" w:cs="Calibri"/>
          <w:sz w:val="22"/>
          <w:szCs w:val="22"/>
        </w:rPr>
        <w:t xml:space="preserve">downstream </w:t>
      </w:r>
      <w:r w:rsidR="00B97D4C" w:rsidRPr="00F17994">
        <w:rPr>
          <w:rFonts w:ascii="Calibri" w:hAnsi="Calibri" w:cs="Calibri"/>
          <w:sz w:val="22"/>
          <w:szCs w:val="22"/>
        </w:rPr>
        <w:t>impact</w:t>
      </w:r>
      <w:r w:rsidR="008E1226" w:rsidRPr="00F17994">
        <w:rPr>
          <w:rFonts w:ascii="Calibri" w:hAnsi="Calibri" w:cs="Calibri"/>
          <w:sz w:val="22"/>
          <w:szCs w:val="22"/>
        </w:rPr>
        <w:t xml:space="preserve">, </w:t>
      </w:r>
      <w:r w:rsidR="00AD372F" w:rsidRPr="00F17994">
        <w:rPr>
          <w:rFonts w:ascii="Calibri" w:hAnsi="Calibri" w:cs="Calibri"/>
          <w:sz w:val="22"/>
          <w:szCs w:val="22"/>
        </w:rPr>
        <w:t xml:space="preserve">ultimately </w:t>
      </w:r>
      <w:r w:rsidR="00DA038B" w:rsidRPr="00F17994">
        <w:rPr>
          <w:rFonts w:ascii="Calibri" w:hAnsi="Calibri" w:cs="Calibri"/>
          <w:sz w:val="22"/>
          <w:szCs w:val="22"/>
        </w:rPr>
        <w:t>culminating</w:t>
      </w:r>
      <w:r w:rsidR="003F0D5A" w:rsidRPr="00F17994">
        <w:rPr>
          <w:rFonts w:ascii="Calibri" w:hAnsi="Calibri" w:cs="Calibri"/>
          <w:sz w:val="22"/>
          <w:szCs w:val="22"/>
        </w:rPr>
        <w:t xml:space="preserve"> in</w:t>
      </w:r>
      <w:r w:rsidR="008E1226" w:rsidRPr="00F17994">
        <w:rPr>
          <w:rFonts w:ascii="Calibri" w:hAnsi="Calibri" w:cs="Calibri"/>
          <w:sz w:val="22"/>
          <w:szCs w:val="22"/>
        </w:rPr>
        <w:t xml:space="preserve"> a </w:t>
      </w:r>
      <w:r w:rsidR="00973AB1" w:rsidRPr="00F17994">
        <w:rPr>
          <w:rFonts w:ascii="Calibri" w:hAnsi="Calibri" w:cs="Calibri"/>
          <w:sz w:val="22"/>
          <w:szCs w:val="22"/>
        </w:rPr>
        <w:t>Senate inquiry (Senate Economics References Committee</w:t>
      </w:r>
      <w:r w:rsidR="00410BB8" w:rsidRPr="00F17994">
        <w:rPr>
          <w:rFonts w:ascii="Calibri" w:hAnsi="Calibri" w:cs="Calibri"/>
          <w:sz w:val="22"/>
          <w:szCs w:val="22"/>
        </w:rPr>
        <w:t xml:space="preserve"> 2011</w:t>
      </w:r>
      <w:r w:rsidR="00C552C8" w:rsidRPr="00F17994">
        <w:rPr>
          <w:rFonts w:ascii="Calibri" w:hAnsi="Calibri" w:cs="Calibri"/>
          <w:sz w:val="22"/>
          <w:szCs w:val="22"/>
        </w:rPr>
        <w:t>). Farmer representative groups</w:t>
      </w:r>
      <w:r w:rsidR="00CF5E43" w:rsidRPr="00F17994">
        <w:rPr>
          <w:rFonts w:ascii="Calibri" w:hAnsi="Calibri" w:cs="Calibri"/>
          <w:sz w:val="22"/>
          <w:szCs w:val="22"/>
        </w:rPr>
        <w:t xml:space="preserve"> </w:t>
      </w:r>
      <w:r w:rsidR="00560F52" w:rsidRPr="00F17994">
        <w:rPr>
          <w:rFonts w:ascii="Calibri" w:hAnsi="Calibri" w:cs="Calibri"/>
          <w:sz w:val="22"/>
          <w:szCs w:val="22"/>
        </w:rPr>
        <w:t>feared</w:t>
      </w:r>
      <w:r w:rsidR="007251AF" w:rsidRPr="00F17994">
        <w:rPr>
          <w:rFonts w:ascii="Calibri" w:hAnsi="Calibri" w:cs="Calibri"/>
          <w:sz w:val="22"/>
          <w:szCs w:val="22"/>
        </w:rPr>
        <w:t xml:space="preserve"> falling farm incomes, </w:t>
      </w:r>
      <w:r w:rsidR="00AC78AF" w:rsidRPr="00F17994">
        <w:rPr>
          <w:rFonts w:ascii="Calibri" w:hAnsi="Calibri" w:cs="Calibri"/>
          <w:sz w:val="22"/>
          <w:szCs w:val="22"/>
        </w:rPr>
        <w:t>dairy processors raised concerns that the effect on farm-gate milk prices would materialise</w:t>
      </w:r>
      <w:r w:rsidR="0033299D" w:rsidRPr="00F17994">
        <w:rPr>
          <w:rFonts w:ascii="Calibri" w:hAnsi="Calibri" w:cs="Calibri"/>
          <w:sz w:val="22"/>
          <w:szCs w:val="22"/>
        </w:rPr>
        <w:t xml:space="preserve">, and a group of senators argued </w:t>
      </w:r>
      <w:r w:rsidR="007C6749" w:rsidRPr="00F17994">
        <w:rPr>
          <w:rFonts w:ascii="Calibri" w:hAnsi="Calibri" w:cs="Calibri"/>
          <w:sz w:val="22"/>
          <w:szCs w:val="22"/>
        </w:rPr>
        <w:t>that sustained discounting would eventually force farmers out of the industry</w:t>
      </w:r>
      <w:r w:rsidR="000839D7" w:rsidRPr="00F17994">
        <w:rPr>
          <w:rFonts w:ascii="Calibri" w:hAnsi="Calibri" w:cs="Calibri"/>
          <w:sz w:val="22"/>
          <w:szCs w:val="22"/>
        </w:rPr>
        <w:t>.</w:t>
      </w:r>
      <w:r w:rsidR="00DB0C2E" w:rsidRPr="00F17994">
        <w:rPr>
          <w:rFonts w:ascii="Calibri" w:hAnsi="Calibri" w:cs="Calibri"/>
          <w:sz w:val="22"/>
          <w:szCs w:val="22"/>
        </w:rPr>
        <w:t xml:space="preserve"> </w:t>
      </w:r>
    </w:p>
    <w:p w14:paraId="78DD9E51" w14:textId="77777777" w:rsidR="005D65D5" w:rsidRPr="00F17994" w:rsidRDefault="005D65D5" w:rsidP="009F1618">
      <w:pPr>
        <w:spacing w:after="0" w:line="240" w:lineRule="auto"/>
        <w:contextualSpacing/>
        <w:jc w:val="both"/>
        <w:rPr>
          <w:rFonts w:ascii="Calibri" w:hAnsi="Calibri" w:cs="Calibri"/>
          <w:sz w:val="22"/>
          <w:szCs w:val="22"/>
        </w:rPr>
      </w:pPr>
    </w:p>
    <w:p w14:paraId="79D7FF30" w14:textId="78335DB9" w:rsidR="001C7FE4" w:rsidRPr="00F17994" w:rsidRDefault="0061543B" w:rsidP="009F1618">
      <w:pPr>
        <w:spacing w:after="0" w:line="240" w:lineRule="auto"/>
        <w:contextualSpacing/>
        <w:jc w:val="both"/>
        <w:rPr>
          <w:rFonts w:ascii="Calibri" w:hAnsi="Calibri" w:cs="Calibri"/>
          <w:sz w:val="22"/>
          <w:szCs w:val="22"/>
        </w:rPr>
      </w:pPr>
      <w:r w:rsidRPr="00F17994">
        <w:rPr>
          <w:rFonts w:ascii="Calibri" w:hAnsi="Calibri" w:cs="Calibri"/>
          <w:sz w:val="22"/>
          <w:szCs w:val="22"/>
        </w:rPr>
        <w:t xml:space="preserve">The available evidence did not support these views. </w:t>
      </w:r>
      <w:r w:rsidR="00B82438" w:rsidRPr="00F17994">
        <w:rPr>
          <w:rFonts w:ascii="Calibri" w:hAnsi="Calibri" w:cs="Calibri"/>
          <w:sz w:val="22"/>
          <w:szCs w:val="22"/>
        </w:rPr>
        <w:t>T</w:t>
      </w:r>
      <w:r w:rsidR="003D24A9" w:rsidRPr="00F17994">
        <w:rPr>
          <w:rFonts w:ascii="Calibri" w:hAnsi="Calibri" w:cs="Calibri"/>
          <w:sz w:val="22"/>
          <w:szCs w:val="22"/>
        </w:rPr>
        <w:t>he Australian Competition and Consumer Commission’s (ACCC) Dairy Inquiry (2018)</w:t>
      </w:r>
      <w:r w:rsidR="00B82438" w:rsidRPr="00F17994">
        <w:rPr>
          <w:rFonts w:ascii="Calibri" w:hAnsi="Calibri" w:cs="Calibri"/>
          <w:sz w:val="22"/>
          <w:szCs w:val="22"/>
        </w:rPr>
        <w:t xml:space="preserve"> found</w:t>
      </w:r>
      <w:r w:rsidR="00F07BD7" w:rsidRPr="00F17994">
        <w:rPr>
          <w:rFonts w:ascii="Calibri" w:hAnsi="Calibri" w:cs="Calibri"/>
          <w:sz w:val="22"/>
          <w:szCs w:val="22"/>
        </w:rPr>
        <w:t xml:space="preserve"> that most private label milk contracts </w:t>
      </w:r>
      <w:r w:rsidR="007B7AF0" w:rsidRPr="00F17994">
        <w:rPr>
          <w:rFonts w:ascii="Calibri" w:hAnsi="Calibri" w:cs="Calibri"/>
          <w:sz w:val="22"/>
          <w:szCs w:val="22"/>
        </w:rPr>
        <w:t>allow</w:t>
      </w:r>
      <w:r w:rsidR="00F07BD7" w:rsidRPr="00F17994">
        <w:rPr>
          <w:rFonts w:ascii="Calibri" w:hAnsi="Calibri" w:cs="Calibri"/>
          <w:sz w:val="22"/>
          <w:szCs w:val="22"/>
        </w:rPr>
        <w:t xml:space="preserve"> dairy processors to </w:t>
      </w:r>
      <w:r w:rsidR="00682805" w:rsidRPr="00F17994">
        <w:rPr>
          <w:rFonts w:ascii="Calibri" w:hAnsi="Calibri" w:cs="Calibri"/>
          <w:sz w:val="22"/>
          <w:szCs w:val="22"/>
        </w:rPr>
        <w:t>pass through</w:t>
      </w:r>
      <w:r w:rsidR="009A207B" w:rsidRPr="00F17994">
        <w:rPr>
          <w:rFonts w:ascii="Calibri" w:hAnsi="Calibri" w:cs="Calibri"/>
          <w:sz w:val="22"/>
          <w:szCs w:val="22"/>
        </w:rPr>
        <w:t xml:space="preserve"> </w:t>
      </w:r>
      <w:r w:rsidR="00827AA7" w:rsidRPr="00F17994">
        <w:rPr>
          <w:rFonts w:ascii="Calibri" w:hAnsi="Calibri" w:cs="Calibri"/>
          <w:sz w:val="22"/>
          <w:szCs w:val="22"/>
        </w:rPr>
        <w:t>the cost of raw milk</w:t>
      </w:r>
      <w:r w:rsidR="009A207B" w:rsidRPr="00F17994">
        <w:rPr>
          <w:rFonts w:ascii="Calibri" w:hAnsi="Calibri" w:cs="Calibri"/>
          <w:sz w:val="22"/>
          <w:szCs w:val="22"/>
        </w:rPr>
        <w:t xml:space="preserve"> to supermarkets</w:t>
      </w:r>
      <w:r w:rsidR="00D315BD" w:rsidRPr="00F17994">
        <w:rPr>
          <w:rFonts w:ascii="Calibri" w:hAnsi="Calibri" w:cs="Calibri"/>
          <w:sz w:val="22"/>
          <w:szCs w:val="22"/>
        </w:rPr>
        <w:t xml:space="preserve">, </w:t>
      </w:r>
      <w:r w:rsidR="00BF0443" w:rsidRPr="00F17994">
        <w:rPr>
          <w:rFonts w:ascii="Calibri" w:hAnsi="Calibri" w:cs="Calibri"/>
          <w:sz w:val="22"/>
          <w:szCs w:val="22"/>
        </w:rPr>
        <w:t xml:space="preserve">while the </w:t>
      </w:r>
      <w:r w:rsidR="00D315BD" w:rsidRPr="00F17994">
        <w:rPr>
          <w:rFonts w:ascii="Calibri" w:hAnsi="Calibri" w:cs="Calibri"/>
          <w:sz w:val="22"/>
          <w:szCs w:val="22"/>
        </w:rPr>
        <w:t>process</w:t>
      </w:r>
      <w:r w:rsidR="00BF0443" w:rsidRPr="00F17994">
        <w:rPr>
          <w:rFonts w:ascii="Calibri" w:hAnsi="Calibri" w:cs="Calibri"/>
          <w:sz w:val="22"/>
          <w:szCs w:val="22"/>
        </w:rPr>
        <w:t>or</w:t>
      </w:r>
      <w:r w:rsidR="007F0FDF" w:rsidRPr="00F17994">
        <w:rPr>
          <w:rFonts w:ascii="Calibri" w:hAnsi="Calibri" w:cs="Calibri"/>
          <w:sz w:val="22"/>
          <w:szCs w:val="22"/>
        </w:rPr>
        <w:t>’</w:t>
      </w:r>
      <w:r w:rsidR="00BF0443" w:rsidRPr="00F17994">
        <w:rPr>
          <w:rFonts w:ascii="Calibri" w:hAnsi="Calibri" w:cs="Calibri"/>
          <w:sz w:val="22"/>
          <w:szCs w:val="22"/>
        </w:rPr>
        <w:t xml:space="preserve">s margin </w:t>
      </w:r>
      <w:r w:rsidR="00B37CEF" w:rsidRPr="00F17994">
        <w:rPr>
          <w:rFonts w:ascii="Calibri" w:hAnsi="Calibri" w:cs="Calibri"/>
          <w:sz w:val="22"/>
          <w:szCs w:val="22"/>
        </w:rPr>
        <w:t>is</w:t>
      </w:r>
      <w:r w:rsidR="00BF0443" w:rsidRPr="00F17994">
        <w:rPr>
          <w:rFonts w:ascii="Calibri" w:hAnsi="Calibri" w:cs="Calibri"/>
          <w:sz w:val="22"/>
          <w:szCs w:val="22"/>
        </w:rPr>
        <w:t xml:space="preserve"> the pri</w:t>
      </w:r>
      <w:r w:rsidR="00D315BD" w:rsidRPr="00F17994">
        <w:rPr>
          <w:rFonts w:ascii="Calibri" w:hAnsi="Calibri" w:cs="Calibri"/>
          <w:sz w:val="22"/>
          <w:szCs w:val="22"/>
        </w:rPr>
        <w:t>mar</w:t>
      </w:r>
      <w:r w:rsidR="00766E5C" w:rsidRPr="00F17994">
        <w:rPr>
          <w:rFonts w:ascii="Calibri" w:hAnsi="Calibri" w:cs="Calibri"/>
          <w:sz w:val="22"/>
          <w:szCs w:val="22"/>
        </w:rPr>
        <w:t>y point of negotiation</w:t>
      </w:r>
      <w:r w:rsidR="00995A22" w:rsidRPr="00F17994">
        <w:rPr>
          <w:rFonts w:ascii="Calibri" w:hAnsi="Calibri" w:cs="Calibri"/>
          <w:sz w:val="22"/>
          <w:szCs w:val="22"/>
        </w:rPr>
        <w:t xml:space="preserve">. </w:t>
      </w:r>
      <w:r w:rsidR="009C092C" w:rsidRPr="00F17994">
        <w:rPr>
          <w:rStyle w:val="Style1Char"/>
          <w:rFonts w:ascii="Calibri" w:hAnsi="Calibri" w:cs="Calibri"/>
          <w:sz w:val="22"/>
          <w:szCs w:val="22"/>
        </w:rPr>
        <w:t xml:space="preserve">Freebairn (2016) argued </w:t>
      </w:r>
      <w:r w:rsidR="009C092C" w:rsidRPr="00F17994">
        <w:rPr>
          <w:rFonts w:ascii="Calibri" w:hAnsi="Calibri" w:cs="Calibri"/>
          <w:sz w:val="22"/>
          <w:szCs w:val="22"/>
        </w:rPr>
        <w:t xml:space="preserve">that all raw milk, whether destined for fresh consumption or manufacturing, tends toward valuation based on its worth in exported dairy products such as butter, cheese, and milk powders. </w:t>
      </w:r>
      <w:r w:rsidR="000561F0" w:rsidRPr="00F17994">
        <w:rPr>
          <w:rFonts w:ascii="Calibri" w:hAnsi="Calibri" w:cs="Calibri"/>
          <w:sz w:val="22"/>
          <w:szCs w:val="22"/>
        </w:rPr>
        <w:t>Thus, t</w:t>
      </w:r>
      <w:r w:rsidR="00995A22" w:rsidRPr="00F17994">
        <w:rPr>
          <w:rFonts w:ascii="Calibri" w:hAnsi="Calibri" w:cs="Calibri"/>
          <w:sz w:val="22"/>
          <w:szCs w:val="22"/>
        </w:rPr>
        <w:t>he retail price</w:t>
      </w:r>
      <w:r w:rsidR="003E74AB" w:rsidRPr="00F17994">
        <w:rPr>
          <w:rFonts w:ascii="Calibri" w:hAnsi="Calibri" w:cs="Calibri"/>
          <w:sz w:val="22"/>
          <w:szCs w:val="22"/>
        </w:rPr>
        <w:t xml:space="preserve"> of private label milk is therefore not the key determinant of the farm-gate </w:t>
      </w:r>
      <w:r w:rsidR="00CA24F6" w:rsidRPr="00F17994">
        <w:rPr>
          <w:rFonts w:ascii="Calibri" w:hAnsi="Calibri" w:cs="Calibri"/>
          <w:sz w:val="22"/>
          <w:szCs w:val="22"/>
        </w:rPr>
        <w:t xml:space="preserve">milk </w:t>
      </w:r>
      <w:r w:rsidR="003E74AB" w:rsidRPr="00F17994">
        <w:rPr>
          <w:rFonts w:ascii="Calibri" w:hAnsi="Calibri" w:cs="Calibri"/>
          <w:sz w:val="22"/>
          <w:szCs w:val="22"/>
        </w:rPr>
        <w:t>price</w:t>
      </w:r>
      <w:r w:rsidR="00CA24F6" w:rsidRPr="00F17994">
        <w:rPr>
          <w:rFonts w:ascii="Calibri" w:hAnsi="Calibri" w:cs="Calibri"/>
          <w:sz w:val="22"/>
          <w:szCs w:val="22"/>
        </w:rPr>
        <w:t>. Th</w:t>
      </w:r>
      <w:r w:rsidR="00045758" w:rsidRPr="00F17994">
        <w:rPr>
          <w:rFonts w:ascii="Calibri" w:hAnsi="Calibri" w:cs="Calibri"/>
          <w:sz w:val="22"/>
          <w:szCs w:val="22"/>
        </w:rPr>
        <w:t>ey are</w:t>
      </w:r>
      <w:r w:rsidR="00CA24F6" w:rsidRPr="00F17994">
        <w:rPr>
          <w:rFonts w:ascii="Calibri" w:hAnsi="Calibri" w:cs="Calibri"/>
          <w:sz w:val="22"/>
          <w:szCs w:val="22"/>
        </w:rPr>
        <w:t xml:space="preserve"> </w:t>
      </w:r>
      <w:r w:rsidR="00DD2415" w:rsidRPr="00F17994">
        <w:rPr>
          <w:rFonts w:ascii="Calibri" w:hAnsi="Calibri" w:cs="Calibri"/>
          <w:sz w:val="22"/>
          <w:szCs w:val="22"/>
        </w:rPr>
        <w:t>instead</w:t>
      </w:r>
      <w:r w:rsidR="005F3BCC" w:rsidRPr="00F17994">
        <w:rPr>
          <w:rFonts w:ascii="Calibri" w:hAnsi="Calibri" w:cs="Calibri"/>
          <w:sz w:val="22"/>
          <w:szCs w:val="22"/>
        </w:rPr>
        <w:t xml:space="preserve"> shaped by </w:t>
      </w:r>
      <w:r w:rsidR="00185098" w:rsidRPr="00185098">
        <w:rPr>
          <w:rFonts w:ascii="Calibri" w:hAnsi="Calibri" w:cs="Calibri"/>
          <w:sz w:val="22"/>
          <w:szCs w:val="22"/>
        </w:rPr>
        <w:t>the marginal value of raw milk to processors across all of its potential uses. That value is largely shaped by the returns processors expect to earn across the range of dairy products and markets in which they operate.</w:t>
      </w:r>
    </w:p>
    <w:p w14:paraId="4442106C" w14:textId="77777777" w:rsidR="005D65D5" w:rsidRPr="004C2970" w:rsidRDefault="005D65D5" w:rsidP="009F1618">
      <w:pPr>
        <w:spacing w:after="0" w:line="240" w:lineRule="auto"/>
        <w:contextualSpacing/>
        <w:jc w:val="both"/>
        <w:rPr>
          <w:rFonts w:ascii="Calibri" w:hAnsi="Calibri" w:cs="Calibri"/>
          <w:sz w:val="22"/>
          <w:szCs w:val="22"/>
          <w:highlight w:val="yellow"/>
        </w:rPr>
      </w:pPr>
    </w:p>
    <w:p w14:paraId="2CBBFF8F" w14:textId="4AAF735D" w:rsidR="008B20AE" w:rsidRPr="0008444B" w:rsidRDefault="00E346E9" w:rsidP="009F1618">
      <w:pPr>
        <w:spacing w:after="0" w:line="240" w:lineRule="auto"/>
        <w:contextualSpacing/>
        <w:jc w:val="both"/>
        <w:rPr>
          <w:rFonts w:ascii="Calibri" w:hAnsi="Calibri" w:cs="Calibri"/>
          <w:sz w:val="22"/>
          <w:szCs w:val="22"/>
        </w:rPr>
      </w:pPr>
      <w:r w:rsidRPr="0008444B">
        <w:rPr>
          <w:rStyle w:val="Style1Char"/>
          <w:rFonts w:ascii="Calibri" w:hAnsi="Calibri" w:cs="Calibri"/>
          <w:sz w:val="22"/>
          <w:szCs w:val="22"/>
        </w:rPr>
        <w:t>However,</w:t>
      </w:r>
      <w:r w:rsidR="00F17994" w:rsidRPr="0008444B">
        <w:rPr>
          <w:rStyle w:val="Style1Char"/>
          <w:rFonts w:ascii="Calibri" w:hAnsi="Calibri" w:cs="Calibri"/>
          <w:sz w:val="22"/>
          <w:szCs w:val="22"/>
        </w:rPr>
        <w:t xml:space="preserve"> industry concern remains</w:t>
      </w:r>
      <w:r w:rsidR="0008444B" w:rsidRPr="0008444B">
        <w:rPr>
          <w:rStyle w:val="Style1Char"/>
          <w:rFonts w:ascii="Calibri" w:hAnsi="Calibri" w:cs="Calibri"/>
          <w:sz w:val="22"/>
          <w:szCs w:val="22"/>
        </w:rPr>
        <w:t>, so e</w:t>
      </w:r>
      <w:r w:rsidR="007556E8" w:rsidRPr="0008444B">
        <w:rPr>
          <w:rFonts w:ascii="Calibri" w:hAnsi="Calibri" w:cs="Calibri"/>
          <w:sz w:val="22"/>
          <w:szCs w:val="22"/>
        </w:rPr>
        <w:t xml:space="preserve">stablishing whether Australian export prices share a long-run relationship with international dairy prices is important because it represents the first link in the chain through which global market conditions may influence Australian dairy farmer returns. If international price movements are reflected in Australian export prices, and export prices in turn discipline domestic dairy prices, the returns available to dairy </w:t>
      </w:r>
      <w:r w:rsidR="00F65D57" w:rsidRPr="0008444B">
        <w:rPr>
          <w:rFonts w:ascii="Calibri" w:hAnsi="Calibri" w:cs="Calibri"/>
          <w:sz w:val="22"/>
          <w:szCs w:val="22"/>
        </w:rPr>
        <w:t>processors</w:t>
      </w:r>
      <w:r w:rsidR="007556E8" w:rsidRPr="0008444B">
        <w:rPr>
          <w:rFonts w:ascii="Calibri" w:hAnsi="Calibri" w:cs="Calibri"/>
          <w:sz w:val="22"/>
          <w:szCs w:val="22"/>
        </w:rPr>
        <w:t xml:space="preserve"> </w:t>
      </w:r>
      <w:r w:rsidR="00E34FA2" w:rsidRPr="0008444B">
        <w:rPr>
          <w:rFonts w:ascii="Calibri" w:hAnsi="Calibri" w:cs="Calibri"/>
          <w:sz w:val="22"/>
          <w:szCs w:val="22"/>
        </w:rPr>
        <w:t>are</w:t>
      </w:r>
      <w:r w:rsidR="00067287" w:rsidRPr="0008444B">
        <w:rPr>
          <w:rFonts w:ascii="Calibri" w:hAnsi="Calibri" w:cs="Calibri"/>
          <w:sz w:val="22"/>
          <w:szCs w:val="22"/>
        </w:rPr>
        <w:t xml:space="preserve"> </w:t>
      </w:r>
      <w:r w:rsidR="007556E8" w:rsidRPr="0008444B">
        <w:rPr>
          <w:rFonts w:ascii="Calibri" w:hAnsi="Calibri" w:cs="Calibri"/>
          <w:sz w:val="22"/>
          <w:szCs w:val="22"/>
        </w:rPr>
        <w:t xml:space="preserve">linked to conditions in international markets. </w:t>
      </w:r>
      <w:r w:rsidR="00CF28F7" w:rsidRPr="0008444B">
        <w:rPr>
          <w:rFonts w:ascii="Calibri" w:hAnsi="Calibri" w:cs="Calibri"/>
          <w:sz w:val="22"/>
          <w:szCs w:val="22"/>
        </w:rPr>
        <w:t>This suggests that changes in international dairy prices may ultimately be transmitted to farm-gate milk prices.</w:t>
      </w:r>
    </w:p>
    <w:p w14:paraId="2201066D" w14:textId="77777777" w:rsidR="003E5137" w:rsidRDefault="003E5137" w:rsidP="009F1618">
      <w:pPr>
        <w:spacing w:after="0" w:line="240" w:lineRule="auto"/>
        <w:contextualSpacing/>
        <w:jc w:val="both"/>
        <w:rPr>
          <w:rFonts w:ascii="Calibri" w:hAnsi="Calibri" w:cs="Calibri"/>
          <w:sz w:val="22"/>
          <w:szCs w:val="22"/>
        </w:rPr>
      </w:pPr>
    </w:p>
    <w:p w14:paraId="4266E67A" w14:textId="77777777" w:rsidR="00D1055C" w:rsidRPr="009F1618" w:rsidRDefault="00D1055C" w:rsidP="00D1055C">
      <w:pPr>
        <w:spacing w:after="0" w:line="240" w:lineRule="auto"/>
        <w:contextualSpacing/>
        <w:jc w:val="both"/>
        <w:rPr>
          <w:rFonts w:ascii="Calibri" w:hAnsi="Calibri" w:cs="Calibri"/>
          <w:sz w:val="22"/>
          <w:szCs w:val="22"/>
        </w:rPr>
      </w:pPr>
      <w:r w:rsidRPr="009F1618">
        <w:rPr>
          <w:rFonts w:ascii="Calibri" w:hAnsi="Calibri" w:cs="Calibri"/>
          <w:sz w:val="22"/>
          <w:szCs w:val="22"/>
        </w:rPr>
        <w:t>Whether Australian export prices do in fact move with international prices in this way is ultimately an empirical question. Existing research offers useful context. Swift (2004) use</w:t>
      </w:r>
      <w:r>
        <w:rPr>
          <w:rFonts w:ascii="Calibri" w:hAnsi="Calibri" w:cs="Calibri"/>
          <w:sz w:val="22"/>
          <w:szCs w:val="22"/>
        </w:rPr>
        <w:t>d</w:t>
      </w:r>
      <w:r w:rsidRPr="009F1618">
        <w:rPr>
          <w:rFonts w:ascii="Calibri" w:hAnsi="Calibri" w:cs="Calibri"/>
          <w:sz w:val="22"/>
          <w:szCs w:val="22"/>
        </w:rPr>
        <w:t xml:space="preserve"> cointegration techniques to test whether exchange rate movements pass fully through to foreign currency import prices. In an imperfectly competitive world market, exporters could maintain constant foreign prices by absorbing a currency change into their domestic currency markup. However, Swift f</w:t>
      </w:r>
      <w:r>
        <w:rPr>
          <w:rFonts w:ascii="Calibri" w:hAnsi="Calibri" w:cs="Calibri"/>
          <w:sz w:val="22"/>
          <w:szCs w:val="22"/>
        </w:rPr>
        <w:t>ound</w:t>
      </w:r>
      <w:r w:rsidRPr="009F1618">
        <w:rPr>
          <w:rFonts w:ascii="Calibri" w:hAnsi="Calibri" w:cs="Calibri"/>
          <w:sz w:val="22"/>
          <w:szCs w:val="22"/>
        </w:rPr>
        <w:t xml:space="preserve"> complete exchange rate pass-through for milk products and cheese over the period 1985 to 1996, consistent with Australian exporters operating as price takers in competitive markets</w:t>
      </w:r>
      <w:r w:rsidRPr="009F1618">
        <w:rPr>
          <w:rStyle w:val="FootnoteReference"/>
          <w:rFonts w:ascii="Calibri" w:hAnsi="Calibri" w:cs="Calibri"/>
          <w:sz w:val="22"/>
          <w:szCs w:val="22"/>
        </w:rPr>
        <w:footnoteReference w:id="4"/>
      </w:r>
      <w:r w:rsidRPr="009F1618">
        <w:rPr>
          <w:rFonts w:ascii="Calibri" w:hAnsi="Calibri" w:cs="Calibri"/>
          <w:sz w:val="22"/>
          <w:szCs w:val="22"/>
        </w:rPr>
        <w:t xml:space="preserve">. </w:t>
      </w:r>
    </w:p>
    <w:p w14:paraId="00A4B1A9" w14:textId="77777777" w:rsidR="00D1055C" w:rsidRDefault="00D1055C" w:rsidP="00D1055C">
      <w:pPr>
        <w:spacing w:after="0" w:line="240" w:lineRule="auto"/>
        <w:contextualSpacing/>
        <w:jc w:val="both"/>
        <w:rPr>
          <w:rFonts w:ascii="Calibri" w:hAnsi="Calibri" w:cs="Calibri"/>
          <w:sz w:val="22"/>
          <w:szCs w:val="22"/>
        </w:rPr>
      </w:pPr>
    </w:p>
    <w:p w14:paraId="494063FB" w14:textId="77777777" w:rsidR="00D1055C" w:rsidRPr="009F1618" w:rsidRDefault="00D1055C" w:rsidP="00D1055C">
      <w:pPr>
        <w:spacing w:after="0" w:line="240" w:lineRule="auto"/>
        <w:contextualSpacing/>
        <w:jc w:val="both"/>
        <w:rPr>
          <w:rFonts w:ascii="Calibri" w:hAnsi="Calibri" w:cs="Calibri"/>
          <w:sz w:val="22"/>
          <w:szCs w:val="22"/>
        </w:rPr>
      </w:pPr>
      <w:r w:rsidRPr="009F1618">
        <w:rPr>
          <w:rFonts w:ascii="Calibri" w:hAnsi="Calibri" w:cs="Calibri"/>
          <w:sz w:val="22"/>
          <w:szCs w:val="22"/>
        </w:rPr>
        <w:t xml:space="preserve">Fousekis et al. (2017) investigated the international skim milk powder market, finding a considerable degree of price co-movement between the European Union, Oceania, and the United States. Price linkages have been stronger between Oceania and the European Union, but the United States has been catching up with them. </w:t>
      </w:r>
    </w:p>
    <w:p w14:paraId="05D57389" w14:textId="77777777" w:rsidR="00804F3A" w:rsidRDefault="00804F3A" w:rsidP="009F1618">
      <w:pPr>
        <w:spacing w:after="0" w:line="240" w:lineRule="auto"/>
        <w:contextualSpacing/>
        <w:jc w:val="both"/>
        <w:rPr>
          <w:rFonts w:ascii="Calibri" w:hAnsi="Calibri" w:cs="Calibri"/>
          <w:sz w:val="22"/>
          <w:szCs w:val="22"/>
        </w:rPr>
      </w:pPr>
    </w:p>
    <w:p w14:paraId="4F1428AE" w14:textId="2F1D9FE4" w:rsidR="00A35698" w:rsidRPr="009F1618" w:rsidRDefault="002F741B" w:rsidP="009F1618">
      <w:pPr>
        <w:spacing w:after="0" w:line="240" w:lineRule="auto"/>
        <w:contextualSpacing/>
        <w:jc w:val="both"/>
        <w:rPr>
          <w:rFonts w:ascii="Calibri" w:hAnsi="Calibri" w:cs="Calibri"/>
          <w:sz w:val="22"/>
          <w:szCs w:val="22"/>
        </w:rPr>
      </w:pPr>
      <w:r w:rsidRPr="009F1618">
        <w:rPr>
          <w:rFonts w:ascii="Calibri" w:hAnsi="Calibri" w:cs="Calibri"/>
          <w:sz w:val="22"/>
          <w:szCs w:val="22"/>
        </w:rPr>
        <w:lastRenderedPageBreak/>
        <w:t xml:space="preserve">Rezitis and Rokopanos (2019) examined </w:t>
      </w:r>
      <w:r w:rsidR="009436F3" w:rsidRPr="009F1618">
        <w:rPr>
          <w:rFonts w:ascii="Calibri" w:hAnsi="Calibri" w:cs="Calibri"/>
          <w:sz w:val="22"/>
          <w:szCs w:val="22"/>
        </w:rPr>
        <w:t xml:space="preserve">butter and whole milk powder markets, revealing that Europe acts as the central market for butter while </w:t>
      </w:r>
      <w:r w:rsidR="004A316F" w:rsidRPr="009F1618">
        <w:rPr>
          <w:rFonts w:ascii="Calibri" w:hAnsi="Calibri" w:cs="Calibri"/>
          <w:sz w:val="22"/>
          <w:szCs w:val="22"/>
        </w:rPr>
        <w:t xml:space="preserve">displacing </w:t>
      </w:r>
      <w:r w:rsidR="009436F3" w:rsidRPr="009F1618">
        <w:rPr>
          <w:rFonts w:ascii="Calibri" w:hAnsi="Calibri" w:cs="Calibri"/>
          <w:sz w:val="22"/>
          <w:szCs w:val="22"/>
        </w:rPr>
        <w:t xml:space="preserve">Oceania as the central market for whole milk powder in more recent periods. </w:t>
      </w:r>
      <w:r w:rsidR="00A35698" w:rsidRPr="009F1618">
        <w:rPr>
          <w:rFonts w:ascii="Calibri" w:hAnsi="Calibri" w:cs="Calibri"/>
          <w:sz w:val="22"/>
          <w:szCs w:val="22"/>
        </w:rPr>
        <w:t xml:space="preserve">However, both </w:t>
      </w:r>
      <w:r w:rsidR="00E53BF4" w:rsidRPr="009F1618">
        <w:rPr>
          <w:rFonts w:ascii="Calibri" w:hAnsi="Calibri" w:cs="Calibri"/>
          <w:sz w:val="22"/>
          <w:szCs w:val="22"/>
        </w:rPr>
        <w:t xml:space="preserve">Fousekis et al. (2017) </w:t>
      </w:r>
      <w:r w:rsidR="00E53BF4">
        <w:rPr>
          <w:rFonts w:ascii="Calibri" w:hAnsi="Calibri" w:cs="Calibri"/>
          <w:sz w:val="22"/>
          <w:szCs w:val="22"/>
        </w:rPr>
        <w:t xml:space="preserve">and </w:t>
      </w:r>
      <w:r w:rsidR="00E53BF4" w:rsidRPr="009F1618">
        <w:rPr>
          <w:rFonts w:ascii="Calibri" w:hAnsi="Calibri" w:cs="Calibri"/>
          <w:sz w:val="22"/>
          <w:szCs w:val="22"/>
        </w:rPr>
        <w:t xml:space="preserve">Rezitis and Rokopanos (2019) </w:t>
      </w:r>
      <w:r w:rsidR="00A35698" w:rsidRPr="009F1618">
        <w:rPr>
          <w:rFonts w:ascii="Calibri" w:hAnsi="Calibri" w:cs="Calibri"/>
          <w:sz w:val="22"/>
          <w:szCs w:val="22"/>
        </w:rPr>
        <w:t>model Australia and New Zealand as a single Oceania market. With New Zealand accounting for the majority of global dairy exports and Australia just four per cent (Dairy Australia, 2025), price transmission patterns specific to Australia are likely obscured by New Zealand's dominant position within this grouping.</w:t>
      </w:r>
    </w:p>
    <w:p w14:paraId="710AD8BA" w14:textId="77777777" w:rsidR="00920291" w:rsidRDefault="00920291" w:rsidP="009F1618">
      <w:pPr>
        <w:spacing w:after="0" w:line="240" w:lineRule="auto"/>
        <w:contextualSpacing/>
        <w:jc w:val="both"/>
        <w:rPr>
          <w:rFonts w:ascii="Calibri" w:hAnsi="Calibri" w:cs="Calibri"/>
          <w:sz w:val="22"/>
          <w:szCs w:val="22"/>
        </w:rPr>
      </w:pPr>
    </w:p>
    <w:p w14:paraId="507F2FB0" w14:textId="1E8BB77C" w:rsidR="006B30EB" w:rsidRPr="009F1618" w:rsidRDefault="00713998" w:rsidP="009F1618">
      <w:pPr>
        <w:spacing w:after="0" w:line="240" w:lineRule="auto"/>
        <w:contextualSpacing/>
        <w:jc w:val="both"/>
        <w:rPr>
          <w:rFonts w:ascii="Calibri" w:hAnsi="Calibri" w:cs="Calibri"/>
          <w:sz w:val="22"/>
          <w:szCs w:val="22"/>
        </w:rPr>
      </w:pPr>
      <w:r w:rsidRPr="009F1618">
        <w:rPr>
          <w:rFonts w:ascii="Calibri" w:hAnsi="Calibri" w:cs="Calibri"/>
          <w:sz w:val="22"/>
          <w:szCs w:val="22"/>
        </w:rPr>
        <w:t>This study addresses that gap directly.</w:t>
      </w:r>
      <w:r w:rsidR="00510C61" w:rsidRPr="009F1618">
        <w:rPr>
          <w:rFonts w:ascii="Calibri" w:hAnsi="Calibri" w:cs="Calibri"/>
          <w:sz w:val="22"/>
          <w:szCs w:val="22"/>
        </w:rPr>
        <w:t xml:space="preserve"> Using monthly </w:t>
      </w:r>
      <w:r w:rsidR="00371FF9" w:rsidRPr="009F1618">
        <w:rPr>
          <w:rFonts w:ascii="Calibri" w:hAnsi="Calibri" w:cs="Calibri"/>
          <w:sz w:val="22"/>
          <w:szCs w:val="22"/>
        </w:rPr>
        <w:t>free-on-board</w:t>
      </w:r>
      <w:r w:rsidR="00D3364A" w:rsidRPr="009F1618">
        <w:rPr>
          <w:rFonts w:ascii="Calibri" w:hAnsi="Calibri" w:cs="Calibri"/>
          <w:sz w:val="22"/>
          <w:szCs w:val="22"/>
        </w:rPr>
        <w:t xml:space="preserve"> (f.o.b.)</w:t>
      </w:r>
      <w:r w:rsidR="00510C61" w:rsidRPr="009F1618">
        <w:rPr>
          <w:rFonts w:ascii="Calibri" w:hAnsi="Calibri" w:cs="Calibri"/>
          <w:sz w:val="22"/>
          <w:szCs w:val="22"/>
        </w:rPr>
        <w:t xml:space="preserve"> prices for butter, cheese, skim milk powder (SMP) and whole milk powder (WMP) from Australia</w:t>
      </w:r>
      <w:r w:rsidR="00AC7E1D" w:rsidRPr="009F1618">
        <w:rPr>
          <w:rFonts w:ascii="Calibri" w:hAnsi="Calibri" w:cs="Calibri"/>
          <w:sz w:val="22"/>
          <w:szCs w:val="22"/>
        </w:rPr>
        <w:t xml:space="preserve"> (AU)</w:t>
      </w:r>
      <w:r w:rsidR="00510C61" w:rsidRPr="009F1618">
        <w:rPr>
          <w:rFonts w:ascii="Calibri" w:hAnsi="Calibri" w:cs="Calibri"/>
          <w:sz w:val="22"/>
          <w:szCs w:val="22"/>
        </w:rPr>
        <w:t>, New Zealand</w:t>
      </w:r>
      <w:r w:rsidR="00AC7E1D" w:rsidRPr="009F1618">
        <w:rPr>
          <w:rFonts w:ascii="Calibri" w:hAnsi="Calibri" w:cs="Calibri"/>
          <w:sz w:val="22"/>
          <w:szCs w:val="22"/>
        </w:rPr>
        <w:t xml:space="preserve"> (NZ)</w:t>
      </w:r>
      <w:r w:rsidR="00510C61" w:rsidRPr="009F1618">
        <w:rPr>
          <w:rFonts w:ascii="Calibri" w:hAnsi="Calibri" w:cs="Calibri"/>
          <w:sz w:val="22"/>
          <w:szCs w:val="22"/>
        </w:rPr>
        <w:t>, the United States</w:t>
      </w:r>
      <w:r w:rsidR="00AC7E1D" w:rsidRPr="009F1618">
        <w:rPr>
          <w:rFonts w:ascii="Calibri" w:hAnsi="Calibri" w:cs="Calibri"/>
          <w:sz w:val="22"/>
          <w:szCs w:val="22"/>
        </w:rPr>
        <w:t xml:space="preserve"> (US)</w:t>
      </w:r>
      <w:r w:rsidR="00510C61" w:rsidRPr="009F1618">
        <w:rPr>
          <w:rFonts w:ascii="Calibri" w:hAnsi="Calibri" w:cs="Calibri"/>
          <w:sz w:val="22"/>
          <w:szCs w:val="22"/>
        </w:rPr>
        <w:t xml:space="preserve"> and </w:t>
      </w:r>
      <w:r w:rsidR="009522F7" w:rsidRPr="009F1618">
        <w:rPr>
          <w:rFonts w:ascii="Calibri" w:hAnsi="Calibri" w:cs="Calibri"/>
          <w:sz w:val="22"/>
          <w:szCs w:val="22"/>
        </w:rPr>
        <w:t xml:space="preserve">the </w:t>
      </w:r>
      <w:r w:rsidR="00510C61" w:rsidRPr="009F1618">
        <w:rPr>
          <w:rFonts w:ascii="Calibri" w:hAnsi="Calibri" w:cs="Calibri"/>
          <w:sz w:val="22"/>
          <w:szCs w:val="22"/>
        </w:rPr>
        <w:t>Europe</w:t>
      </w:r>
      <w:r w:rsidR="009522F7" w:rsidRPr="009F1618">
        <w:rPr>
          <w:rFonts w:ascii="Calibri" w:hAnsi="Calibri" w:cs="Calibri"/>
          <w:sz w:val="22"/>
          <w:szCs w:val="22"/>
        </w:rPr>
        <w:t>an Union</w:t>
      </w:r>
      <w:r w:rsidR="00AC7E1D" w:rsidRPr="009F1618">
        <w:rPr>
          <w:rFonts w:ascii="Calibri" w:hAnsi="Calibri" w:cs="Calibri"/>
          <w:sz w:val="22"/>
          <w:szCs w:val="22"/>
        </w:rPr>
        <w:t xml:space="preserve"> (EU)</w:t>
      </w:r>
      <w:r w:rsidR="00510C61" w:rsidRPr="009F1618">
        <w:rPr>
          <w:rFonts w:ascii="Calibri" w:hAnsi="Calibri" w:cs="Calibri"/>
          <w:sz w:val="22"/>
          <w:szCs w:val="22"/>
        </w:rPr>
        <w:t xml:space="preserve">, </w:t>
      </w:r>
      <w:r w:rsidR="002F741B" w:rsidRPr="009F1618">
        <w:rPr>
          <w:rFonts w:ascii="Calibri" w:hAnsi="Calibri" w:cs="Calibri"/>
          <w:sz w:val="22"/>
          <w:szCs w:val="22"/>
        </w:rPr>
        <w:t xml:space="preserve">it is </w:t>
      </w:r>
      <w:r w:rsidR="00A565CE" w:rsidRPr="009F1618">
        <w:rPr>
          <w:rFonts w:ascii="Calibri" w:hAnsi="Calibri" w:cs="Calibri"/>
          <w:sz w:val="22"/>
          <w:szCs w:val="22"/>
        </w:rPr>
        <w:t>es</w:t>
      </w:r>
      <w:r w:rsidR="00510C61" w:rsidRPr="009F1618">
        <w:rPr>
          <w:rFonts w:ascii="Calibri" w:hAnsi="Calibri" w:cs="Calibri"/>
          <w:sz w:val="22"/>
          <w:szCs w:val="22"/>
        </w:rPr>
        <w:t>tablish</w:t>
      </w:r>
      <w:r w:rsidR="002F741B" w:rsidRPr="009F1618">
        <w:rPr>
          <w:rFonts w:ascii="Calibri" w:hAnsi="Calibri" w:cs="Calibri"/>
          <w:sz w:val="22"/>
          <w:szCs w:val="22"/>
        </w:rPr>
        <w:t>ed</w:t>
      </w:r>
      <w:r w:rsidR="00510C61" w:rsidRPr="009F1618">
        <w:rPr>
          <w:rFonts w:ascii="Calibri" w:hAnsi="Calibri" w:cs="Calibri"/>
          <w:sz w:val="22"/>
          <w:szCs w:val="22"/>
        </w:rPr>
        <w:t xml:space="preserve"> whether Australian</w:t>
      </w:r>
      <w:r w:rsidR="008A6513" w:rsidRPr="009F1618">
        <w:rPr>
          <w:rFonts w:ascii="Calibri" w:hAnsi="Calibri" w:cs="Calibri"/>
          <w:sz w:val="22"/>
          <w:szCs w:val="22"/>
        </w:rPr>
        <w:t xml:space="preserve"> </w:t>
      </w:r>
      <w:r w:rsidR="001F5C7A" w:rsidRPr="009F1618">
        <w:rPr>
          <w:rFonts w:ascii="Calibri" w:hAnsi="Calibri" w:cs="Calibri"/>
          <w:sz w:val="22"/>
          <w:szCs w:val="22"/>
        </w:rPr>
        <w:t xml:space="preserve">export </w:t>
      </w:r>
      <w:r w:rsidR="008A6513" w:rsidRPr="009F1618">
        <w:rPr>
          <w:rFonts w:ascii="Calibri" w:hAnsi="Calibri" w:cs="Calibri"/>
          <w:sz w:val="22"/>
          <w:szCs w:val="22"/>
        </w:rPr>
        <w:t>prices</w:t>
      </w:r>
      <w:r w:rsidR="00510C61" w:rsidRPr="009F1618">
        <w:rPr>
          <w:rFonts w:ascii="Calibri" w:hAnsi="Calibri" w:cs="Calibri"/>
          <w:sz w:val="22"/>
          <w:szCs w:val="22"/>
        </w:rPr>
        <w:t xml:space="preserve"> </w:t>
      </w:r>
      <w:r w:rsidR="008A6513" w:rsidRPr="009F1618">
        <w:rPr>
          <w:rFonts w:ascii="Calibri" w:hAnsi="Calibri" w:cs="Calibri"/>
          <w:sz w:val="22"/>
          <w:szCs w:val="22"/>
        </w:rPr>
        <w:t>are cointegrated with</w:t>
      </w:r>
      <w:r w:rsidR="00510C61" w:rsidRPr="009F1618">
        <w:rPr>
          <w:rFonts w:ascii="Calibri" w:hAnsi="Calibri" w:cs="Calibri"/>
          <w:sz w:val="22"/>
          <w:szCs w:val="22"/>
        </w:rPr>
        <w:t xml:space="preserve"> </w:t>
      </w:r>
      <w:r w:rsidR="00DC031C" w:rsidRPr="009F1618">
        <w:rPr>
          <w:rFonts w:ascii="Calibri" w:hAnsi="Calibri" w:cs="Calibri"/>
          <w:sz w:val="22"/>
          <w:szCs w:val="22"/>
        </w:rPr>
        <w:t xml:space="preserve">export </w:t>
      </w:r>
      <w:r w:rsidR="00510C61" w:rsidRPr="009F1618">
        <w:rPr>
          <w:rFonts w:ascii="Calibri" w:hAnsi="Calibri" w:cs="Calibri"/>
          <w:sz w:val="22"/>
          <w:szCs w:val="22"/>
        </w:rPr>
        <w:t>prices</w:t>
      </w:r>
      <w:r w:rsidRPr="009F1618">
        <w:rPr>
          <w:rFonts w:ascii="Calibri" w:hAnsi="Calibri" w:cs="Calibri"/>
          <w:sz w:val="22"/>
          <w:szCs w:val="22"/>
        </w:rPr>
        <w:t xml:space="preserve"> from other major dairy trading regions</w:t>
      </w:r>
      <w:r w:rsidR="004105BD" w:rsidRPr="009F1618">
        <w:rPr>
          <w:rFonts w:ascii="Calibri" w:hAnsi="Calibri" w:cs="Calibri"/>
          <w:sz w:val="22"/>
          <w:szCs w:val="22"/>
        </w:rPr>
        <w:t>.</w:t>
      </w:r>
      <w:r w:rsidR="006B01FD" w:rsidRPr="009F1618">
        <w:rPr>
          <w:rFonts w:ascii="Calibri" w:hAnsi="Calibri" w:cs="Calibri"/>
          <w:sz w:val="22"/>
          <w:szCs w:val="22"/>
        </w:rPr>
        <w:t xml:space="preserve"> </w:t>
      </w:r>
      <w:r w:rsidR="006B6EA0" w:rsidRPr="009F1618">
        <w:rPr>
          <w:rFonts w:ascii="Calibri" w:hAnsi="Calibri" w:cs="Calibri"/>
          <w:sz w:val="22"/>
          <w:szCs w:val="22"/>
        </w:rPr>
        <w:t xml:space="preserve">The cointegrating relationship is analogous to the economic notion of a long-run equilibrium relationship, whereby prices may diverge in the short run but are ultimately drawn back together over time. </w:t>
      </w:r>
    </w:p>
    <w:p w14:paraId="7D24FE07" w14:textId="77777777" w:rsidR="006929AC" w:rsidRDefault="006929AC" w:rsidP="009F1618">
      <w:pPr>
        <w:spacing w:after="0" w:line="240" w:lineRule="auto"/>
        <w:contextualSpacing/>
        <w:jc w:val="both"/>
        <w:rPr>
          <w:rFonts w:ascii="Calibri" w:hAnsi="Calibri" w:cs="Calibri"/>
          <w:sz w:val="22"/>
          <w:szCs w:val="22"/>
        </w:rPr>
      </w:pPr>
    </w:p>
    <w:p w14:paraId="06300CA2" w14:textId="715FA40A" w:rsidR="00C7516D" w:rsidRPr="009F1618" w:rsidRDefault="00B15F07" w:rsidP="009F1618">
      <w:pPr>
        <w:spacing w:after="0" w:line="240" w:lineRule="auto"/>
        <w:contextualSpacing/>
        <w:jc w:val="both"/>
        <w:rPr>
          <w:rFonts w:ascii="Calibri" w:hAnsi="Calibri" w:cs="Calibri"/>
          <w:sz w:val="22"/>
          <w:szCs w:val="22"/>
        </w:rPr>
      </w:pPr>
      <w:r w:rsidRPr="009F1618">
        <w:rPr>
          <w:rFonts w:ascii="Calibri" w:hAnsi="Calibri" w:cs="Calibri"/>
          <w:sz w:val="22"/>
          <w:szCs w:val="22"/>
        </w:rPr>
        <w:t xml:space="preserve">This </w:t>
      </w:r>
      <w:r w:rsidR="006F0B0A" w:rsidRPr="009F1618">
        <w:rPr>
          <w:rFonts w:ascii="Calibri" w:hAnsi="Calibri" w:cs="Calibri"/>
          <w:sz w:val="22"/>
          <w:szCs w:val="22"/>
        </w:rPr>
        <w:t xml:space="preserve">paper is organised as follows. Section 2 describes the data. Section 3 presents the vector error correction model, the cointegration rank tests, and the estimated long-run parameters and adjustment coefficients. Section 4 presents </w:t>
      </w:r>
      <w:r w:rsidR="00905C53" w:rsidRPr="009F1618">
        <w:rPr>
          <w:rFonts w:ascii="Calibri" w:hAnsi="Calibri" w:cs="Calibri"/>
          <w:sz w:val="22"/>
          <w:szCs w:val="22"/>
        </w:rPr>
        <w:t>Granger causality tests,</w:t>
      </w:r>
      <w:r w:rsidR="006F0B0A" w:rsidRPr="009F1618">
        <w:rPr>
          <w:rFonts w:ascii="Calibri" w:hAnsi="Calibri" w:cs="Calibri"/>
          <w:sz w:val="22"/>
          <w:szCs w:val="22"/>
        </w:rPr>
        <w:t xml:space="preserve"> impulse response analysis and forecast error variance </w:t>
      </w:r>
      <w:r w:rsidR="00E647F5" w:rsidRPr="009F1618">
        <w:rPr>
          <w:rFonts w:ascii="Calibri" w:hAnsi="Calibri" w:cs="Calibri"/>
          <w:sz w:val="22"/>
          <w:szCs w:val="22"/>
        </w:rPr>
        <w:t>decomposition</w:t>
      </w:r>
      <w:r w:rsidR="006F0B0A" w:rsidRPr="009F1618">
        <w:rPr>
          <w:rFonts w:ascii="Calibri" w:hAnsi="Calibri" w:cs="Calibri"/>
          <w:sz w:val="22"/>
          <w:szCs w:val="22"/>
        </w:rPr>
        <w:t>. Section 5 concludes.</w:t>
      </w:r>
    </w:p>
    <w:p w14:paraId="6A16FAF6" w14:textId="77777777" w:rsidR="00C31E1C" w:rsidRDefault="00C31E1C" w:rsidP="00C31E1C">
      <w:pPr>
        <w:pStyle w:val="ListParagraph"/>
        <w:tabs>
          <w:tab w:val="left" w:pos="5775"/>
        </w:tabs>
        <w:spacing w:after="0" w:line="240" w:lineRule="auto"/>
        <w:ind w:left="0"/>
        <w:jc w:val="both"/>
        <w:rPr>
          <w:rFonts w:ascii="Calibri" w:hAnsi="Calibri" w:cs="Calibri"/>
          <w:b/>
          <w:bCs/>
          <w:sz w:val="22"/>
          <w:szCs w:val="22"/>
        </w:rPr>
      </w:pPr>
    </w:p>
    <w:p w14:paraId="3D8B7270" w14:textId="443616D6" w:rsidR="00920A6E" w:rsidRPr="002764D2" w:rsidRDefault="003F3DD6" w:rsidP="00C31E1C">
      <w:pPr>
        <w:pStyle w:val="ListParagraph"/>
        <w:tabs>
          <w:tab w:val="left" w:pos="5775"/>
        </w:tabs>
        <w:spacing w:after="0" w:line="240" w:lineRule="auto"/>
        <w:ind w:left="0"/>
        <w:jc w:val="both"/>
        <w:rPr>
          <w:rFonts w:ascii="Calibri" w:hAnsi="Calibri" w:cs="Calibri"/>
          <w:b/>
          <w:bCs/>
        </w:rPr>
      </w:pPr>
      <w:r w:rsidRPr="002764D2">
        <w:rPr>
          <w:rFonts w:ascii="Calibri" w:hAnsi="Calibri" w:cs="Calibri"/>
          <w:b/>
          <w:bCs/>
        </w:rPr>
        <w:t>Data</w:t>
      </w:r>
    </w:p>
    <w:p w14:paraId="2B3FEA7F" w14:textId="77777777" w:rsidR="00C31E1C" w:rsidRDefault="00C31E1C" w:rsidP="00C31E1C">
      <w:pPr>
        <w:pStyle w:val="Style1"/>
        <w:spacing w:after="0"/>
        <w:ind w:firstLine="0"/>
        <w:rPr>
          <w:rFonts w:ascii="Calibri" w:hAnsi="Calibri" w:cs="Calibri"/>
          <w:sz w:val="22"/>
          <w:szCs w:val="22"/>
        </w:rPr>
      </w:pPr>
    </w:p>
    <w:p w14:paraId="041E0AFA" w14:textId="54458829" w:rsidR="008D1C93" w:rsidRDefault="00F72FA7" w:rsidP="009F1618">
      <w:pPr>
        <w:pStyle w:val="Style1"/>
        <w:spacing w:after="0"/>
        <w:ind w:firstLine="0"/>
        <w:rPr>
          <w:rFonts w:ascii="Calibri" w:hAnsi="Calibri" w:cs="Calibri"/>
          <w:sz w:val="22"/>
          <w:szCs w:val="22"/>
        </w:rPr>
      </w:pPr>
      <w:r w:rsidRPr="009F1618">
        <w:rPr>
          <w:rFonts w:ascii="Calibri" w:hAnsi="Calibri" w:cs="Calibri"/>
          <w:sz w:val="22"/>
          <w:szCs w:val="22"/>
        </w:rPr>
        <w:t xml:space="preserve">The data used in this analysis are </w:t>
      </w:r>
      <w:r w:rsidR="00D24286" w:rsidRPr="009F1618">
        <w:rPr>
          <w:rFonts w:ascii="Calibri" w:hAnsi="Calibri" w:cs="Calibri"/>
          <w:sz w:val="22"/>
          <w:szCs w:val="22"/>
        </w:rPr>
        <w:t>monthly f.o.b. prices</w:t>
      </w:r>
      <w:r w:rsidR="00BF294A" w:rsidRPr="009F1618">
        <w:rPr>
          <w:rFonts w:ascii="Calibri" w:hAnsi="Calibri" w:cs="Calibri"/>
          <w:sz w:val="22"/>
          <w:szCs w:val="22"/>
        </w:rPr>
        <w:t xml:space="preserve"> </w:t>
      </w:r>
      <w:r w:rsidR="00D24286" w:rsidRPr="009F1618">
        <w:rPr>
          <w:rFonts w:ascii="Calibri" w:hAnsi="Calibri" w:cs="Calibri"/>
          <w:sz w:val="22"/>
          <w:szCs w:val="22"/>
        </w:rPr>
        <w:t xml:space="preserve">(USD/tonne) </w:t>
      </w:r>
      <w:r w:rsidR="00DD75DC" w:rsidRPr="009F1618">
        <w:rPr>
          <w:rFonts w:ascii="Calibri" w:hAnsi="Calibri" w:cs="Calibri"/>
          <w:sz w:val="22"/>
          <w:szCs w:val="22"/>
        </w:rPr>
        <w:t>of</w:t>
      </w:r>
      <w:r w:rsidR="00BF294A" w:rsidRPr="009F1618">
        <w:rPr>
          <w:rFonts w:ascii="Calibri" w:hAnsi="Calibri" w:cs="Calibri"/>
          <w:sz w:val="22"/>
          <w:szCs w:val="22"/>
        </w:rPr>
        <w:t xml:space="preserve"> </w:t>
      </w:r>
      <w:r w:rsidR="009945A6" w:rsidRPr="009F1618">
        <w:rPr>
          <w:rFonts w:ascii="Calibri" w:hAnsi="Calibri" w:cs="Calibri"/>
          <w:sz w:val="22"/>
          <w:szCs w:val="22"/>
        </w:rPr>
        <w:t>b</w:t>
      </w:r>
      <w:r w:rsidR="00BF294A" w:rsidRPr="009F1618">
        <w:rPr>
          <w:rFonts w:ascii="Calibri" w:hAnsi="Calibri" w:cs="Calibri"/>
          <w:sz w:val="22"/>
          <w:szCs w:val="22"/>
        </w:rPr>
        <w:t>utter, cheese, SMP, and WMP</w:t>
      </w:r>
      <w:r w:rsidR="009945A6" w:rsidRPr="009F1618">
        <w:rPr>
          <w:rFonts w:ascii="Calibri" w:hAnsi="Calibri" w:cs="Calibri"/>
          <w:sz w:val="22"/>
          <w:szCs w:val="22"/>
        </w:rPr>
        <w:t xml:space="preserve"> </w:t>
      </w:r>
      <w:r w:rsidR="00427E50" w:rsidRPr="009F1618">
        <w:rPr>
          <w:rFonts w:ascii="Calibri" w:hAnsi="Calibri" w:cs="Calibri"/>
          <w:sz w:val="22"/>
          <w:szCs w:val="22"/>
        </w:rPr>
        <w:t xml:space="preserve">being exported from </w:t>
      </w:r>
      <w:r w:rsidR="00BB04C9" w:rsidRPr="009F1618">
        <w:rPr>
          <w:rFonts w:ascii="Calibri" w:hAnsi="Calibri" w:cs="Calibri"/>
          <w:sz w:val="22"/>
          <w:szCs w:val="22"/>
        </w:rPr>
        <w:t>Australia, New Zealand, the United States and the European Union</w:t>
      </w:r>
      <w:r w:rsidR="00D24286" w:rsidRPr="009F1618">
        <w:rPr>
          <w:rFonts w:ascii="Calibri" w:hAnsi="Calibri" w:cs="Calibri"/>
          <w:sz w:val="22"/>
          <w:szCs w:val="22"/>
        </w:rPr>
        <w:t>,</w:t>
      </w:r>
      <w:r w:rsidR="00BA78A8" w:rsidRPr="009F1618">
        <w:rPr>
          <w:rFonts w:ascii="Calibri" w:hAnsi="Calibri" w:cs="Calibri"/>
          <w:sz w:val="22"/>
          <w:szCs w:val="22"/>
        </w:rPr>
        <w:t xml:space="preserve"> collected by </w:t>
      </w:r>
      <w:r w:rsidR="00BF294A" w:rsidRPr="009F1618">
        <w:rPr>
          <w:rFonts w:ascii="Calibri" w:hAnsi="Calibri" w:cs="Calibri"/>
          <w:sz w:val="22"/>
          <w:szCs w:val="22"/>
        </w:rPr>
        <w:t>Trade Data Monitor</w:t>
      </w:r>
      <w:r w:rsidR="00A10A8E" w:rsidRPr="009F1618">
        <w:rPr>
          <w:rFonts w:ascii="Calibri" w:hAnsi="Calibri" w:cs="Calibri"/>
          <w:sz w:val="22"/>
          <w:szCs w:val="22"/>
        </w:rPr>
        <w:t xml:space="preserve"> (</w:t>
      </w:r>
      <w:hyperlink r:id="rId11" w:history="1">
        <w:r w:rsidR="00882129" w:rsidRPr="009F1618">
          <w:rPr>
            <w:rStyle w:val="Hyperlink"/>
            <w:rFonts w:ascii="Calibri" w:hAnsi="Calibri" w:cs="Calibri"/>
            <w:sz w:val="22"/>
            <w:szCs w:val="22"/>
          </w:rPr>
          <w:t>https://tradedatamonitor.com/</w:t>
        </w:r>
      </w:hyperlink>
      <w:r w:rsidR="00A10A8E" w:rsidRPr="009F1618">
        <w:rPr>
          <w:rFonts w:ascii="Calibri" w:hAnsi="Calibri" w:cs="Calibri"/>
          <w:sz w:val="22"/>
          <w:szCs w:val="22"/>
        </w:rPr>
        <w:t>)</w:t>
      </w:r>
      <w:r w:rsidR="00BA78A8" w:rsidRPr="009F1618">
        <w:rPr>
          <w:rFonts w:ascii="Calibri" w:hAnsi="Calibri" w:cs="Calibri"/>
          <w:sz w:val="22"/>
          <w:szCs w:val="22"/>
        </w:rPr>
        <w:t>.</w:t>
      </w:r>
      <w:r w:rsidR="003F1BE0" w:rsidRPr="009F1618">
        <w:rPr>
          <w:rFonts w:ascii="Calibri" w:hAnsi="Calibri" w:cs="Calibri"/>
          <w:sz w:val="22"/>
          <w:szCs w:val="22"/>
        </w:rPr>
        <w:t xml:space="preserve"> </w:t>
      </w:r>
      <w:r w:rsidR="00243857" w:rsidRPr="009F1618">
        <w:rPr>
          <w:rFonts w:ascii="Calibri" w:hAnsi="Calibri" w:cs="Calibri"/>
          <w:sz w:val="22"/>
          <w:szCs w:val="22"/>
        </w:rPr>
        <w:t xml:space="preserve">The period covered by the analysis </w:t>
      </w:r>
      <w:r w:rsidR="008E4562" w:rsidRPr="009F1618">
        <w:rPr>
          <w:rFonts w:ascii="Calibri" w:hAnsi="Calibri" w:cs="Calibri"/>
          <w:sz w:val="22"/>
          <w:szCs w:val="22"/>
        </w:rPr>
        <w:t>is</w:t>
      </w:r>
      <w:r w:rsidR="00BF294A" w:rsidRPr="009F1618">
        <w:rPr>
          <w:rFonts w:ascii="Calibri" w:hAnsi="Calibri" w:cs="Calibri"/>
          <w:sz w:val="22"/>
          <w:szCs w:val="22"/>
        </w:rPr>
        <w:t xml:space="preserve"> January 2005 to July 2025</w:t>
      </w:r>
      <w:r w:rsidR="001B7D4A" w:rsidRPr="009F1618">
        <w:rPr>
          <w:rFonts w:ascii="Calibri" w:hAnsi="Calibri" w:cs="Calibri"/>
          <w:sz w:val="22"/>
          <w:szCs w:val="22"/>
        </w:rPr>
        <w:t xml:space="preserve"> </w:t>
      </w:r>
      <w:r w:rsidR="001B76E1">
        <w:rPr>
          <w:rFonts w:ascii="Calibri" w:hAnsi="Calibri" w:cs="Calibri"/>
          <w:sz w:val="22"/>
          <w:szCs w:val="22"/>
        </w:rPr>
        <w:t>providing</w:t>
      </w:r>
      <w:r w:rsidR="0035665D" w:rsidRPr="009F1618">
        <w:rPr>
          <w:rFonts w:ascii="Calibri" w:eastAsiaTheme="minorEastAsia" w:hAnsi="Calibri" w:cs="Calibri"/>
          <w:sz w:val="22"/>
          <w:szCs w:val="22"/>
        </w:rPr>
        <w:t xml:space="preserve"> </w:t>
      </w:r>
      <m:oMath>
        <m:r>
          <w:rPr>
            <w:rFonts w:ascii="Cambria Math" w:hAnsi="Cambria Math" w:cs="Calibri"/>
            <w:sz w:val="22"/>
            <w:szCs w:val="22"/>
          </w:rPr>
          <m:t>247</m:t>
        </m:r>
      </m:oMath>
      <w:r w:rsidR="001B7D4A" w:rsidRPr="009F1618">
        <w:rPr>
          <w:rFonts w:ascii="Calibri" w:eastAsiaTheme="minorEastAsia" w:hAnsi="Calibri" w:cs="Calibri"/>
          <w:sz w:val="22"/>
          <w:szCs w:val="22"/>
        </w:rPr>
        <w:t xml:space="preserve"> observations</w:t>
      </w:r>
      <w:r w:rsidR="0035665D" w:rsidRPr="009F1618">
        <w:rPr>
          <w:rFonts w:ascii="Calibri" w:eastAsiaTheme="minorEastAsia" w:hAnsi="Calibri" w:cs="Calibri"/>
          <w:sz w:val="22"/>
          <w:szCs w:val="22"/>
        </w:rPr>
        <w:t xml:space="preserve"> for estimation</w:t>
      </w:r>
      <w:r w:rsidR="00BF294A" w:rsidRPr="009F1618">
        <w:rPr>
          <w:rFonts w:ascii="Calibri" w:hAnsi="Calibri" w:cs="Calibri"/>
          <w:sz w:val="22"/>
          <w:szCs w:val="22"/>
        </w:rPr>
        <w:t>.</w:t>
      </w:r>
      <w:r w:rsidR="005D2087" w:rsidRPr="009F1618">
        <w:rPr>
          <w:rFonts w:ascii="Calibri" w:hAnsi="Calibri" w:cs="Calibri"/>
          <w:sz w:val="22"/>
          <w:szCs w:val="22"/>
        </w:rPr>
        <w:t xml:space="preserve"> </w:t>
      </w:r>
      <w:r w:rsidR="003B7A13" w:rsidRPr="003B7A13">
        <w:rPr>
          <w:rFonts w:ascii="Calibri" w:hAnsi="Calibri" w:cs="Calibri"/>
          <w:sz w:val="22"/>
          <w:szCs w:val="22"/>
        </w:rPr>
        <w:t>Selvan et al. (2026a) summarises the market and policy developments over the analysis period</w:t>
      </w:r>
      <w:r w:rsidR="00B41A40">
        <w:rPr>
          <w:rFonts w:ascii="Calibri" w:hAnsi="Calibri" w:cs="Calibri"/>
          <w:sz w:val="22"/>
          <w:szCs w:val="22"/>
        </w:rPr>
        <w:t xml:space="preserve">, while </w:t>
      </w:r>
      <w:r w:rsidR="00C0319F" w:rsidRPr="009F1618">
        <w:rPr>
          <w:rFonts w:ascii="Calibri" w:hAnsi="Calibri" w:cs="Calibri"/>
          <w:sz w:val="22"/>
          <w:szCs w:val="22"/>
        </w:rPr>
        <w:t>Selvan et al. (2026</w:t>
      </w:r>
      <w:r w:rsidR="003B7A13">
        <w:rPr>
          <w:rFonts w:ascii="Calibri" w:hAnsi="Calibri" w:cs="Calibri"/>
          <w:sz w:val="22"/>
          <w:szCs w:val="22"/>
        </w:rPr>
        <w:t>b</w:t>
      </w:r>
      <w:r w:rsidR="00C0319F" w:rsidRPr="009F1618">
        <w:rPr>
          <w:rFonts w:ascii="Calibri" w:hAnsi="Calibri" w:cs="Calibri"/>
          <w:sz w:val="22"/>
          <w:szCs w:val="22"/>
        </w:rPr>
        <w:t>)</w:t>
      </w:r>
      <w:r w:rsidR="00404735" w:rsidRPr="009F1618">
        <w:rPr>
          <w:rFonts w:ascii="Calibri" w:hAnsi="Calibri" w:cs="Calibri"/>
          <w:sz w:val="22"/>
          <w:szCs w:val="22"/>
        </w:rPr>
        <w:t xml:space="preserve"> </w:t>
      </w:r>
      <w:r w:rsidR="00D24CA2" w:rsidRPr="009F1618">
        <w:rPr>
          <w:rFonts w:ascii="Calibri" w:hAnsi="Calibri" w:cs="Calibri"/>
          <w:sz w:val="22"/>
          <w:szCs w:val="22"/>
        </w:rPr>
        <w:t xml:space="preserve">investigates the trends and patterns in the same dataset and </w:t>
      </w:r>
      <w:r w:rsidR="005C3A7A" w:rsidRPr="009F1618">
        <w:rPr>
          <w:rFonts w:ascii="Calibri" w:hAnsi="Calibri" w:cs="Calibri"/>
          <w:sz w:val="22"/>
          <w:szCs w:val="22"/>
        </w:rPr>
        <w:t>to inform the empirical choices made in this paper.</w:t>
      </w:r>
    </w:p>
    <w:p w14:paraId="28E54042" w14:textId="77777777" w:rsidR="00071829" w:rsidRPr="009F1618" w:rsidRDefault="00071829" w:rsidP="009F1618">
      <w:pPr>
        <w:pStyle w:val="Style1"/>
        <w:spacing w:after="0"/>
        <w:ind w:firstLine="0"/>
        <w:rPr>
          <w:rFonts w:ascii="Calibri" w:hAnsi="Calibri" w:cs="Calibri"/>
          <w:sz w:val="22"/>
          <w:szCs w:val="22"/>
        </w:rPr>
      </w:pPr>
    </w:p>
    <w:p w14:paraId="217A5349" w14:textId="16BB892E" w:rsidR="00AE5834" w:rsidRDefault="002746BE" w:rsidP="009F1618">
      <w:pPr>
        <w:pStyle w:val="Style1"/>
        <w:spacing w:after="0"/>
        <w:ind w:firstLine="0"/>
        <w:rPr>
          <w:rFonts w:ascii="Calibri" w:hAnsi="Calibri" w:cs="Calibri"/>
          <w:sz w:val="22"/>
          <w:szCs w:val="22"/>
        </w:rPr>
      </w:pPr>
      <w:r>
        <w:rPr>
          <w:rFonts w:ascii="Calibri" w:hAnsi="Calibri" w:cs="Calibri"/>
          <w:sz w:val="22"/>
          <w:szCs w:val="22"/>
        </w:rPr>
        <w:t>As argued in Selvan</w:t>
      </w:r>
      <w:r w:rsidR="00077919">
        <w:rPr>
          <w:rFonts w:ascii="Calibri" w:hAnsi="Calibri" w:cs="Calibri"/>
          <w:sz w:val="22"/>
          <w:szCs w:val="22"/>
        </w:rPr>
        <w:t xml:space="preserve"> et al. (2026</w:t>
      </w:r>
      <w:r w:rsidR="00B41A40">
        <w:rPr>
          <w:rFonts w:ascii="Calibri" w:hAnsi="Calibri" w:cs="Calibri"/>
          <w:sz w:val="22"/>
          <w:szCs w:val="22"/>
        </w:rPr>
        <w:t>b</w:t>
      </w:r>
      <w:r w:rsidR="00077919">
        <w:rPr>
          <w:rFonts w:ascii="Calibri" w:hAnsi="Calibri" w:cs="Calibri"/>
          <w:sz w:val="22"/>
          <w:szCs w:val="22"/>
        </w:rPr>
        <w:t xml:space="preserve">), </w:t>
      </w:r>
      <w:r w:rsidR="00534390" w:rsidRPr="009F1618">
        <w:rPr>
          <w:rFonts w:ascii="Calibri" w:hAnsi="Calibri" w:cs="Calibri"/>
          <w:sz w:val="22"/>
          <w:szCs w:val="22"/>
        </w:rPr>
        <w:t xml:space="preserve">the data are </w:t>
      </w:r>
      <w:r w:rsidR="0002710D" w:rsidRPr="009F1618">
        <w:rPr>
          <w:rFonts w:ascii="Calibri" w:hAnsi="Calibri" w:cs="Calibri"/>
          <w:sz w:val="22"/>
          <w:szCs w:val="22"/>
        </w:rPr>
        <w:t>analyse</w:t>
      </w:r>
      <w:r w:rsidR="00534390" w:rsidRPr="009F1618">
        <w:rPr>
          <w:rFonts w:ascii="Calibri" w:hAnsi="Calibri" w:cs="Calibri"/>
          <w:sz w:val="22"/>
          <w:szCs w:val="22"/>
        </w:rPr>
        <w:t>d</w:t>
      </w:r>
      <w:r w:rsidR="00B1378C" w:rsidRPr="009F1618">
        <w:rPr>
          <w:rFonts w:ascii="Calibri" w:hAnsi="Calibri" w:cs="Calibri"/>
          <w:sz w:val="22"/>
          <w:szCs w:val="22"/>
        </w:rPr>
        <w:t xml:space="preserve"> at the product group level</w:t>
      </w:r>
      <w:r w:rsidR="00077919">
        <w:rPr>
          <w:rFonts w:ascii="Calibri" w:hAnsi="Calibri" w:cs="Calibri"/>
          <w:sz w:val="22"/>
          <w:szCs w:val="22"/>
        </w:rPr>
        <w:t xml:space="preserve"> rather than the tariff code level</w:t>
      </w:r>
      <w:r w:rsidR="004B1508" w:rsidRPr="009F1618">
        <w:rPr>
          <w:rFonts w:ascii="Calibri" w:hAnsi="Calibri" w:cs="Calibri"/>
          <w:sz w:val="22"/>
          <w:szCs w:val="22"/>
        </w:rPr>
        <w:t xml:space="preserve">. </w:t>
      </w:r>
      <w:r w:rsidR="00EF2B8D" w:rsidRPr="009F1618">
        <w:rPr>
          <w:rFonts w:ascii="Calibri" w:hAnsi="Calibri" w:cs="Calibri"/>
          <w:sz w:val="22"/>
          <w:szCs w:val="22"/>
        </w:rPr>
        <w:t>Prior to the analysis, p</w:t>
      </w:r>
      <w:r w:rsidR="00001264" w:rsidRPr="009F1618">
        <w:rPr>
          <w:rFonts w:ascii="Calibri" w:hAnsi="Calibri" w:cs="Calibri"/>
          <w:sz w:val="22"/>
          <w:szCs w:val="22"/>
        </w:rPr>
        <w:t xml:space="preserve">rices </w:t>
      </w:r>
      <w:r w:rsidR="00EF2B8D" w:rsidRPr="009F1618">
        <w:rPr>
          <w:rFonts w:ascii="Calibri" w:hAnsi="Calibri" w:cs="Calibri"/>
          <w:sz w:val="22"/>
          <w:szCs w:val="22"/>
        </w:rPr>
        <w:t>ar</w:t>
      </w:r>
      <w:r w:rsidR="00825252" w:rsidRPr="009F1618">
        <w:rPr>
          <w:rFonts w:ascii="Calibri" w:hAnsi="Calibri" w:cs="Calibri"/>
          <w:sz w:val="22"/>
          <w:szCs w:val="22"/>
        </w:rPr>
        <w:t xml:space="preserve">e adjusted </w:t>
      </w:r>
      <w:r w:rsidR="005D335D" w:rsidRPr="009F1618">
        <w:rPr>
          <w:rFonts w:ascii="Calibri" w:hAnsi="Calibri" w:cs="Calibri"/>
          <w:sz w:val="22"/>
          <w:szCs w:val="22"/>
        </w:rPr>
        <w:t>for inflation</w:t>
      </w:r>
      <w:r w:rsidR="00825252" w:rsidRPr="009F1618">
        <w:rPr>
          <w:rFonts w:ascii="Calibri" w:hAnsi="Calibri" w:cs="Calibri"/>
          <w:sz w:val="22"/>
          <w:szCs w:val="22"/>
        </w:rPr>
        <w:t xml:space="preserve"> using </w:t>
      </w:r>
      <w:r w:rsidR="00FE5D10" w:rsidRPr="009F1618">
        <w:rPr>
          <w:rFonts w:ascii="Calibri" w:hAnsi="Calibri" w:cs="Calibri"/>
          <w:sz w:val="22"/>
          <w:szCs w:val="22"/>
        </w:rPr>
        <w:t>the Consumer Price Index</w:t>
      </w:r>
      <w:r w:rsidR="00001264" w:rsidRPr="009F1618">
        <w:rPr>
          <w:rFonts w:ascii="Calibri" w:hAnsi="Calibri" w:cs="Calibri"/>
          <w:sz w:val="22"/>
          <w:szCs w:val="22"/>
        </w:rPr>
        <w:t xml:space="preserve"> </w:t>
      </w:r>
      <w:r w:rsidR="00EA7C0D" w:rsidRPr="009F1618">
        <w:rPr>
          <w:rFonts w:ascii="Calibri" w:hAnsi="Calibri" w:cs="Calibri"/>
          <w:sz w:val="22"/>
          <w:szCs w:val="22"/>
        </w:rPr>
        <w:t>(FRED 2025</w:t>
      </w:r>
      <w:r w:rsidR="00EB3D03" w:rsidRPr="009F1618">
        <w:rPr>
          <w:rFonts w:ascii="Calibri" w:hAnsi="Calibri" w:cs="Calibri"/>
          <w:sz w:val="22"/>
          <w:szCs w:val="22"/>
        </w:rPr>
        <w:t>) and</w:t>
      </w:r>
      <w:r w:rsidR="00EA7C0D" w:rsidRPr="009F1618">
        <w:rPr>
          <w:rFonts w:ascii="Calibri" w:hAnsi="Calibri" w:cs="Calibri"/>
          <w:sz w:val="22"/>
          <w:szCs w:val="22"/>
        </w:rPr>
        <w:t xml:space="preserve"> </w:t>
      </w:r>
      <w:r w:rsidR="00FE5D10" w:rsidRPr="009F1618">
        <w:rPr>
          <w:rFonts w:ascii="Calibri" w:hAnsi="Calibri" w:cs="Calibri"/>
          <w:sz w:val="22"/>
          <w:szCs w:val="22"/>
        </w:rPr>
        <w:t xml:space="preserve">transformed </w:t>
      </w:r>
      <w:r w:rsidR="007D4C75" w:rsidRPr="009F1618">
        <w:rPr>
          <w:rFonts w:ascii="Calibri" w:hAnsi="Calibri" w:cs="Calibri"/>
          <w:sz w:val="22"/>
          <w:szCs w:val="22"/>
        </w:rPr>
        <w:t>to</w:t>
      </w:r>
      <w:r w:rsidR="00BA0420" w:rsidRPr="009F1618">
        <w:rPr>
          <w:rFonts w:ascii="Calibri" w:hAnsi="Calibri" w:cs="Calibri"/>
          <w:sz w:val="22"/>
          <w:szCs w:val="22"/>
        </w:rPr>
        <w:t xml:space="preserve"> </w:t>
      </w:r>
      <w:r w:rsidR="002307AA" w:rsidRPr="009F1618">
        <w:rPr>
          <w:rFonts w:ascii="Calibri" w:hAnsi="Calibri" w:cs="Calibri"/>
          <w:sz w:val="22"/>
          <w:szCs w:val="22"/>
        </w:rPr>
        <w:t>log</w:t>
      </w:r>
      <w:r w:rsidR="009A7B61" w:rsidRPr="009F1618">
        <w:rPr>
          <w:rFonts w:ascii="Calibri" w:hAnsi="Calibri" w:cs="Calibri"/>
          <w:sz w:val="22"/>
          <w:szCs w:val="22"/>
        </w:rPr>
        <w:t xml:space="preserve"> </w:t>
      </w:r>
      <w:r w:rsidR="002307AA" w:rsidRPr="009F1618">
        <w:rPr>
          <w:rFonts w:ascii="Calibri" w:hAnsi="Calibri" w:cs="Calibri"/>
          <w:sz w:val="22"/>
          <w:szCs w:val="22"/>
        </w:rPr>
        <w:t>prices</w:t>
      </w:r>
      <w:r w:rsidR="00EB3D03" w:rsidRPr="009F1618">
        <w:rPr>
          <w:rFonts w:ascii="Calibri" w:hAnsi="Calibri" w:cs="Calibri"/>
          <w:sz w:val="22"/>
          <w:szCs w:val="22"/>
        </w:rPr>
        <w:t>.</w:t>
      </w:r>
    </w:p>
    <w:p w14:paraId="7E2D1DB0" w14:textId="77777777" w:rsidR="00AE5834" w:rsidRDefault="00AE5834" w:rsidP="009F1618">
      <w:pPr>
        <w:pStyle w:val="Style1"/>
        <w:spacing w:after="0"/>
        <w:ind w:firstLine="0"/>
        <w:rPr>
          <w:rFonts w:ascii="Calibri" w:hAnsi="Calibri" w:cs="Calibri"/>
          <w:sz w:val="22"/>
          <w:szCs w:val="22"/>
        </w:rPr>
      </w:pPr>
    </w:p>
    <w:p w14:paraId="64E8C6F1" w14:textId="7267F4C6" w:rsidR="001A36F9" w:rsidRPr="009F1618" w:rsidRDefault="00F86C91" w:rsidP="009F1618">
      <w:pPr>
        <w:pStyle w:val="Style1"/>
        <w:spacing w:after="0"/>
        <w:ind w:firstLine="0"/>
        <w:rPr>
          <w:rFonts w:ascii="Calibri" w:hAnsi="Calibri" w:cs="Calibri"/>
          <w:sz w:val="22"/>
          <w:szCs w:val="22"/>
        </w:rPr>
      </w:pPr>
      <w:r w:rsidRPr="009F1618">
        <w:rPr>
          <w:rFonts w:ascii="Calibri" w:hAnsi="Calibri" w:cs="Calibri"/>
          <w:sz w:val="22"/>
          <w:szCs w:val="22"/>
        </w:rPr>
        <w:t>Price linkages</w:t>
      </w:r>
      <w:r w:rsidR="00D100D8" w:rsidRPr="009F1618">
        <w:rPr>
          <w:rFonts w:ascii="Calibri" w:hAnsi="Calibri" w:cs="Calibri"/>
          <w:sz w:val="22"/>
          <w:szCs w:val="22"/>
        </w:rPr>
        <w:t xml:space="preserve"> may </w:t>
      </w:r>
      <w:r w:rsidRPr="009F1618">
        <w:rPr>
          <w:rFonts w:ascii="Calibri" w:hAnsi="Calibri" w:cs="Calibri"/>
          <w:sz w:val="22"/>
          <w:szCs w:val="22"/>
        </w:rPr>
        <w:t xml:space="preserve">arise through direct trade between these </w:t>
      </w:r>
      <w:r w:rsidR="0017491B">
        <w:rPr>
          <w:rFonts w:ascii="Calibri" w:hAnsi="Calibri" w:cs="Calibri"/>
          <w:sz w:val="22"/>
          <w:szCs w:val="22"/>
        </w:rPr>
        <w:t xml:space="preserve">four </w:t>
      </w:r>
      <w:r w:rsidRPr="009F1618">
        <w:rPr>
          <w:rFonts w:ascii="Calibri" w:hAnsi="Calibri" w:cs="Calibri"/>
          <w:sz w:val="22"/>
          <w:szCs w:val="22"/>
        </w:rPr>
        <w:t>regions</w:t>
      </w:r>
      <w:r w:rsidR="003168B3" w:rsidRPr="009F1618">
        <w:rPr>
          <w:rFonts w:ascii="Calibri" w:hAnsi="Calibri" w:cs="Calibri"/>
          <w:sz w:val="22"/>
          <w:szCs w:val="22"/>
        </w:rPr>
        <w:t xml:space="preserve"> or indirectly </w:t>
      </w:r>
      <w:r w:rsidR="00505103" w:rsidRPr="009F1618">
        <w:rPr>
          <w:rFonts w:ascii="Calibri" w:hAnsi="Calibri" w:cs="Calibri"/>
          <w:sz w:val="22"/>
          <w:szCs w:val="22"/>
        </w:rPr>
        <w:t xml:space="preserve">through competition in </w:t>
      </w:r>
      <w:r w:rsidR="003332E3" w:rsidRPr="009F1618">
        <w:rPr>
          <w:rFonts w:ascii="Calibri" w:hAnsi="Calibri" w:cs="Calibri"/>
          <w:sz w:val="22"/>
          <w:szCs w:val="22"/>
        </w:rPr>
        <w:t>shared</w:t>
      </w:r>
      <w:r w:rsidR="00505103" w:rsidRPr="009F1618">
        <w:rPr>
          <w:rFonts w:ascii="Calibri" w:hAnsi="Calibri" w:cs="Calibri"/>
          <w:sz w:val="22"/>
          <w:szCs w:val="22"/>
        </w:rPr>
        <w:t xml:space="preserve"> </w:t>
      </w:r>
      <w:r w:rsidR="003332E3" w:rsidRPr="009F1618">
        <w:rPr>
          <w:rFonts w:ascii="Calibri" w:hAnsi="Calibri" w:cs="Calibri"/>
          <w:sz w:val="22"/>
          <w:szCs w:val="22"/>
        </w:rPr>
        <w:t xml:space="preserve">export </w:t>
      </w:r>
      <w:r w:rsidR="00505103" w:rsidRPr="009F1618">
        <w:rPr>
          <w:rFonts w:ascii="Calibri" w:hAnsi="Calibri" w:cs="Calibri"/>
          <w:sz w:val="22"/>
          <w:szCs w:val="22"/>
        </w:rPr>
        <w:t>markets</w:t>
      </w:r>
      <w:r w:rsidR="00311554" w:rsidRPr="009F1618">
        <w:rPr>
          <w:rFonts w:ascii="Calibri" w:hAnsi="Calibri" w:cs="Calibri"/>
          <w:sz w:val="22"/>
          <w:szCs w:val="22"/>
        </w:rPr>
        <w:t xml:space="preserve">. </w:t>
      </w:r>
      <w:r w:rsidR="00036AA2" w:rsidRPr="009F1618">
        <w:rPr>
          <w:rFonts w:ascii="Calibri" w:hAnsi="Calibri" w:cs="Calibri"/>
          <w:sz w:val="22"/>
          <w:szCs w:val="22"/>
        </w:rPr>
        <w:t xml:space="preserve">In the Australian context, both channels are </w:t>
      </w:r>
      <w:r w:rsidR="00C87301" w:rsidRPr="009F1618">
        <w:rPr>
          <w:rFonts w:ascii="Calibri" w:hAnsi="Calibri" w:cs="Calibri"/>
          <w:sz w:val="22"/>
          <w:szCs w:val="22"/>
        </w:rPr>
        <w:t>likely relevant</w:t>
      </w:r>
      <w:r w:rsidR="00036AA2" w:rsidRPr="009F1618">
        <w:rPr>
          <w:rFonts w:ascii="Calibri" w:hAnsi="Calibri" w:cs="Calibri"/>
          <w:sz w:val="22"/>
          <w:szCs w:val="22"/>
        </w:rPr>
        <w:t xml:space="preserve"> given </w:t>
      </w:r>
      <w:r w:rsidR="00597640">
        <w:rPr>
          <w:rFonts w:ascii="Calibri" w:hAnsi="Calibri" w:cs="Calibri"/>
          <w:sz w:val="22"/>
          <w:szCs w:val="22"/>
        </w:rPr>
        <w:t xml:space="preserve">that New Zealand, the United States and the </w:t>
      </w:r>
      <w:r w:rsidR="00002D54">
        <w:rPr>
          <w:rFonts w:ascii="Calibri" w:hAnsi="Calibri" w:cs="Calibri"/>
          <w:sz w:val="22"/>
          <w:szCs w:val="22"/>
        </w:rPr>
        <w:t>European</w:t>
      </w:r>
      <w:r w:rsidR="00597640">
        <w:rPr>
          <w:rFonts w:ascii="Calibri" w:hAnsi="Calibri" w:cs="Calibri"/>
          <w:sz w:val="22"/>
          <w:szCs w:val="22"/>
        </w:rPr>
        <w:t xml:space="preserve"> Union dominate imports of dair</w:t>
      </w:r>
      <w:r w:rsidR="00002D54">
        <w:rPr>
          <w:rFonts w:ascii="Calibri" w:hAnsi="Calibri" w:cs="Calibri"/>
          <w:sz w:val="22"/>
          <w:szCs w:val="22"/>
        </w:rPr>
        <w:t>y</w:t>
      </w:r>
      <w:r w:rsidR="00597640">
        <w:rPr>
          <w:rFonts w:ascii="Calibri" w:hAnsi="Calibri" w:cs="Calibri"/>
          <w:sz w:val="22"/>
          <w:szCs w:val="22"/>
        </w:rPr>
        <w:t xml:space="preserve"> products into </w:t>
      </w:r>
      <w:r w:rsidR="00002D54">
        <w:rPr>
          <w:rFonts w:ascii="Calibri" w:hAnsi="Calibri" w:cs="Calibri"/>
          <w:sz w:val="22"/>
          <w:szCs w:val="22"/>
        </w:rPr>
        <w:t>Australia, an</w:t>
      </w:r>
      <w:r w:rsidR="00036AA2" w:rsidRPr="009F1618">
        <w:rPr>
          <w:rFonts w:ascii="Calibri" w:hAnsi="Calibri" w:cs="Calibri"/>
          <w:sz w:val="22"/>
          <w:szCs w:val="22"/>
        </w:rPr>
        <w:t xml:space="preserve">d the importance of Asian markets </w:t>
      </w:r>
      <w:r w:rsidR="00160009" w:rsidRPr="009F1618">
        <w:rPr>
          <w:rFonts w:ascii="Calibri" w:hAnsi="Calibri" w:cs="Calibri"/>
          <w:sz w:val="22"/>
          <w:szCs w:val="22"/>
        </w:rPr>
        <w:t>as a common destination for dairy exports from all four regions</w:t>
      </w:r>
      <w:r w:rsidR="0043256C">
        <w:rPr>
          <w:rFonts w:ascii="Calibri" w:hAnsi="Calibri" w:cs="Calibri"/>
          <w:sz w:val="22"/>
          <w:szCs w:val="22"/>
        </w:rPr>
        <w:t xml:space="preserve"> </w:t>
      </w:r>
      <w:r w:rsidR="0043256C" w:rsidRPr="0043256C">
        <w:rPr>
          <w:rFonts w:ascii="Calibri" w:hAnsi="Calibri" w:cs="Calibri"/>
          <w:sz w:val="22"/>
          <w:szCs w:val="22"/>
        </w:rPr>
        <w:t>(OECD/FAO 2025).</w:t>
      </w:r>
      <w:r w:rsidR="00033C01" w:rsidRPr="009F1618">
        <w:rPr>
          <w:rFonts w:ascii="Calibri" w:hAnsi="Calibri" w:cs="Calibri"/>
          <w:sz w:val="22"/>
          <w:szCs w:val="22"/>
        </w:rPr>
        <w:t xml:space="preserve"> </w:t>
      </w:r>
      <w:r w:rsidR="004736CE" w:rsidRPr="009F1618">
        <w:rPr>
          <w:rFonts w:ascii="Calibri" w:hAnsi="Calibri" w:cs="Calibri"/>
          <w:sz w:val="22"/>
          <w:szCs w:val="22"/>
        </w:rPr>
        <w:t>However</w:t>
      </w:r>
      <w:r w:rsidR="00505103" w:rsidRPr="009F1618">
        <w:rPr>
          <w:rFonts w:ascii="Calibri" w:hAnsi="Calibri" w:cs="Calibri"/>
          <w:sz w:val="22"/>
          <w:szCs w:val="22"/>
        </w:rPr>
        <w:t>, the present analysis does not distinguish between these channels.</w:t>
      </w:r>
    </w:p>
    <w:p w14:paraId="530D607B" w14:textId="77777777" w:rsidR="00AE5834" w:rsidRDefault="00AE5834" w:rsidP="00AE5834">
      <w:pPr>
        <w:pStyle w:val="ListParagraph"/>
        <w:tabs>
          <w:tab w:val="left" w:pos="5775"/>
        </w:tabs>
        <w:spacing w:after="0" w:line="240" w:lineRule="auto"/>
        <w:ind w:left="0"/>
        <w:jc w:val="both"/>
        <w:rPr>
          <w:rFonts w:ascii="Calibri" w:hAnsi="Calibri" w:cs="Calibri"/>
          <w:b/>
          <w:bCs/>
          <w:sz w:val="22"/>
          <w:szCs w:val="22"/>
        </w:rPr>
      </w:pPr>
    </w:p>
    <w:p w14:paraId="215785FB" w14:textId="7DA8CDA2" w:rsidR="005C6028" w:rsidRPr="002764D2" w:rsidRDefault="00BF2B1E" w:rsidP="00AE5834">
      <w:pPr>
        <w:pStyle w:val="ListParagraph"/>
        <w:tabs>
          <w:tab w:val="left" w:pos="5775"/>
        </w:tabs>
        <w:spacing w:after="0" w:line="240" w:lineRule="auto"/>
        <w:ind w:left="0"/>
        <w:jc w:val="both"/>
        <w:rPr>
          <w:rFonts w:ascii="Calibri" w:hAnsi="Calibri" w:cs="Calibri"/>
          <w:b/>
          <w:bCs/>
        </w:rPr>
      </w:pPr>
      <w:r w:rsidRPr="002764D2">
        <w:rPr>
          <w:rFonts w:ascii="Calibri" w:hAnsi="Calibri" w:cs="Calibri"/>
          <w:b/>
          <w:bCs/>
        </w:rPr>
        <w:t xml:space="preserve">The </w:t>
      </w:r>
      <w:r w:rsidR="002764D2">
        <w:rPr>
          <w:rFonts w:ascii="Calibri" w:hAnsi="Calibri" w:cs="Calibri"/>
          <w:b/>
          <w:bCs/>
        </w:rPr>
        <w:t>E</w:t>
      </w:r>
      <w:r w:rsidRPr="002764D2">
        <w:rPr>
          <w:rFonts w:ascii="Calibri" w:hAnsi="Calibri" w:cs="Calibri"/>
          <w:b/>
          <w:bCs/>
        </w:rPr>
        <w:t xml:space="preserve">rror </w:t>
      </w:r>
      <w:r w:rsidR="002764D2">
        <w:rPr>
          <w:rFonts w:ascii="Calibri" w:hAnsi="Calibri" w:cs="Calibri"/>
          <w:b/>
          <w:bCs/>
        </w:rPr>
        <w:t>C</w:t>
      </w:r>
      <w:r w:rsidRPr="002764D2">
        <w:rPr>
          <w:rFonts w:ascii="Calibri" w:hAnsi="Calibri" w:cs="Calibri"/>
          <w:b/>
          <w:bCs/>
        </w:rPr>
        <w:t xml:space="preserve">orrection </w:t>
      </w:r>
      <w:r w:rsidR="002764D2">
        <w:rPr>
          <w:rFonts w:ascii="Calibri" w:hAnsi="Calibri" w:cs="Calibri"/>
          <w:b/>
          <w:bCs/>
        </w:rPr>
        <w:t>M</w:t>
      </w:r>
      <w:r w:rsidRPr="002764D2">
        <w:rPr>
          <w:rFonts w:ascii="Calibri" w:hAnsi="Calibri" w:cs="Calibri"/>
          <w:b/>
          <w:bCs/>
        </w:rPr>
        <w:t xml:space="preserve">odel and </w:t>
      </w:r>
      <w:r w:rsidR="002764D2">
        <w:rPr>
          <w:rFonts w:ascii="Calibri" w:hAnsi="Calibri" w:cs="Calibri"/>
          <w:b/>
          <w:bCs/>
        </w:rPr>
        <w:t>E</w:t>
      </w:r>
      <w:r w:rsidRPr="002764D2">
        <w:rPr>
          <w:rFonts w:ascii="Calibri" w:hAnsi="Calibri" w:cs="Calibri"/>
          <w:b/>
          <w:bCs/>
        </w:rPr>
        <w:t xml:space="preserve">stimated </w:t>
      </w:r>
      <w:r w:rsidR="002764D2">
        <w:rPr>
          <w:rFonts w:ascii="Calibri" w:hAnsi="Calibri" w:cs="Calibri"/>
          <w:b/>
          <w:bCs/>
        </w:rPr>
        <w:t>R</w:t>
      </w:r>
      <w:r w:rsidRPr="002764D2">
        <w:rPr>
          <w:rFonts w:ascii="Calibri" w:hAnsi="Calibri" w:cs="Calibri"/>
          <w:b/>
          <w:bCs/>
        </w:rPr>
        <w:t>esults</w:t>
      </w:r>
    </w:p>
    <w:p w14:paraId="4FC50BE5" w14:textId="77777777" w:rsidR="00AE5834" w:rsidRDefault="00AE5834" w:rsidP="009F1618">
      <w:pPr>
        <w:tabs>
          <w:tab w:val="left" w:pos="5775"/>
        </w:tabs>
        <w:spacing w:after="0" w:line="240" w:lineRule="auto"/>
        <w:jc w:val="both"/>
        <w:rPr>
          <w:rFonts w:ascii="Calibri" w:hAnsi="Calibri" w:cs="Calibri"/>
          <w:sz w:val="22"/>
          <w:szCs w:val="22"/>
        </w:rPr>
      </w:pPr>
    </w:p>
    <w:p w14:paraId="3EFE5854" w14:textId="2DFE44EC" w:rsidR="00F10A7B" w:rsidRDefault="00DD2C7B" w:rsidP="009F1618">
      <w:pPr>
        <w:tabs>
          <w:tab w:val="left" w:pos="5775"/>
        </w:tabs>
        <w:spacing w:after="0" w:line="240" w:lineRule="auto"/>
        <w:jc w:val="both"/>
        <w:rPr>
          <w:rFonts w:ascii="Calibri" w:hAnsi="Calibri" w:cs="Calibri"/>
          <w:sz w:val="22"/>
          <w:szCs w:val="22"/>
        </w:rPr>
      </w:pPr>
      <w:r w:rsidRPr="009F1618">
        <w:rPr>
          <w:rFonts w:ascii="Calibri" w:hAnsi="Calibri" w:cs="Calibri"/>
          <w:sz w:val="22"/>
          <w:szCs w:val="22"/>
        </w:rPr>
        <w:t>Time series are non-stationary when they lack a constant mean or variance over time</w:t>
      </w:r>
      <w:r w:rsidR="00034FF5">
        <w:rPr>
          <w:rFonts w:ascii="Calibri" w:hAnsi="Calibri" w:cs="Calibri"/>
          <w:sz w:val="22"/>
          <w:szCs w:val="22"/>
        </w:rPr>
        <w:t xml:space="preserve"> </w:t>
      </w:r>
      <w:r w:rsidR="00034FF5" w:rsidRPr="008D184F">
        <w:rPr>
          <w:rFonts w:ascii="Calibri" w:hAnsi="Calibri" w:cs="Calibri"/>
          <w:sz w:val="22"/>
          <w:szCs w:val="22"/>
          <w:lang w:eastAsia="en-GB"/>
        </w:rPr>
        <w:t>(Hill et al., 2001</w:t>
      </w:r>
      <w:r w:rsidR="008D184F" w:rsidRPr="008D184F">
        <w:rPr>
          <w:rFonts w:ascii="Calibri" w:hAnsi="Calibri" w:cs="Calibri"/>
          <w:sz w:val="22"/>
          <w:szCs w:val="22"/>
          <w:lang w:eastAsia="en-GB"/>
        </w:rPr>
        <w:t>)</w:t>
      </w:r>
      <w:r w:rsidRPr="008D184F">
        <w:rPr>
          <w:rFonts w:ascii="Calibri" w:hAnsi="Calibri" w:cs="Calibri"/>
          <w:sz w:val="22"/>
          <w:szCs w:val="22"/>
        </w:rPr>
        <w:t xml:space="preserve">. </w:t>
      </w:r>
      <w:r w:rsidR="009D61B8">
        <w:rPr>
          <w:rFonts w:ascii="Calibri" w:hAnsi="Calibri" w:cs="Calibri"/>
          <w:sz w:val="22"/>
          <w:szCs w:val="22"/>
        </w:rPr>
        <w:t xml:space="preserve">Non-stationary time series </w:t>
      </w:r>
      <w:r w:rsidR="002B01ED">
        <w:rPr>
          <w:rFonts w:ascii="Calibri" w:hAnsi="Calibri" w:cs="Calibri"/>
          <w:sz w:val="22"/>
          <w:szCs w:val="22"/>
        </w:rPr>
        <w:t xml:space="preserve">have the potential to introduce spurious results, finding significant effects when no such effects exist. </w:t>
      </w:r>
      <w:r w:rsidRPr="009F1618">
        <w:rPr>
          <w:rFonts w:ascii="Calibri" w:hAnsi="Calibri" w:cs="Calibri"/>
          <w:sz w:val="22"/>
          <w:szCs w:val="22"/>
        </w:rPr>
        <w:t xml:space="preserve">Where a stationary linear combination of non-stationary series exists, the series are said to be cointegrated. </w:t>
      </w:r>
      <w:r w:rsidR="00D54423" w:rsidRPr="009F1618">
        <w:rPr>
          <w:rFonts w:ascii="Calibri" w:hAnsi="Calibri" w:cs="Calibri"/>
          <w:sz w:val="22"/>
          <w:szCs w:val="22"/>
        </w:rPr>
        <w:t>S</w:t>
      </w:r>
      <w:r w:rsidRPr="009F1618">
        <w:rPr>
          <w:rFonts w:ascii="Calibri" w:hAnsi="Calibri" w:cs="Calibri"/>
          <w:sz w:val="22"/>
          <w:szCs w:val="22"/>
        </w:rPr>
        <w:t>uch relationships between price series</w:t>
      </w:r>
      <w:r w:rsidR="00A42A74" w:rsidRPr="009F1618">
        <w:rPr>
          <w:rFonts w:ascii="Calibri" w:hAnsi="Calibri" w:cs="Calibri"/>
          <w:sz w:val="22"/>
          <w:szCs w:val="22"/>
        </w:rPr>
        <w:t xml:space="preserve"> are tested</w:t>
      </w:r>
      <w:r w:rsidRPr="009F1618">
        <w:rPr>
          <w:rFonts w:ascii="Calibri" w:hAnsi="Calibri" w:cs="Calibri"/>
          <w:sz w:val="22"/>
          <w:szCs w:val="22"/>
        </w:rPr>
        <w:t xml:space="preserve"> using a Vector Error Correction Model (VECM)</w:t>
      </w:r>
      <w:r w:rsidR="00B94843" w:rsidRPr="009F1618">
        <w:rPr>
          <w:rFonts w:ascii="Calibri" w:hAnsi="Calibri" w:cs="Calibri"/>
          <w:sz w:val="22"/>
          <w:szCs w:val="22"/>
        </w:rPr>
        <w:t xml:space="preserve"> following </w:t>
      </w:r>
      <w:r w:rsidR="00786A77" w:rsidRPr="009F1618">
        <w:rPr>
          <w:rFonts w:ascii="Calibri" w:hAnsi="Calibri" w:cs="Calibri"/>
          <w:sz w:val="22"/>
          <w:szCs w:val="22"/>
        </w:rPr>
        <w:t xml:space="preserve">the </w:t>
      </w:r>
      <w:r w:rsidR="00B94843" w:rsidRPr="009F1618">
        <w:rPr>
          <w:rFonts w:ascii="Calibri" w:hAnsi="Calibri" w:cs="Calibri"/>
          <w:sz w:val="22"/>
          <w:szCs w:val="22"/>
        </w:rPr>
        <w:t>Johansen</w:t>
      </w:r>
      <w:r w:rsidR="00A32E12" w:rsidRPr="009F1618">
        <w:rPr>
          <w:rFonts w:ascii="Calibri" w:hAnsi="Calibri" w:cs="Calibri"/>
          <w:sz w:val="22"/>
          <w:szCs w:val="22"/>
        </w:rPr>
        <w:t xml:space="preserve"> </w:t>
      </w:r>
      <w:r w:rsidR="00272B0B">
        <w:rPr>
          <w:rFonts w:ascii="Calibri" w:hAnsi="Calibri" w:cs="Calibri"/>
          <w:sz w:val="22"/>
          <w:szCs w:val="22"/>
        </w:rPr>
        <w:t xml:space="preserve">(1995) </w:t>
      </w:r>
      <w:r w:rsidR="00A32E12" w:rsidRPr="009F1618">
        <w:rPr>
          <w:rFonts w:ascii="Calibri" w:hAnsi="Calibri" w:cs="Calibri"/>
          <w:sz w:val="22"/>
          <w:szCs w:val="22"/>
        </w:rPr>
        <w:t>procedure</w:t>
      </w:r>
      <w:r w:rsidR="004F0DEE" w:rsidRPr="009F1618">
        <w:rPr>
          <w:rFonts w:ascii="Calibri" w:hAnsi="Calibri" w:cs="Calibri"/>
          <w:sz w:val="22"/>
          <w:szCs w:val="22"/>
        </w:rPr>
        <w:t xml:space="preserve">. </w:t>
      </w:r>
      <w:r w:rsidR="00F10A7B" w:rsidRPr="009F1618">
        <w:rPr>
          <w:rFonts w:ascii="Calibri" w:hAnsi="Calibri" w:cs="Calibri"/>
          <w:sz w:val="22"/>
          <w:szCs w:val="22"/>
        </w:rPr>
        <w:t xml:space="preserve">The VECM with </w:t>
      </w:r>
      <m:oMath>
        <m:r>
          <w:rPr>
            <w:rFonts w:ascii="Cambria Math" w:hAnsi="Cambria Math" w:cs="Calibri"/>
            <w:sz w:val="22"/>
            <w:szCs w:val="22"/>
          </w:rPr>
          <m:t>p</m:t>
        </m:r>
      </m:oMath>
      <w:r w:rsidR="00F10A7B" w:rsidRPr="009F1618">
        <w:rPr>
          <w:rFonts w:ascii="Calibri" w:hAnsi="Calibri" w:cs="Calibri"/>
          <w:sz w:val="22"/>
          <w:szCs w:val="22"/>
        </w:rPr>
        <w:t xml:space="preserve"> lags</w:t>
      </w:r>
      <w:r w:rsidR="00711397" w:rsidRPr="009F1618">
        <w:rPr>
          <w:rFonts w:ascii="Calibri" w:hAnsi="Calibri" w:cs="Calibri"/>
          <w:sz w:val="22"/>
          <w:szCs w:val="22"/>
        </w:rPr>
        <w:t>,</w:t>
      </w:r>
      <w:r w:rsidR="00F10A7B" w:rsidRPr="009F1618">
        <w:rPr>
          <w:rFonts w:ascii="Calibri" w:hAnsi="Calibri" w:cs="Calibri"/>
          <w:sz w:val="22"/>
          <w:szCs w:val="22"/>
        </w:rPr>
        <w:t xml:space="preserve"> takes the form:</w:t>
      </w:r>
    </w:p>
    <w:p w14:paraId="06DB13B4" w14:textId="77777777" w:rsidR="00813277" w:rsidRPr="009F1618" w:rsidRDefault="00813277" w:rsidP="009F1618">
      <w:pPr>
        <w:tabs>
          <w:tab w:val="left" w:pos="5775"/>
        </w:tabs>
        <w:spacing w:after="0" w:line="240" w:lineRule="auto"/>
        <w:jc w:val="both"/>
        <w:rPr>
          <w:rFonts w:ascii="Calibri" w:hAnsi="Calibri" w:cs="Calibri"/>
          <w:sz w:val="22"/>
          <w:szCs w:val="22"/>
        </w:rPr>
      </w:pPr>
    </w:p>
    <w:p w14:paraId="3E8F6762" w14:textId="6B439BB2" w:rsidR="00F10A7B" w:rsidRPr="00F84A58" w:rsidRDefault="00023413" w:rsidP="009F1618">
      <w:pPr>
        <w:tabs>
          <w:tab w:val="left" w:pos="5775"/>
        </w:tabs>
        <w:spacing w:after="0" w:line="240" w:lineRule="auto"/>
        <w:jc w:val="both"/>
        <w:rPr>
          <w:rFonts w:ascii="Calibri" w:hAnsi="Calibri" w:cs="Calibri"/>
          <w:i/>
          <w:iCs/>
          <w:sz w:val="22"/>
          <w:szCs w:val="22"/>
        </w:rPr>
      </w:pPr>
      <m:oMathPara>
        <m:oMathParaPr>
          <m:jc m:val="left"/>
        </m:oMathParaPr>
        <m:oMath>
          <m:r>
            <w:rPr>
              <w:rFonts w:ascii="Cambria Math" w:hAnsi="Cambria Math" w:cs="Calibri"/>
              <w:sz w:val="22"/>
              <w:szCs w:val="22"/>
            </w:rPr>
            <m:t>Δ</m:t>
          </m:r>
          <m:sSub>
            <m:sSubPr>
              <m:ctrlPr>
                <w:rPr>
                  <w:rFonts w:ascii="Cambria Math" w:hAnsi="Cambria Math" w:cs="Calibri"/>
                  <w:i/>
                  <w:iCs/>
                  <w:sz w:val="22"/>
                  <w:szCs w:val="22"/>
                </w:rPr>
              </m:ctrlPr>
            </m:sSubPr>
            <m:e>
              <m:r>
                <w:rPr>
                  <w:rFonts w:ascii="Cambria Math" w:hAnsi="Cambria Math" w:cs="Calibri"/>
                  <w:sz w:val="22"/>
                  <w:szCs w:val="22"/>
                </w:rPr>
                <m:t>x</m:t>
              </m:r>
            </m:e>
            <m:sub>
              <m:r>
                <w:rPr>
                  <w:rFonts w:ascii="Cambria Math" w:hAnsi="Cambria Math" w:cs="Calibri"/>
                  <w:sz w:val="22"/>
                  <w:szCs w:val="22"/>
                </w:rPr>
                <m:t>t</m:t>
              </m:r>
            </m:sub>
          </m:sSub>
          <m:r>
            <w:rPr>
              <w:rFonts w:ascii="Cambria Math" w:hAnsi="Cambria Math" w:cs="Calibri"/>
              <w:sz w:val="22"/>
              <w:szCs w:val="22"/>
            </w:rPr>
            <m:t>=</m:t>
          </m:r>
          <m:sSub>
            <m:sSubPr>
              <m:ctrlPr>
                <w:rPr>
                  <w:rFonts w:ascii="Cambria Math" w:hAnsi="Cambria Math" w:cs="Calibri"/>
                  <w:i/>
                  <w:iCs/>
                  <w:sz w:val="22"/>
                  <w:szCs w:val="22"/>
                </w:rPr>
              </m:ctrlPr>
            </m:sSubPr>
            <m:e>
              <m:r>
                <w:rPr>
                  <w:rFonts w:ascii="Cambria Math" w:hAnsi="Cambria Math" w:cs="Calibri"/>
                  <w:sz w:val="22"/>
                  <w:szCs w:val="22"/>
                </w:rPr>
                <m:t>Π</m:t>
              </m:r>
            </m:e>
            <m:sub>
              <m:r>
                <w:rPr>
                  <w:rFonts w:ascii="Cambria Math" w:hAnsi="Cambria Math" w:cs="Calibri"/>
                  <w:sz w:val="22"/>
                  <w:szCs w:val="22"/>
                </w:rPr>
                <m:t>0</m:t>
              </m:r>
            </m:sub>
          </m:sSub>
          <m:r>
            <w:rPr>
              <w:rFonts w:ascii="Cambria Math" w:hAnsi="Cambria Math" w:cs="Calibri"/>
              <w:sz w:val="22"/>
              <w:szCs w:val="22"/>
            </w:rPr>
            <m:t>+Π</m:t>
          </m:r>
          <m:sSub>
            <m:sSubPr>
              <m:ctrlPr>
                <w:rPr>
                  <w:rFonts w:ascii="Cambria Math" w:hAnsi="Cambria Math" w:cs="Calibri"/>
                  <w:i/>
                  <w:iCs/>
                  <w:sz w:val="22"/>
                  <w:szCs w:val="22"/>
                </w:rPr>
              </m:ctrlPr>
            </m:sSubPr>
            <m:e>
              <m:r>
                <w:rPr>
                  <w:rFonts w:ascii="Cambria Math" w:hAnsi="Cambria Math" w:cs="Calibri"/>
                  <w:sz w:val="22"/>
                  <w:szCs w:val="22"/>
                </w:rPr>
                <m:t>x</m:t>
              </m:r>
            </m:e>
            <m:sub>
              <m:r>
                <w:rPr>
                  <w:rFonts w:ascii="Cambria Math" w:hAnsi="Cambria Math" w:cs="Calibri"/>
                  <w:sz w:val="22"/>
                  <w:szCs w:val="22"/>
                </w:rPr>
                <m:t>t-p</m:t>
              </m:r>
            </m:sub>
          </m:sSub>
          <m:r>
            <w:rPr>
              <w:rFonts w:ascii="Cambria Math" w:hAnsi="Cambria Math" w:cs="Calibri"/>
              <w:sz w:val="22"/>
              <w:szCs w:val="22"/>
            </w:rPr>
            <m:t>+</m:t>
          </m:r>
          <m:nary>
            <m:naryPr>
              <m:chr m:val="∑"/>
              <m:limLoc m:val="subSup"/>
              <m:grow m:val="1"/>
              <m:ctrlPr>
                <w:rPr>
                  <w:rFonts w:ascii="Cambria Math" w:hAnsi="Cambria Math" w:cs="Calibri"/>
                  <w:i/>
                  <w:iCs/>
                  <w:sz w:val="22"/>
                  <w:szCs w:val="22"/>
                </w:rPr>
              </m:ctrlPr>
            </m:naryPr>
            <m:sub>
              <m:r>
                <w:rPr>
                  <w:rFonts w:ascii="Cambria Math" w:hAnsi="Cambria Math" w:cs="Calibri"/>
                  <w:sz w:val="22"/>
                  <w:szCs w:val="22"/>
                </w:rPr>
                <m:t>i=1</m:t>
              </m:r>
            </m:sub>
            <m:sup>
              <m:r>
                <w:rPr>
                  <w:rFonts w:ascii="Cambria Math" w:hAnsi="Cambria Math" w:cs="Calibri"/>
                  <w:sz w:val="22"/>
                  <w:szCs w:val="22"/>
                </w:rPr>
                <m:t>p-1</m:t>
              </m:r>
            </m:sup>
            <m:e>
              <m:d>
                <m:dPr>
                  <m:ctrlPr>
                    <w:rPr>
                      <w:rFonts w:ascii="Cambria Math" w:hAnsi="Cambria Math" w:cs="Calibri"/>
                      <w:i/>
                      <w:iCs/>
                      <w:sz w:val="22"/>
                      <w:szCs w:val="22"/>
                    </w:rPr>
                  </m:ctrlPr>
                </m:dPr>
                <m:e>
                  <m:sSub>
                    <m:sSubPr>
                      <m:ctrlPr>
                        <w:rPr>
                          <w:rFonts w:ascii="Cambria Math" w:hAnsi="Cambria Math" w:cs="Calibri"/>
                          <w:i/>
                          <w:iCs/>
                          <w:sz w:val="22"/>
                          <w:szCs w:val="22"/>
                        </w:rPr>
                      </m:ctrlPr>
                    </m:sSubPr>
                    <m:e>
                      <m:r>
                        <w:rPr>
                          <w:rFonts w:ascii="Cambria Math" w:hAnsi="Cambria Math" w:cs="Calibri"/>
                          <w:sz w:val="22"/>
                          <w:szCs w:val="22"/>
                        </w:rPr>
                        <m:t>Π</m:t>
                      </m:r>
                    </m:e>
                    <m:sub>
                      <m:r>
                        <w:rPr>
                          <w:rFonts w:ascii="Cambria Math" w:hAnsi="Cambria Math" w:cs="Calibri"/>
                          <w:sz w:val="22"/>
                          <w:szCs w:val="22"/>
                        </w:rPr>
                        <m:t>i</m:t>
                      </m:r>
                    </m:sub>
                  </m:sSub>
                  <m:r>
                    <w:rPr>
                      <w:rFonts w:ascii="Cambria Math" w:hAnsi="Cambria Math" w:cs="Calibri"/>
                      <w:sz w:val="22"/>
                      <w:szCs w:val="22"/>
                    </w:rPr>
                    <m:t>Δ</m:t>
                  </m:r>
                  <m:sSub>
                    <m:sSubPr>
                      <m:ctrlPr>
                        <w:rPr>
                          <w:rFonts w:ascii="Cambria Math" w:hAnsi="Cambria Math" w:cs="Calibri"/>
                          <w:i/>
                          <w:iCs/>
                          <w:sz w:val="22"/>
                          <w:szCs w:val="22"/>
                        </w:rPr>
                      </m:ctrlPr>
                    </m:sSubPr>
                    <m:e>
                      <m:r>
                        <w:rPr>
                          <w:rFonts w:ascii="Cambria Math" w:hAnsi="Cambria Math" w:cs="Calibri"/>
                          <w:sz w:val="22"/>
                          <w:szCs w:val="22"/>
                        </w:rPr>
                        <m:t>x</m:t>
                      </m:r>
                    </m:e>
                    <m:sub>
                      <m:r>
                        <w:rPr>
                          <w:rFonts w:ascii="Cambria Math" w:hAnsi="Cambria Math" w:cs="Calibri"/>
                          <w:sz w:val="22"/>
                          <w:szCs w:val="22"/>
                        </w:rPr>
                        <m:t>t-i</m:t>
                      </m:r>
                    </m:sub>
                  </m:sSub>
                </m:e>
              </m:d>
            </m:e>
          </m:nary>
          <m:r>
            <w:rPr>
              <w:rFonts w:ascii="Cambria Math" w:hAnsi="Cambria Math" w:cs="Calibri"/>
              <w:sz w:val="22"/>
              <w:szCs w:val="22"/>
            </w:rPr>
            <m:t>+B</m:t>
          </m:r>
          <m:sSub>
            <m:sSubPr>
              <m:ctrlPr>
                <w:rPr>
                  <w:rFonts w:ascii="Cambria Math" w:hAnsi="Cambria Math" w:cs="Calibri"/>
                  <w:i/>
                  <w:iCs/>
                  <w:sz w:val="22"/>
                  <w:szCs w:val="22"/>
                </w:rPr>
              </m:ctrlPr>
            </m:sSubPr>
            <m:e>
              <m:r>
                <w:rPr>
                  <w:rFonts w:ascii="Cambria Math" w:hAnsi="Cambria Math" w:cs="Calibri"/>
                  <w:sz w:val="22"/>
                  <w:szCs w:val="22"/>
                </w:rPr>
                <m:t>D</m:t>
              </m:r>
            </m:e>
            <m:sub>
              <m:r>
                <w:rPr>
                  <w:rFonts w:ascii="Cambria Math" w:hAnsi="Cambria Math" w:cs="Calibri"/>
                  <w:sz w:val="22"/>
                  <w:szCs w:val="22"/>
                </w:rPr>
                <m:t>t</m:t>
              </m:r>
            </m:sub>
          </m:sSub>
          <m:r>
            <w:rPr>
              <w:rFonts w:ascii="Cambria Math" w:hAnsi="Cambria Math" w:cs="Calibri"/>
              <w:sz w:val="22"/>
              <w:szCs w:val="22"/>
            </w:rPr>
            <m:t>+C</m:t>
          </m:r>
          <m:sSub>
            <m:sSubPr>
              <m:ctrlPr>
                <w:rPr>
                  <w:rFonts w:ascii="Cambria Math" w:hAnsi="Cambria Math" w:cs="Calibri"/>
                  <w:i/>
                  <w:sz w:val="22"/>
                  <w:szCs w:val="22"/>
                </w:rPr>
              </m:ctrlPr>
            </m:sSubPr>
            <m:e>
              <m:r>
                <w:rPr>
                  <w:rFonts w:ascii="Cambria Math" w:hAnsi="Cambria Math" w:cs="Calibri"/>
                  <w:sz w:val="22"/>
                  <w:szCs w:val="22"/>
                </w:rPr>
                <m:t>S</m:t>
              </m:r>
            </m:e>
            <m:sub>
              <m:r>
                <w:rPr>
                  <w:rFonts w:ascii="Cambria Math" w:hAnsi="Cambria Math" w:cs="Calibri"/>
                  <w:sz w:val="22"/>
                  <w:szCs w:val="22"/>
                </w:rPr>
                <m:t>t</m:t>
              </m:r>
            </m:sub>
          </m:sSub>
          <m:r>
            <w:rPr>
              <w:rFonts w:ascii="Cambria Math" w:hAnsi="Cambria Math" w:cs="Calibri"/>
              <w:sz w:val="22"/>
              <w:szCs w:val="22"/>
            </w:rPr>
            <m:t>+</m:t>
          </m:r>
          <m:sSub>
            <m:sSubPr>
              <m:ctrlPr>
                <w:rPr>
                  <w:rFonts w:ascii="Cambria Math" w:hAnsi="Cambria Math" w:cs="Calibri"/>
                  <w:i/>
                  <w:iCs/>
                  <w:sz w:val="22"/>
                  <w:szCs w:val="22"/>
                </w:rPr>
              </m:ctrlPr>
            </m:sSubPr>
            <m:e>
              <m:r>
                <w:rPr>
                  <w:rFonts w:ascii="Cambria Math" w:hAnsi="Cambria Math" w:cs="Calibri"/>
                  <w:sz w:val="22"/>
                  <w:szCs w:val="22"/>
                </w:rPr>
                <m:t>v</m:t>
              </m:r>
            </m:e>
            <m:sub>
              <m:r>
                <w:rPr>
                  <w:rFonts w:ascii="Cambria Math" w:hAnsi="Cambria Math" w:cs="Calibri"/>
                  <w:sz w:val="22"/>
                  <w:szCs w:val="22"/>
                </w:rPr>
                <m:t>t</m:t>
              </m:r>
            </m:sub>
          </m:sSub>
        </m:oMath>
      </m:oMathPara>
    </w:p>
    <w:p w14:paraId="29FD083E" w14:textId="77777777" w:rsidR="00813277" w:rsidRDefault="00813277" w:rsidP="009F1618">
      <w:pPr>
        <w:pStyle w:val="Style1"/>
        <w:spacing w:after="0"/>
        <w:ind w:firstLine="0"/>
        <w:rPr>
          <w:rFonts w:ascii="Calibri" w:hAnsi="Calibri" w:cs="Calibri"/>
          <w:sz w:val="22"/>
          <w:szCs w:val="22"/>
        </w:rPr>
      </w:pPr>
    </w:p>
    <w:p w14:paraId="1E7DDE6A" w14:textId="1D8FA015" w:rsidR="00F10A7B" w:rsidRPr="009F1618" w:rsidRDefault="00F10A7B" w:rsidP="009F1618">
      <w:pPr>
        <w:pStyle w:val="Style1"/>
        <w:spacing w:after="0"/>
        <w:ind w:firstLine="0"/>
        <w:rPr>
          <w:rFonts w:ascii="Calibri" w:hAnsi="Calibri" w:cs="Calibri"/>
          <w:sz w:val="22"/>
          <w:szCs w:val="22"/>
        </w:rPr>
      </w:pPr>
      <w:r w:rsidRPr="009F1618">
        <w:rPr>
          <w:rFonts w:ascii="Calibri" w:hAnsi="Calibri" w:cs="Calibri"/>
          <w:sz w:val="22"/>
          <w:szCs w:val="22"/>
        </w:rPr>
        <w:lastRenderedPageBreak/>
        <w:t xml:space="preserve">where </w:t>
      </w:r>
      <m:oMath>
        <m:sSub>
          <m:sSubPr>
            <m:ctrlPr>
              <w:rPr>
                <w:rFonts w:ascii="Cambria Math" w:hAnsi="Cambria Math" w:cs="Calibri"/>
                <w:sz w:val="22"/>
                <w:szCs w:val="22"/>
              </w:rPr>
            </m:ctrlPr>
          </m:sSubPr>
          <m:e>
            <m:r>
              <m:rPr>
                <m:sty m:val="p"/>
              </m:rPr>
              <w:rPr>
                <w:rFonts w:ascii="Cambria Math" w:hAnsi="Cambria Math" w:cs="Calibri"/>
                <w:sz w:val="22"/>
                <w:szCs w:val="22"/>
              </w:rPr>
              <m:t>x</m:t>
            </m:r>
          </m:e>
          <m:sub>
            <m:r>
              <m:rPr>
                <m:sty m:val="p"/>
              </m:rPr>
              <w:rPr>
                <w:rFonts w:ascii="Cambria Math" w:hAnsi="Cambria Math" w:cs="Calibri"/>
                <w:sz w:val="22"/>
                <w:szCs w:val="22"/>
              </w:rPr>
              <m:t>t</m:t>
            </m:r>
          </m:sub>
        </m:sSub>
      </m:oMath>
      <w:r w:rsidRPr="009F1618">
        <w:rPr>
          <w:rFonts w:ascii="Calibri" w:hAnsi="Calibri" w:cs="Calibri"/>
          <w:sz w:val="22"/>
          <w:szCs w:val="22"/>
        </w:rPr>
        <w:t xml:space="preserve">​ is a </w:t>
      </w:r>
      <m:oMath>
        <m:r>
          <w:rPr>
            <w:rFonts w:ascii="Cambria Math" w:hAnsi="Cambria Math" w:cs="Calibri"/>
            <w:sz w:val="22"/>
            <w:szCs w:val="22"/>
          </w:rPr>
          <m:t>n×1</m:t>
        </m:r>
      </m:oMath>
      <w:r w:rsidRPr="009F1618">
        <w:rPr>
          <w:rFonts w:ascii="Calibri" w:hAnsi="Calibri" w:cs="Calibri"/>
          <w:sz w:val="22"/>
          <w:szCs w:val="22"/>
        </w:rPr>
        <w:t xml:space="preserve"> vector of endogenous variables (log prices for </w:t>
      </w:r>
      <m:oMath>
        <m:r>
          <w:rPr>
            <w:rFonts w:ascii="Cambria Math" w:hAnsi="Cambria Math" w:cs="Calibri"/>
            <w:sz w:val="22"/>
            <w:szCs w:val="22"/>
          </w:rPr>
          <m:t>n</m:t>
        </m:r>
      </m:oMath>
      <w:r w:rsidRPr="009F1618">
        <w:rPr>
          <w:rFonts w:ascii="Calibri" w:hAnsi="Calibri" w:cs="Calibri"/>
          <w:sz w:val="22"/>
          <w:szCs w:val="22"/>
        </w:rPr>
        <w:t xml:space="preserve"> </w:t>
      </w:r>
      <w:r w:rsidR="00054B33" w:rsidRPr="009F1618">
        <w:rPr>
          <w:rFonts w:ascii="Calibri" w:hAnsi="Calibri" w:cs="Calibri"/>
          <w:sz w:val="22"/>
          <w:szCs w:val="22"/>
        </w:rPr>
        <w:t>dairy trading regions</w:t>
      </w:r>
      <w:r w:rsidRPr="009F1618">
        <w:rPr>
          <w:rFonts w:ascii="Calibri" w:hAnsi="Calibri" w:cs="Calibri"/>
          <w:sz w:val="22"/>
          <w:szCs w:val="22"/>
        </w:rPr>
        <w:t xml:space="preserve">); </w:t>
      </w:r>
      <m:oMath>
        <m:r>
          <w:rPr>
            <w:rFonts w:ascii="Cambria Math" w:hAnsi="Cambria Math" w:cs="Calibri"/>
            <w:sz w:val="22"/>
            <w:szCs w:val="22"/>
          </w:rPr>
          <m:t>Δ</m:t>
        </m:r>
        <m:sSub>
          <m:sSubPr>
            <m:ctrlPr>
              <w:rPr>
                <w:rFonts w:ascii="Cambria Math" w:hAnsi="Cambria Math" w:cs="Calibri"/>
                <w:i/>
                <w:iCs/>
                <w:sz w:val="22"/>
                <w:szCs w:val="22"/>
              </w:rPr>
            </m:ctrlPr>
          </m:sSubPr>
          <m:e>
            <m:r>
              <w:rPr>
                <w:rFonts w:ascii="Cambria Math" w:hAnsi="Cambria Math" w:cs="Calibri"/>
                <w:sz w:val="22"/>
                <w:szCs w:val="22"/>
              </w:rPr>
              <m:t>x</m:t>
            </m:r>
          </m:e>
          <m:sub>
            <m:r>
              <w:rPr>
                <w:rFonts w:ascii="Cambria Math" w:hAnsi="Cambria Math" w:cs="Calibri"/>
                <w:sz w:val="22"/>
                <w:szCs w:val="22"/>
              </w:rPr>
              <m:t>t</m:t>
            </m:r>
          </m:sub>
        </m:sSub>
      </m:oMath>
      <w:r w:rsidRPr="009F1618">
        <w:rPr>
          <w:rFonts w:ascii="Calibri" w:hAnsi="Calibri" w:cs="Calibri"/>
          <w:sz w:val="22"/>
          <w:szCs w:val="22"/>
        </w:rPr>
        <w:t xml:space="preserve"> represents first differences of </w:t>
      </w:r>
      <m:oMath>
        <m:sSub>
          <m:sSubPr>
            <m:ctrlPr>
              <w:rPr>
                <w:rFonts w:ascii="Cambria Math" w:hAnsi="Cambria Math" w:cs="Calibri"/>
                <w:i/>
                <w:iCs/>
                <w:sz w:val="22"/>
                <w:szCs w:val="22"/>
              </w:rPr>
            </m:ctrlPr>
          </m:sSubPr>
          <m:e>
            <m:r>
              <w:rPr>
                <w:rFonts w:ascii="Cambria Math" w:hAnsi="Cambria Math" w:cs="Calibri"/>
                <w:sz w:val="22"/>
                <w:szCs w:val="22"/>
              </w:rPr>
              <m:t>x</m:t>
            </m:r>
          </m:e>
          <m:sub>
            <m:r>
              <w:rPr>
                <w:rFonts w:ascii="Cambria Math" w:hAnsi="Cambria Math" w:cs="Calibri"/>
                <w:sz w:val="22"/>
                <w:szCs w:val="22"/>
              </w:rPr>
              <m:t>t</m:t>
            </m:r>
          </m:sub>
        </m:sSub>
      </m:oMath>
      <w:r w:rsidRPr="009F1618">
        <w:rPr>
          <w:rFonts w:ascii="Calibri" w:hAnsi="Calibri" w:cs="Calibri"/>
          <w:sz w:val="22"/>
          <w:szCs w:val="22"/>
        </w:rPr>
        <w:t xml:space="preserve">; </w:t>
      </w:r>
      <m:oMath>
        <m:r>
          <w:rPr>
            <w:rFonts w:ascii="Cambria Math" w:hAnsi="Cambria Math" w:cs="Calibri"/>
            <w:sz w:val="22"/>
            <w:szCs w:val="22"/>
          </w:rPr>
          <m:t>Π</m:t>
        </m:r>
      </m:oMath>
      <w:r w:rsidRPr="009F1618">
        <w:rPr>
          <w:rFonts w:ascii="Calibri" w:hAnsi="Calibri" w:cs="Calibri"/>
          <w:sz w:val="22"/>
          <w:szCs w:val="22"/>
        </w:rPr>
        <w:t xml:space="preserve"> is the long-run impact matrix; </w:t>
      </w:r>
      <m:oMath>
        <m:sSub>
          <m:sSubPr>
            <m:ctrlPr>
              <w:rPr>
                <w:rFonts w:ascii="Cambria Math" w:hAnsi="Cambria Math" w:cs="Calibri"/>
                <w:i/>
                <w:iCs/>
                <w:sz w:val="22"/>
                <w:szCs w:val="22"/>
              </w:rPr>
            </m:ctrlPr>
          </m:sSubPr>
          <m:e>
            <m:r>
              <w:rPr>
                <w:rFonts w:ascii="Cambria Math" w:hAnsi="Cambria Math" w:cs="Calibri"/>
                <w:sz w:val="22"/>
                <w:szCs w:val="22"/>
              </w:rPr>
              <m:t>Π</m:t>
            </m:r>
          </m:e>
          <m:sub>
            <m:r>
              <w:rPr>
                <w:rFonts w:ascii="Cambria Math" w:hAnsi="Cambria Math" w:cs="Calibri"/>
                <w:sz w:val="22"/>
                <w:szCs w:val="22"/>
              </w:rPr>
              <m:t>i</m:t>
            </m:r>
          </m:sub>
        </m:sSub>
      </m:oMath>
      <w:r w:rsidRPr="009F1618">
        <w:rPr>
          <w:rFonts w:ascii="Calibri" w:hAnsi="Calibri" w:cs="Calibri"/>
          <w:sz w:val="22"/>
          <w:szCs w:val="22"/>
        </w:rPr>
        <w:t xml:space="preserve"> captures short-run dynamics; </w:t>
      </w:r>
      <m:oMath>
        <m:sSub>
          <m:sSubPr>
            <m:ctrlPr>
              <w:rPr>
                <w:rFonts w:ascii="Cambria Math" w:hAnsi="Cambria Math" w:cs="Calibri"/>
                <w:i/>
                <w:iCs/>
                <w:sz w:val="22"/>
                <w:szCs w:val="22"/>
              </w:rPr>
            </m:ctrlPr>
          </m:sSubPr>
          <m:e>
            <m:r>
              <w:rPr>
                <w:rFonts w:ascii="Cambria Math" w:hAnsi="Cambria Math" w:cs="Calibri"/>
                <w:sz w:val="22"/>
                <w:szCs w:val="22"/>
              </w:rPr>
              <m:t>D</m:t>
            </m:r>
          </m:e>
          <m:sub>
            <m:r>
              <w:rPr>
                <w:rFonts w:ascii="Cambria Math" w:hAnsi="Cambria Math" w:cs="Calibri"/>
                <w:sz w:val="22"/>
                <w:szCs w:val="22"/>
              </w:rPr>
              <m:t>t</m:t>
            </m:r>
          </m:sub>
        </m:sSub>
      </m:oMath>
      <w:r w:rsidRPr="009F1618">
        <w:rPr>
          <w:rFonts w:ascii="Calibri" w:hAnsi="Calibri" w:cs="Calibri"/>
          <w:sz w:val="22"/>
          <w:szCs w:val="22"/>
        </w:rPr>
        <w:t xml:space="preserve"> </w:t>
      </w:r>
      <w:r w:rsidR="00D54DD0" w:rsidRPr="009F1618">
        <w:rPr>
          <w:rFonts w:ascii="Calibri" w:hAnsi="Calibri" w:cs="Calibri"/>
          <w:sz w:val="22"/>
          <w:szCs w:val="22"/>
        </w:rPr>
        <w:t xml:space="preserve">is a set of </w:t>
      </w:r>
      <w:r w:rsidR="002375DD" w:rsidRPr="009F1618">
        <w:rPr>
          <w:rFonts w:ascii="Calibri" w:hAnsi="Calibri" w:cs="Calibri"/>
          <w:sz w:val="22"/>
          <w:szCs w:val="22"/>
        </w:rPr>
        <w:t xml:space="preserve">centred </w:t>
      </w:r>
      <w:r w:rsidR="005D2F33" w:rsidRPr="009F1618">
        <w:rPr>
          <w:rFonts w:ascii="Calibri" w:hAnsi="Calibri" w:cs="Calibri"/>
          <w:sz w:val="22"/>
          <w:szCs w:val="22"/>
        </w:rPr>
        <w:t>seasonal</w:t>
      </w:r>
      <w:r w:rsidRPr="009F1618">
        <w:rPr>
          <w:rFonts w:ascii="Calibri" w:hAnsi="Calibri" w:cs="Calibri"/>
          <w:sz w:val="22"/>
          <w:szCs w:val="22"/>
        </w:rPr>
        <w:t xml:space="preserve"> dummy variables;</w:t>
      </w:r>
      <w:r w:rsidR="00326509" w:rsidRPr="009F1618">
        <w:rPr>
          <w:rFonts w:ascii="Calibri" w:hAnsi="Calibri" w:cs="Calibri"/>
          <w:sz w:val="22"/>
          <w:szCs w:val="22"/>
        </w:rPr>
        <w:t xml:space="preserve"> </w:t>
      </w:r>
      <m:oMath>
        <m:sSub>
          <m:sSubPr>
            <m:ctrlPr>
              <w:rPr>
                <w:rFonts w:ascii="Cambria Math" w:hAnsi="Cambria Math" w:cs="Calibri"/>
                <w:i/>
                <w:sz w:val="22"/>
                <w:szCs w:val="22"/>
              </w:rPr>
            </m:ctrlPr>
          </m:sSubPr>
          <m:e>
            <m:r>
              <w:rPr>
                <w:rFonts w:ascii="Cambria Math" w:hAnsi="Cambria Math" w:cs="Calibri"/>
                <w:sz w:val="22"/>
                <w:szCs w:val="22"/>
              </w:rPr>
              <m:t>S</m:t>
            </m:r>
          </m:e>
          <m:sub>
            <m:r>
              <w:rPr>
                <w:rFonts w:ascii="Cambria Math" w:hAnsi="Cambria Math" w:cs="Calibri"/>
                <w:sz w:val="22"/>
                <w:szCs w:val="22"/>
              </w:rPr>
              <m:t>t</m:t>
            </m:r>
          </m:sub>
        </m:sSub>
      </m:oMath>
      <w:r w:rsidR="00326509" w:rsidRPr="009F1618">
        <w:rPr>
          <w:rFonts w:ascii="Calibri" w:eastAsiaTheme="minorEastAsia" w:hAnsi="Calibri" w:cs="Calibri"/>
          <w:sz w:val="22"/>
          <w:szCs w:val="22"/>
        </w:rPr>
        <w:t xml:space="preserve"> is </w:t>
      </w:r>
      <w:r w:rsidR="009E5523" w:rsidRPr="009F1618">
        <w:rPr>
          <w:rFonts w:ascii="Calibri" w:eastAsiaTheme="minorEastAsia" w:hAnsi="Calibri" w:cs="Calibri"/>
          <w:sz w:val="22"/>
          <w:szCs w:val="22"/>
        </w:rPr>
        <w:t xml:space="preserve">a </w:t>
      </w:r>
      <w:r w:rsidR="00642B21" w:rsidRPr="009F1618">
        <w:rPr>
          <w:rFonts w:ascii="Calibri" w:eastAsiaTheme="minorEastAsia" w:hAnsi="Calibri" w:cs="Calibri"/>
          <w:sz w:val="22"/>
          <w:szCs w:val="22"/>
        </w:rPr>
        <w:t xml:space="preserve">dummy variable representing </w:t>
      </w:r>
      <w:r w:rsidR="00F85C14" w:rsidRPr="009F1618">
        <w:rPr>
          <w:rFonts w:ascii="Calibri" w:eastAsiaTheme="minorEastAsia" w:hAnsi="Calibri" w:cs="Calibri"/>
          <w:sz w:val="22"/>
          <w:szCs w:val="22"/>
        </w:rPr>
        <w:t xml:space="preserve">the </w:t>
      </w:r>
      <w:r w:rsidR="00642B21" w:rsidRPr="009F1618">
        <w:rPr>
          <w:rFonts w:ascii="Calibri" w:eastAsiaTheme="minorEastAsia" w:hAnsi="Calibri" w:cs="Calibri"/>
          <w:sz w:val="22"/>
          <w:szCs w:val="22"/>
        </w:rPr>
        <w:t>structural change</w:t>
      </w:r>
      <w:r w:rsidR="00B72523" w:rsidRPr="009F1618">
        <w:rPr>
          <w:rFonts w:ascii="Calibri" w:eastAsiaTheme="minorEastAsia" w:hAnsi="Calibri" w:cs="Calibri"/>
          <w:sz w:val="22"/>
          <w:szCs w:val="22"/>
        </w:rPr>
        <w:t xml:space="preserve"> in 2015 identified in Selvan et al </w:t>
      </w:r>
      <w:r w:rsidR="006464EE" w:rsidRPr="009F1618">
        <w:rPr>
          <w:rFonts w:ascii="Calibri" w:eastAsiaTheme="minorEastAsia" w:hAnsi="Calibri" w:cs="Calibri"/>
          <w:sz w:val="22"/>
          <w:szCs w:val="22"/>
        </w:rPr>
        <w:t>(</w:t>
      </w:r>
      <w:r w:rsidR="00B72523" w:rsidRPr="009F1618">
        <w:rPr>
          <w:rFonts w:ascii="Calibri" w:eastAsiaTheme="minorEastAsia" w:hAnsi="Calibri" w:cs="Calibri"/>
          <w:sz w:val="22"/>
          <w:szCs w:val="22"/>
        </w:rPr>
        <w:t>2026)</w:t>
      </w:r>
      <w:r w:rsidR="00326509" w:rsidRPr="009F1618">
        <w:rPr>
          <w:rFonts w:ascii="Calibri" w:hAnsi="Calibri" w:cs="Calibri"/>
          <w:sz w:val="22"/>
          <w:szCs w:val="22"/>
        </w:rPr>
        <w:t>;</w:t>
      </w:r>
      <w:r w:rsidRPr="009F1618">
        <w:rPr>
          <w:rFonts w:ascii="Calibri" w:hAnsi="Calibri" w:cs="Calibri"/>
          <w:sz w:val="22"/>
          <w:szCs w:val="22"/>
        </w:rPr>
        <w:t xml:space="preserve"> </w:t>
      </w:r>
      <m:oMath>
        <m:sSub>
          <m:sSubPr>
            <m:ctrlPr>
              <w:rPr>
                <w:rFonts w:ascii="Cambria Math" w:hAnsi="Cambria Math" w:cs="Calibri"/>
                <w:i/>
                <w:iCs/>
                <w:sz w:val="22"/>
                <w:szCs w:val="22"/>
              </w:rPr>
            </m:ctrlPr>
          </m:sSubPr>
          <m:e>
            <m:r>
              <w:rPr>
                <w:rFonts w:ascii="Cambria Math" w:hAnsi="Cambria Math" w:cs="Calibri"/>
                <w:sz w:val="22"/>
                <w:szCs w:val="22"/>
              </w:rPr>
              <m:t>v</m:t>
            </m:r>
          </m:e>
          <m:sub>
            <m:r>
              <w:rPr>
                <w:rFonts w:ascii="Cambria Math" w:hAnsi="Cambria Math" w:cs="Calibri"/>
                <w:sz w:val="22"/>
                <w:szCs w:val="22"/>
              </w:rPr>
              <m:t>t</m:t>
            </m:r>
          </m:sub>
        </m:sSub>
      </m:oMath>
      <w:r w:rsidRPr="009F1618">
        <w:rPr>
          <w:rFonts w:ascii="Calibri" w:hAnsi="Calibri" w:cs="Calibri"/>
          <w:sz w:val="22"/>
          <w:szCs w:val="22"/>
        </w:rPr>
        <w:t xml:space="preserve"> is a vector of white noise error terms; and </w:t>
      </w:r>
      <m:oMath>
        <m:r>
          <w:rPr>
            <w:rFonts w:ascii="Cambria Math" w:hAnsi="Cambria Math" w:cs="Calibri"/>
            <w:sz w:val="22"/>
            <w:szCs w:val="22"/>
          </w:rPr>
          <m:t>p</m:t>
        </m:r>
      </m:oMath>
      <w:r w:rsidRPr="009F1618">
        <w:rPr>
          <w:rFonts w:ascii="Calibri" w:hAnsi="Calibri" w:cs="Calibri"/>
          <w:sz w:val="22"/>
          <w:szCs w:val="22"/>
        </w:rPr>
        <w:t xml:space="preserve"> is </w:t>
      </w:r>
      <w:r w:rsidR="00F13B69" w:rsidRPr="009F1618">
        <w:rPr>
          <w:rFonts w:ascii="Calibri" w:hAnsi="Calibri" w:cs="Calibri"/>
          <w:sz w:val="22"/>
          <w:szCs w:val="22"/>
        </w:rPr>
        <w:t xml:space="preserve">the </w:t>
      </w:r>
      <w:r w:rsidRPr="009F1618">
        <w:rPr>
          <w:rFonts w:ascii="Calibri" w:hAnsi="Calibri" w:cs="Calibri"/>
          <w:sz w:val="22"/>
          <w:szCs w:val="22"/>
        </w:rPr>
        <w:t>number of lags.</w:t>
      </w:r>
    </w:p>
    <w:p w14:paraId="74DD0A80" w14:textId="77777777" w:rsidR="00602ACA" w:rsidRDefault="00602ACA" w:rsidP="009F1618">
      <w:pPr>
        <w:pStyle w:val="Style1"/>
        <w:spacing w:after="0"/>
        <w:ind w:firstLine="0"/>
        <w:rPr>
          <w:rFonts w:ascii="Calibri" w:hAnsi="Calibri" w:cs="Calibri"/>
          <w:sz w:val="22"/>
          <w:szCs w:val="22"/>
        </w:rPr>
      </w:pPr>
    </w:p>
    <w:p w14:paraId="7BAC2EB6" w14:textId="7DA4D6A0" w:rsidR="00BF2B1E" w:rsidRPr="009F1618" w:rsidRDefault="00F10A7B" w:rsidP="009F1618">
      <w:pPr>
        <w:pStyle w:val="Style1"/>
        <w:spacing w:after="0"/>
        <w:ind w:firstLine="0"/>
        <w:rPr>
          <w:rFonts w:ascii="Calibri" w:hAnsi="Calibri" w:cs="Calibri"/>
          <w:sz w:val="22"/>
          <w:szCs w:val="22"/>
        </w:rPr>
      </w:pPr>
      <w:r w:rsidRPr="009F1618">
        <w:rPr>
          <w:rFonts w:ascii="Calibri" w:hAnsi="Calibri" w:cs="Calibri"/>
          <w:sz w:val="22"/>
          <w:szCs w:val="22"/>
        </w:rPr>
        <w:t xml:space="preserve">The </w:t>
      </w:r>
      <w:r w:rsidR="00163CBC" w:rsidRPr="009F1618">
        <w:rPr>
          <w:rFonts w:ascii="Calibri" w:hAnsi="Calibri" w:cs="Calibri"/>
          <w:sz w:val="22"/>
          <w:szCs w:val="22"/>
        </w:rPr>
        <w:t xml:space="preserve">long-run impact </w:t>
      </w:r>
      <w:r w:rsidRPr="009F1618">
        <w:rPr>
          <w:rFonts w:ascii="Calibri" w:hAnsi="Calibri" w:cs="Calibri"/>
          <w:sz w:val="22"/>
          <w:szCs w:val="22"/>
        </w:rPr>
        <w:t xml:space="preserve">matrix is of particular interest as its rank determines the </w:t>
      </w:r>
      <w:r w:rsidR="00AA5F8F" w:rsidRPr="009F1618">
        <w:rPr>
          <w:rFonts w:ascii="Calibri" w:hAnsi="Calibri" w:cs="Calibri"/>
          <w:sz w:val="22"/>
          <w:szCs w:val="22"/>
        </w:rPr>
        <w:t>number</w:t>
      </w:r>
      <w:r w:rsidRPr="009F1618">
        <w:rPr>
          <w:rFonts w:ascii="Calibri" w:hAnsi="Calibri" w:cs="Calibri"/>
          <w:sz w:val="22"/>
          <w:szCs w:val="22"/>
        </w:rPr>
        <w:t xml:space="preserve"> of </w:t>
      </w:r>
      <w:r w:rsidR="00D869B6" w:rsidRPr="009F1618">
        <w:rPr>
          <w:rFonts w:ascii="Calibri" w:hAnsi="Calibri" w:cs="Calibri"/>
          <w:sz w:val="22"/>
          <w:szCs w:val="22"/>
        </w:rPr>
        <w:t>cointegrating relationships</w:t>
      </w:r>
      <w:r w:rsidRPr="009F1618">
        <w:rPr>
          <w:rFonts w:ascii="Calibri" w:hAnsi="Calibri" w:cs="Calibri"/>
          <w:sz w:val="22"/>
          <w:szCs w:val="22"/>
        </w:rPr>
        <w:t xml:space="preserve"> among the variables. If </w:t>
      </w:r>
      <m:oMath>
        <m:r>
          <w:rPr>
            <w:rFonts w:ascii="Cambria Math" w:hAnsi="Cambria Math" w:cs="Calibri"/>
            <w:sz w:val="22"/>
            <w:szCs w:val="22"/>
          </w:rPr>
          <m:t>0 &lt; rank</m:t>
        </m:r>
        <m:d>
          <m:dPr>
            <m:ctrlPr>
              <w:rPr>
                <w:rFonts w:ascii="Cambria Math" w:hAnsi="Cambria Math" w:cs="Calibri"/>
                <w:i/>
                <w:sz w:val="22"/>
                <w:szCs w:val="22"/>
              </w:rPr>
            </m:ctrlPr>
          </m:dPr>
          <m:e>
            <m:r>
              <w:rPr>
                <w:rFonts w:ascii="Cambria Math" w:hAnsi="Cambria Math" w:cs="Calibri"/>
                <w:sz w:val="22"/>
                <w:szCs w:val="22"/>
              </w:rPr>
              <m:t>Π</m:t>
            </m:r>
          </m:e>
        </m:d>
        <m:r>
          <w:rPr>
            <w:rFonts w:ascii="Cambria Math" w:hAnsi="Cambria Math" w:cs="Calibri"/>
            <w:sz w:val="22"/>
            <w:szCs w:val="22"/>
          </w:rPr>
          <m:t>&lt; n</m:t>
        </m:r>
      </m:oMath>
      <w:r w:rsidRPr="009F1618">
        <w:rPr>
          <w:rFonts w:ascii="Calibri" w:hAnsi="Calibri" w:cs="Calibri"/>
          <w:sz w:val="22"/>
          <w:szCs w:val="22"/>
        </w:rPr>
        <w:t xml:space="preserve">, then cointegration exists and there are </w:t>
      </w:r>
      <m:oMath>
        <m:r>
          <w:rPr>
            <w:rFonts w:ascii="Cambria Math" w:hAnsi="Cambria Math" w:cs="Calibri"/>
            <w:sz w:val="22"/>
            <w:szCs w:val="22"/>
          </w:rPr>
          <m:t>r</m:t>
        </m:r>
      </m:oMath>
      <w:r w:rsidRPr="009F1618">
        <w:rPr>
          <w:rFonts w:ascii="Calibri" w:hAnsi="Calibri" w:cs="Calibri"/>
          <w:sz w:val="22"/>
          <w:szCs w:val="22"/>
        </w:rPr>
        <w:t xml:space="preserve"> cointegrating relationships, where </w:t>
      </w:r>
      <m:oMath>
        <m:r>
          <w:rPr>
            <w:rFonts w:ascii="Cambria Math" w:hAnsi="Cambria Math" w:cs="Calibri"/>
            <w:sz w:val="22"/>
            <w:szCs w:val="22"/>
          </w:rPr>
          <m:t>r=rank</m:t>
        </m:r>
        <m:d>
          <m:dPr>
            <m:ctrlPr>
              <w:rPr>
                <w:rFonts w:ascii="Cambria Math" w:hAnsi="Cambria Math" w:cs="Calibri"/>
                <w:i/>
                <w:iCs/>
                <w:sz w:val="22"/>
                <w:szCs w:val="22"/>
              </w:rPr>
            </m:ctrlPr>
          </m:dPr>
          <m:e>
            <m:r>
              <w:rPr>
                <w:rFonts w:ascii="Cambria Math" w:hAnsi="Cambria Math" w:cs="Calibri"/>
                <w:sz w:val="22"/>
                <w:szCs w:val="22"/>
              </w:rPr>
              <m:t>Π</m:t>
            </m:r>
          </m:e>
        </m:d>
      </m:oMath>
      <w:r w:rsidRPr="009F1618">
        <w:rPr>
          <w:rFonts w:ascii="Calibri" w:hAnsi="Calibri" w:cs="Calibri"/>
          <w:sz w:val="22"/>
          <w:szCs w:val="22"/>
        </w:rPr>
        <w:t xml:space="preserve">. The </w:t>
      </w:r>
      <w:r w:rsidR="00163CBC" w:rsidRPr="009F1618">
        <w:rPr>
          <w:rFonts w:ascii="Calibri" w:hAnsi="Calibri" w:cs="Calibri"/>
          <w:sz w:val="22"/>
          <w:szCs w:val="22"/>
        </w:rPr>
        <w:t>long-run impact</w:t>
      </w:r>
      <w:r w:rsidRPr="009F1618">
        <w:rPr>
          <w:rFonts w:ascii="Calibri" w:hAnsi="Calibri" w:cs="Calibri"/>
          <w:sz w:val="22"/>
          <w:szCs w:val="22"/>
        </w:rPr>
        <w:t xml:space="preserve"> </w:t>
      </w:r>
      <w:r w:rsidR="00FB06AB" w:rsidRPr="009F1618">
        <w:rPr>
          <w:rFonts w:ascii="Calibri" w:hAnsi="Calibri" w:cs="Calibri"/>
          <w:sz w:val="22"/>
          <w:szCs w:val="22"/>
        </w:rPr>
        <w:t xml:space="preserve">matrix </w:t>
      </w:r>
      <w:r w:rsidRPr="009F1618">
        <w:rPr>
          <w:rFonts w:ascii="Calibri" w:hAnsi="Calibri" w:cs="Calibri"/>
          <w:sz w:val="22"/>
          <w:szCs w:val="22"/>
        </w:rPr>
        <w:t>can be decomposed as</w:t>
      </w:r>
      <w:r w:rsidR="00217AB1" w:rsidRPr="009F1618">
        <w:rPr>
          <w:rFonts w:ascii="Calibri" w:hAnsi="Calibri" w:cs="Calibri"/>
          <w:sz w:val="22"/>
          <w:szCs w:val="22"/>
        </w:rPr>
        <w:t xml:space="preserve"> </w:t>
      </w:r>
      <m:oMath>
        <m:r>
          <w:rPr>
            <w:rFonts w:ascii="Cambria Math" w:hAnsi="Cambria Math" w:cs="Calibri"/>
            <w:sz w:val="22"/>
            <w:szCs w:val="22"/>
          </w:rPr>
          <m:t>Π=αβ'</m:t>
        </m:r>
      </m:oMath>
      <w:r w:rsidR="008D29CF" w:rsidRPr="009F1618">
        <w:rPr>
          <w:rFonts w:ascii="Calibri" w:eastAsiaTheme="minorEastAsia" w:hAnsi="Calibri" w:cs="Calibri"/>
          <w:sz w:val="22"/>
          <w:szCs w:val="22"/>
        </w:rPr>
        <w:t>,</w:t>
      </w:r>
      <w:r w:rsidR="009B5311" w:rsidRPr="009F1618">
        <w:rPr>
          <w:rFonts w:ascii="Calibri" w:hAnsi="Calibri" w:cs="Calibri"/>
          <w:sz w:val="22"/>
          <w:szCs w:val="22"/>
        </w:rPr>
        <w:t xml:space="preserve"> w</w:t>
      </w:r>
      <w:r w:rsidRPr="009F1618">
        <w:rPr>
          <w:rFonts w:ascii="Calibri" w:hAnsi="Calibri" w:cs="Calibri"/>
          <w:sz w:val="22"/>
          <w:szCs w:val="22"/>
        </w:rPr>
        <w:t xml:space="preserve">here </w:t>
      </w:r>
      <m:oMath>
        <m:r>
          <w:rPr>
            <w:rFonts w:ascii="Cambria Math" w:hAnsi="Cambria Math" w:cs="Calibri"/>
            <w:sz w:val="22"/>
            <w:szCs w:val="22"/>
          </w:rPr>
          <m:t>β</m:t>
        </m:r>
      </m:oMath>
      <w:r w:rsidR="009868FA" w:rsidRPr="009F1618">
        <w:rPr>
          <w:rFonts w:ascii="Calibri" w:eastAsiaTheme="minorEastAsia" w:hAnsi="Calibri" w:cs="Calibri"/>
          <w:sz w:val="22"/>
          <w:szCs w:val="22"/>
        </w:rPr>
        <w:t xml:space="preserve"> is a</w:t>
      </w:r>
      <w:r w:rsidRPr="009F1618">
        <w:rPr>
          <w:rFonts w:ascii="Calibri" w:hAnsi="Calibri" w:cs="Calibri"/>
          <w:sz w:val="22"/>
          <w:szCs w:val="22"/>
        </w:rPr>
        <w:t xml:space="preserve"> </w:t>
      </w:r>
      <m:oMath>
        <m:r>
          <w:rPr>
            <w:rFonts w:ascii="Cambria Math" w:hAnsi="Cambria Math" w:cs="Calibri"/>
            <w:sz w:val="22"/>
            <w:szCs w:val="22"/>
          </w:rPr>
          <m:t>n×r</m:t>
        </m:r>
      </m:oMath>
      <w:r w:rsidRPr="009F1618">
        <w:rPr>
          <w:rFonts w:ascii="Calibri" w:hAnsi="Calibri" w:cs="Calibri"/>
          <w:sz w:val="22"/>
          <w:szCs w:val="22"/>
        </w:rPr>
        <w:t xml:space="preserve"> matrix of cointegrating vectors representing long-run equilibrium relationships, and </w:t>
      </w:r>
      <m:oMath>
        <m:r>
          <w:rPr>
            <w:rFonts w:ascii="Cambria Math" w:hAnsi="Cambria Math" w:cs="Calibri"/>
            <w:sz w:val="22"/>
            <w:szCs w:val="22"/>
          </w:rPr>
          <m:t>α</m:t>
        </m:r>
      </m:oMath>
      <w:r w:rsidRPr="009F1618">
        <w:rPr>
          <w:rFonts w:ascii="Calibri" w:hAnsi="Calibri" w:cs="Calibri"/>
          <w:sz w:val="22"/>
          <w:szCs w:val="22"/>
        </w:rPr>
        <w:t xml:space="preserve"> is</w:t>
      </w:r>
      <w:r w:rsidR="00510AC7" w:rsidRPr="009F1618">
        <w:rPr>
          <w:rFonts w:ascii="Calibri" w:hAnsi="Calibri" w:cs="Calibri"/>
          <w:sz w:val="22"/>
          <w:szCs w:val="22"/>
        </w:rPr>
        <w:t xml:space="preserve"> a</w:t>
      </w:r>
      <w:r w:rsidRPr="009F1618">
        <w:rPr>
          <w:rFonts w:ascii="Calibri" w:hAnsi="Calibri" w:cs="Calibri"/>
          <w:sz w:val="22"/>
          <w:szCs w:val="22"/>
        </w:rPr>
        <w:t xml:space="preserve"> </w:t>
      </w:r>
      <m:oMath>
        <m:r>
          <w:rPr>
            <w:rFonts w:ascii="Cambria Math" w:hAnsi="Cambria Math" w:cs="Calibri"/>
            <w:sz w:val="22"/>
            <w:szCs w:val="22"/>
          </w:rPr>
          <m:t>n×r</m:t>
        </m:r>
      </m:oMath>
      <w:r w:rsidRPr="009F1618">
        <w:rPr>
          <w:rFonts w:ascii="Calibri" w:hAnsi="Calibri" w:cs="Calibri"/>
          <w:sz w:val="22"/>
          <w:szCs w:val="22"/>
        </w:rPr>
        <w:t xml:space="preserve"> matrix of adjustment coefficients indicating the speed at which each variable responds to deviations from equilibrium.</w:t>
      </w:r>
    </w:p>
    <w:p w14:paraId="6377DB8E" w14:textId="77777777" w:rsidR="00D44771" w:rsidRDefault="00D44771" w:rsidP="009F1618">
      <w:pPr>
        <w:pStyle w:val="Style1"/>
        <w:spacing w:after="0"/>
        <w:ind w:firstLine="0"/>
        <w:rPr>
          <w:rFonts w:ascii="Calibri" w:hAnsi="Calibri" w:cs="Calibri"/>
          <w:sz w:val="22"/>
          <w:szCs w:val="22"/>
        </w:rPr>
      </w:pPr>
    </w:p>
    <w:p w14:paraId="45494CD5" w14:textId="17C2A245" w:rsidR="001510BF" w:rsidRPr="009F1618" w:rsidRDefault="00286C84" w:rsidP="009F1618">
      <w:pPr>
        <w:pStyle w:val="Style1"/>
        <w:spacing w:after="0"/>
        <w:ind w:firstLine="0"/>
        <w:rPr>
          <w:rFonts w:ascii="Calibri" w:hAnsi="Calibri" w:cs="Calibri"/>
          <w:sz w:val="22"/>
          <w:szCs w:val="22"/>
        </w:rPr>
      </w:pPr>
      <w:r w:rsidRPr="009F1618">
        <w:rPr>
          <w:rFonts w:ascii="Calibri" w:hAnsi="Calibri" w:cs="Calibri"/>
          <w:sz w:val="22"/>
          <w:szCs w:val="22"/>
        </w:rPr>
        <w:t xml:space="preserve">Before estimating the model, </w:t>
      </w:r>
      <w:r w:rsidR="00770201" w:rsidRPr="009F1618">
        <w:rPr>
          <w:rFonts w:ascii="Calibri" w:hAnsi="Calibri" w:cs="Calibri"/>
          <w:sz w:val="22"/>
          <w:szCs w:val="22"/>
        </w:rPr>
        <w:t>the</w:t>
      </w:r>
      <w:r w:rsidRPr="009F1618">
        <w:rPr>
          <w:rFonts w:ascii="Calibri" w:hAnsi="Calibri" w:cs="Calibri"/>
          <w:sz w:val="22"/>
          <w:szCs w:val="22"/>
        </w:rPr>
        <w:t xml:space="preserve"> price series</w:t>
      </w:r>
      <w:r w:rsidR="00E7223A" w:rsidRPr="009F1618">
        <w:rPr>
          <w:rFonts w:ascii="Calibri" w:hAnsi="Calibri" w:cs="Calibri"/>
          <w:sz w:val="22"/>
          <w:szCs w:val="22"/>
        </w:rPr>
        <w:t xml:space="preserve"> are tested to see whether they</w:t>
      </w:r>
      <w:r w:rsidRPr="009F1618">
        <w:rPr>
          <w:rFonts w:ascii="Calibri" w:hAnsi="Calibri" w:cs="Calibri"/>
          <w:sz w:val="22"/>
          <w:szCs w:val="22"/>
        </w:rPr>
        <w:t xml:space="preserve"> are integrated of order one, </w:t>
      </w:r>
      <m:oMath>
        <m:r>
          <w:rPr>
            <w:rFonts w:ascii="Cambria Math" w:hAnsi="Cambria Math" w:cs="Calibri"/>
            <w:sz w:val="22"/>
            <w:szCs w:val="22"/>
          </w:rPr>
          <m:t>I(1)</m:t>
        </m:r>
      </m:oMath>
      <w:r w:rsidR="001D7C7C" w:rsidRPr="009F1618">
        <w:rPr>
          <w:rFonts w:ascii="Calibri" w:eastAsiaTheme="minorEastAsia" w:hAnsi="Calibri" w:cs="Calibri"/>
          <w:iCs/>
          <w:sz w:val="22"/>
          <w:szCs w:val="22"/>
        </w:rPr>
        <w:t xml:space="preserve">; that is, they are </w:t>
      </w:r>
      <w:r w:rsidR="00575D91" w:rsidRPr="009F1618">
        <w:rPr>
          <w:rFonts w:ascii="Calibri" w:eastAsiaTheme="minorEastAsia" w:hAnsi="Calibri" w:cs="Calibri"/>
          <w:iCs/>
          <w:sz w:val="22"/>
          <w:szCs w:val="22"/>
        </w:rPr>
        <w:t>non-stationary in levels, but stationary after taking first</w:t>
      </w:r>
      <w:r w:rsidR="008356C7" w:rsidRPr="009F1618">
        <w:rPr>
          <w:rFonts w:ascii="Calibri" w:eastAsiaTheme="minorEastAsia" w:hAnsi="Calibri" w:cs="Calibri"/>
          <w:iCs/>
          <w:sz w:val="22"/>
          <w:szCs w:val="22"/>
        </w:rPr>
        <w:t xml:space="preserve"> </w:t>
      </w:r>
      <w:r w:rsidR="00575D91" w:rsidRPr="009F1618">
        <w:rPr>
          <w:rFonts w:ascii="Calibri" w:eastAsiaTheme="minorEastAsia" w:hAnsi="Calibri" w:cs="Calibri"/>
          <w:iCs/>
          <w:sz w:val="22"/>
          <w:szCs w:val="22"/>
        </w:rPr>
        <w:t>difference</w:t>
      </w:r>
      <w:r w:rsidR="00325F19" w:rsidRPr="009F1618">
        <w:rPr>
          <w:rFonts w:ascii="Calibri" w:eastAsiaTheme="minorEastAsia" w:hAnsi="Calibri" w:cs="Calibri"/>
          <w:iCs/>
          <w:sz w:val="22"/>
          <w:szCs w:val="22"/>
        </w:rPr>
        <w:t>s</w:t>
      </w:r>
      <w:r w:rsidRPr="009F1618">
        <w:rPr>
          <w:rFonts w:ascii="Calibri" w:hAnsi="Calibri" w:cs="Calibri"/>
          <w:sz w:val="22"/>
          <w:szCs w:val="22"/>
        </w:rPr>
        <w:t xml:space="preserve">. </w:t>
      </w:r>
      <w:r w:rsidR="00B8798F">
        <w:rPr>
          <w:rFonts w:ascii="Calibri" w:hAnsi="Calibri" w:cs="Calibri"/>
          <w:sz w:val="22"/>
          <w:szCs w:val="22"/>
        </w:rPr>
        <w:t>As noted above, s</w:t>
      </w:r>
      <w:r w:rsidR="00AF3A9E" w:rsidRPr="009F1618">
        <w:rPr>
          <w:rFonts w:ascii="Calibri" w:hAnsi="Calibri" w:cs="Calibri"/>
          <w:sz w:val="22"/>
          <w:szCs w:val="22"/>
        </w:rPr>
        <w:t xml:space="preserve">tationarity is necessary for the application of </w:t>
      </w:r>
      <w:r w:rsidR="00C75A24" w:rsidRPr="009F1618">
        <w:rPr>
          <w:rFonts w:ascii="Calibri" w:hAnsi="Calibri" w:cs="Calibri"/>
          <w:sz w:val="22"/>
          <w:szCs w:val="22"/>
        </w:rPr>
        <w:t xml:space="preserve">the </w:t>
      </w:r>
      <w:r w:rsidR="00AF3A9E" w:rsidRPr="009F1618">
        <w:rPr>
          <w:rFonts w:ascii="Calibri" w:hAnsi="Calibri" w:cs="Calibri"/>
          <w:sz w:val="22"/>
          <w:szCs w:val="22"/>
        </w:rPr>
        <w:t>Johansen procedure,</w:t>
      </w:r>
      <w:r w:rsidR="00216DC0" w:rsidRPr="009F1618">
        <w:rPr>
          <w:rFonts w:ascii="Calibri" w:hAnsi="Calibri" w:cs="Calibri"/>
          <w:sz w:val="22"/>
          <w:szCs w:val="22"/>
        </w:rPr>
        <w:t xml:space="preserve"> as well as various other statistical techniques,</w:t>
      </w:r>
      <w:r w:rsidR="00AF3A9E" w:rsidRPr="009F1618">
        <w:rPr>
          <w:rFonts w:ascii="Calibri" w:hAnsi="Calibri" w:cs="Calibri"/>
          <w:sz w:val="22"/>
          <w:szCs w:val="22"/>
        </w:rPr>
        <w:t xml:space="preserve"> where non-stationarity</w:t>
      </w:r>
      <w:r w:rsidR="00C75A24" w:rsidRPr="009F1618">
        <w:rPr>
          <w:rFonts w:ascii="Calibri" w:hAnsi="Calibri" w:cs="Calibri"/>
          <w:sz w:val="22"/>
          <w:szCs w:val="22"/>
        </w:rPr>
        <w:t xml:space="preserve"> can lead to </w:t>
      </w:r>
      <w:r w:rsidR="007A685A">
        <w:rPr>
          <w:rFonts w:ascii="Calibri" w:hAnsi="Calibri" w:cs="Calibri"/>
          <w:sz w:val="22"/>
          <w:szCs w:val="22"/>
        </w:rPr>
        <w:t>misleading</w:t>
      </w:r>
      <w:r w:rsidR="00C75A24" w:rsidRPr="009F1618">
        <w:rPr>
          <w:rFonts w:ascii="Calibri" w:hAnsi="Calibri" w:cs="Calibri"/>
          <w:sz w:val="22"/>
          <w:szCs w:val="22"/>
        </w:rPr>
        <w:t xml:space="preserve"> results. </w:t>
      </w:r>
      <w:r w:rsidR="00C46220" w:rsidRPr="009F1618">
        <w:rPr>
          <w:rFonts w:ascii="Calibri" w:hAnsi="Calibri" w:cs="Calibri"/>
          <w:sz w:val="22"/>
          <w:szCs w:val="22"/>
        </w:rPr>
        <w:t xml:space="preserve">In Table </w:t>
      </w:r>
      <w:r w:rsidR="00036204" w:rsidRPr="009F1618">
        <w:rPr>
          <w:rFonts w:ascii="Calibri" w:hAnsi="Calibri" w:cs="Calibri"/>
          <w:sz w:val="22"/>
          <w:szCs w:val="22"/>
        </w:rPr>
        <w:t>1</w:t>
      </w:r>
      <w:r w:rsidR="00C46220" w:rsidRPr="009F1618">
        <w:rPr>
          <w:rFonts w:ascii="Calibri" w:hAnsi="Calibri" w:cs="Calibri"/>
          <w:sz w:val="22"/>
          <w:szCs w:val="22"/>
        </w:rPr>
        <w:t xml:space="preserve">, </w:t>
      </w:r>
      <w:r w:rsidRPr="009F1618">
        <w:rPr>
          <w:rFonts w:ascii="Calibri" w:hAnsi="Calibri" w:cs="Calibri"/>
          <w:sz w:val="22"/>
          <w:szCs w:val="22"/>
        </w:rPr>
        <w:t xml:space="preserve">Augmented Dickey-Fuller </w:t>
      </w:r>
      <w:r w:rsidR="004C3D71" w:rsidRPr="009F1618">
        <w:rPr>
          <w:rFonts w:ascii="Calibri" w:hAnsi="Calibri" w:cs="Calibri"/>
          <w:sz w:val="22"/>
          <w:szCs w:val="22"/>
        </w:rPr>
        <w:t xml:space="preserve">statistics </w:t>
      </w:r>
      <w:r w:rsidR="008356C7" w:rsidRPr="009F1618">
        <w:rPr>
          <w:rFonts w:ascii="Calibri" w:hAnsi="Calibri" w:cs="Calibri"/>
          <w:sz w:val="22"/>
          <w:szCs w:val="22"/>
        </w:rPr>
        <w:t xml:space="preserve">for each price series, in levels and first differences, </w:t>
      </w:r>
      <w:r w:rsidR="004C3D71" w:rsidRPr="009F1618">
        <w:rPr>
          <w:rFonts w:ascii="Calibri" w:hAnsi="Calibri" w:cs="Calibri"/>
          <w:sz w:val="22"/>
          <w:szCs w:val="22"/>
        </w:rPr>
        <w:t>are reported</w:t>
      </w:r>
      <w:r w:rsidR="00D2498A" w:rsidRPr="009F1618">
        <w:rPr>
          <w:rFonts w:ascii="Calibri" w:hAnsi="Calibri" w:cs="Calibri"/>
          <w:sz w:val="22"/>
          <w:szCs w:val="22"/>
        </w:rPr>
        <w:t>.</w:t>
      </w:r>
      <w:r w:rsidR="00C46220" w:rsidRPr="009F1618">
        <w:rPr>
          <w:rFonts w:ascii="Calibri" w:hAnsi="Calibri" w:cs="Calibri"/>
          <w:sz w:val="22"/>
          <w:szCs w:val="22"/>
        </w:rPr>
        <w:t xml:space="preserve"> </w:t>
      </w:r>
      <w:r w:rsidR="002F0D62" w:rsidRPr="009F1618">
        <w:rPr>
          <w:rFonts w:ascii="Calibri" w:hAnsi="Calibri" w:cs="Calibri"/>
          <w:sz w:val="22"/>
          <w:szCs w:val="22"/>
        </w:rPr>
        <w:t>T</w:t>
      </w:r>
      <w:r w:rsidR="00FD4E06" w:rsidRPr="009F1618">
        <w:rPr>
          <w:rFonts w:ascii="Calibri" w:hAnsi="Calibri" w:cs="Calibri"/>
          <w:sz w:val="22"/>
          <w:szCs w:val="22"/>
        </w:rPr>
        <w:t>he null hypothesis of non-stationarity</w:t>
      </w:r>
      <w:r w:rsidR="00F70A66" w:rsidRPr="009F1618">
        <w:rPr>
          <w:rFonts w:ascii="Calibri" w:hAnsi="Calibri" w:cs="Calibri"/>
          <w:sz w:val="22"/>
          <w:szCs w:val="22"/>
        </w:rPr>
        <w:t xml:space="preserve"> </w:t>
      </w:r>
      <w:r w:rsidR="002F0D62" w:rsidRPr="009F1618">
        <w:rPr>
          <w:rFonts w:ascii="Calibri" w:hAnsi="Calibri" w:cs="Calibri"/>
          <w:sz w:val="22"/>
          <w:szCs w:val="22"/>
        </w:rPr>
        <w:t xml:space="preserve">is tested </w:t>
      </w:r>
      <w:r w:rsidR="00F70A66" w:rsidRPr="009F1618">
        <w:rPr>
          <w:rFonts w:ascii="Calibri" w:hAnsi="Calibri" w:cs="Calibri"/>
          <w:sz w:val="22"/>
          <w:szCs w:val="22"/>
        </w:rPr>
        <w:t xml:space="preserve">against the alternative of stationarity. </w:t>
      </w:r>
      <w:r w:rsidR="00EE67A2" w:rsidRPr="009F1618">
        <w:rPr>
          <w:rFonts w:ascii="Calibri" w:hAnsi="Calibri" w:cs="Calibri"/>
          <w:sz w:val="22"/>
          <w:szCs w:val="22"/>
        </w:rPr>
        <w:t xml:space="preserve">While </w:t>
      </w:r>
      <w:r w:rsidR="00003D01" w:rsidRPr="009F1618">
        <w:rPr>
          <w:rFonts w:ascii="Calibri" w:hAnsi="Calibri" w:cs="Calibri"/>
          <w:sz w:val="22"/>
          <w:szCs w:val="22"/>
        </w:rPr>
        <w:t>the</w:t>
      </w:r>
      <w:r w:rsidR="008E4596">
        <w:rPr>
          <w:rFonts w:ascii="Calibri" w:hAnsi="Calibri" w:cs="Calibri"/>
          <w:sz w:val="22"/>
          <w:szCs w:val="22"/>
        </w:rPr>
        <w:t>re is insufficient evidence to reject the</w:t>
      </w:r>
      <w:r w:rsidR="00003D01" w:rsidRPr="009F1618">
        <w:rPr>
          <w:rFonts w:ascii="Calibri" w:hAnsi="Calibri" w:cs="Calibri"/>
          <w:sz w:val="22"/>
          <w:szCs w:val="22"/>
        </w:rPr>
        <w:t xml:space="preserve"> null</w:t>
      </w:r>
      <w:r w:rsidR="00775824" w:rsidRPr="009F1618">
        <w:rPr>
          <w:rFonts w:ascii="Calibri" w:hAnsi="Calibri" w:cs="Calibri"/>
          <w:sz w:val="22"/>
          <w:szCs w:val="22"/>
        </w:rPr>
        <w:t xml:space="preserve"> hypothesis </w:t>
      </w:r>
      <w:r w:rsidR="008E4596">
        <w:rPr>
          <w:rFonts w:ascii="Calibri" w:hAnsi="Calibri" w:cs="Calibri"/>
          <w:sz w:val="22"/>
          <w:szCs w:val="22"/>
        </w:rPr>
        <w:t>for</w:t>
      </w:r>
      <w:r w:rsidR="00F67C2A" w:rsidRPr="009F1618">
        <w:rPr>
          <w:rFonts w:ascii="Calibri" w:hAnsi="Calibri" w:cs="Calibri"/>
          <w:sz w:val="22"/>
          <w:szCs w:val="22"/>
        </w:rPr>
        <w:t xml:space="preserve"> </w:t>
      </w:r>
      <w:r w:rsidR="00C01830" w:rsidRPr="009F1618">
        <w:rPr>
          <w:rFonts w:ascii="Calibri" w:hAnsi="Calibri" w:cs="Calibri"/>
          <w:sz w:val="22"/>
          <w:szCs w:val="22"/>
        </w:rPr>
        <w:t xml:space="preserve">some price series </w:t>
      </w:r>
      <w:r w:rsidR="00EE67A2" w:rsidRPr="009F1618">
        <w:rPr>
          <w:rFonts w:ascii="Calibri" w:hAnsi="Calibri" w:cs="Calibri"/>
          <w:sz w:val="22"/>
          <w:szCs w:val="22"/>
        </w:rPr>
        <w:t xml:space="preserve">in levels </w:t>
      </w:r>
      <w:r w:rsidR="00950D78" w:rsidRPr="009F1618">
        <w:rPr>
          <w:rFonts w:ascii="Calibri" w:hAnsi="Calibri" w:cs="Calibri"/>
          <w:sz w:val="22"/>
          <w:szCs w:val="22"/>
        </w:rPr>
        <w:t>at</w:t>
      </w:r>
      <w:r w:rsidR="00EE67A2" w:rsidRPr="009F1618">
        <w:rPr>
          <w:rFonts w:ascii="Calibri" w:hAnsi="Calibri" w:cs="Calibri"/>
          <w:sz w:val="22"/>
          <w:szCs w:val="22"/>
        </w:rPr>
        <w:t xml:space="preserve"> varying degrees of significance, </w:t>
      </w:r>
      <w:r w:rsidR="004E48C7" w:rsidRPr="009F1618">
        <w:rPr>
          <w:rFonts w:ascii="Calibri" w:hAnsi="Calibri" w:cs="Calibri"/>
          <w:sz w:val="22"/>
          <w:szCs w:val="22"/>
        </w:rPr>
        <w:t>the null</w:t>
      </w:r>
      <w:r w:rsidR="007623B8" w:rsidRPr="009F1618">
        <w:rPr>
          <w:rFonts w:ascii="Calibri" w:hAnsi="Calibri" w:cs="Calibri"/>
          <w:sz w:val="22"/>
          <w:szCs w:val="22"/>
        </w:rPr>
        <w:t xml:space="preserve"> hypothesis</w:t>
      </w:r>
      <w:r w:rsidR="008D4BA1" w:rsidRPr="009F1618">
        <w:rPr>
          <w:rFonts w:ascii="Calibri" w:hAnsi="Calibri" w:cs="Calibri"/>
          <w:sz w:val="22"/>
          <w:szCs w:val="22"/>
        </w:rPr>
        <w:t xml:space="preserve"> is</w:t>
      </w:r>
      <w:r w:rsidR="001E1A49" w:rsidRPr="009F1618">
        <w:rPr>
          <w:rFonts w:ascii="Calibri" w:hAnsi="Calibri" w:cs="Calibri"/>
          <w:sz w:val="22"/>
          <w:szCs w:val="22"/>
        </w:rPr>
        <w:t xml:space="preserve"> </w:t>
      </w:r>
      <w:r w:rsidR="00775824" w:rsidRPr="009F1618">
        <w:rPr>
          <w:rFonts w:ascii="Calibri" w:hAnsi="Calibri" w:cs="Calibri"/>
          <w:sz w:val="22"/>
          <w:szCs w:val="22"/>
        </w:rPr>
        <w:t>rejected</w:t>
      </w:r>
      <w:r w:rsidR="004E48C7" w:rsidRPr="009F1618">
        <w:rPr>
          <w:rFonts w:ascii="Calibri" w:hAnsi="Calibri" w:cs="Calibri"/>
          <w:sz w:val="22"/>
          <w:szCs w:val="22"/>
        </w:rPr>
        <w:t xml:space="preserve"> </w:t>
      </w:r>
      <w:r w:rsidR="00F36511" w:rsidRPr="009F1618">
        <w:rPr>
          <w:rFonts w:ascii="Calibri" w:hAnsi="Calibri" w:cs="Calibri"/>
          <w:sz w:val="22"/>
          <w:szCs w:val="22"/>
        </w:rPr>
        <w:t xml:space="preserve">for </w:t>
      </w:r>
      <w:r w:rsidR="00C770B1" w:rsidRPr="009F1618">
        <w:rPr>
          <w:rFonts w:ascii="Calibri" w:hAnsi="Calibri" w:cs="Calibri"/>
          <w:sz w:val="22"/>
          <w:szCs w:val="22"/>
        </w:rPr>
        <w:t>a</w:t>
      </w:r>
      <w:r w:rsidR="00162170" w:rsidRPr="009F1618">
        <w:rPr>
          <w:rFonts w:ascii="Calibri" w:hAnsi="Calibri" w:cs="Calibri"/>
          <w:sz w:val="22"/>
          <w:szCs w:val="22"/>
        </w:rPr>
        <w:t xml:space="preserve">ll </w:t>
      </w:r>
      <w:r w:rsidR="00434A0A" w:rsidRPr="009F1618">
        <w:rPr>
          <w:rFonts w:ascii="Calibri" w:hAnsi="Calibri" w:cs="Calibri"/>
          <w:sz w:val="22"/>
          <w:szCs w:val="22"/>
        </w:rPr>
        <w:t>price series</w:t>
      </w:r>
      <w:r w:rsidR="00FE5295" w:rsidRPr="009F1618">
        <w:rPr>
          <w:rFonts w:ascii="Calibri" w:hAnsi="Calibri" w:cs="Calibri"/>
          <w:sz w:val="22"/>
          <w:szCs w:val="22"/>
        </w:rPr>
        <w:t xml:space="preserve"> at the 1</w:t>
      </w:r>
      <w:r w:rsidR="004843CA">
        <w:rPr>
          <w:rFonts w:ascii="Calibri" w:hAnsi="Calibri" w:cs="Calibri"/>
          <w:sz w:val="22"/>
          <w:szCs w:val="22"/>
        </w:rPr>
        <w:t xml:space="preserve"> per cent</w:t>
      </w:r>
      <w:r w:rsidR="00FE5295" w:rsidRPr="009F1618">
        <w:rPr>
          <w:rFonts w:ascii="Calibri" w:hAnsi="Calibri" w:cs="Calibri"/>
          <w:sz w:val="22"/>
          <w:szCs w:val="22"/>
        </w:rPr>
        <w:t xml:space="preserve"> level after differencing</w:t>
      </w:r>
      <w:r w:rsidR="006C6C55" w:rsidRPr="009F1618">
        <w:rPr>
          <w:rStyle w:val="FootnoteReference"/>
          <w:rFonts w:ascii="Calibri" w:hAnsi="Calibri" w:cs="Calibri"/>
          <w:sz w:val="22"/>
          <w:szCs w:val="22"/>
        </w:rPr>
        <w:footnoteReference w:id="5"/>
      </w:r>
      <w:r w:rsidR="00C770B1" w:rsidRPr="009F1618">
        <w:rPr>
          <w:rFonts w:ascii="Calibri" w:hAnsi="Calibri" w:cs="Calibri"/>
          <w:sz w:val="22"/>
          <w:szCs w:val="22"/>
        </w:rPr>
        <w:t>.</w:t>
      </w:r>
      <w:r w:rsidR="00434A0A" w:rsidRPr="009F1618">
        <w:rPr>
          <w:rFonts w:ascii="Calibri" w:hAnsi="Calibri" w:cs="Calibri"/>
          <w:sz w:val="22"/>
          <w:szCs w:val="22"/>
        </w:rPr>
        <w:t xml:space="preserve"> </w:t>
      </w:r>
    </w:p>
    <w:p w14:paraId="6C5A10B6" w14:textId="77777777" w:rsidR="004843CA" w:rsidRDefault="004843CA" w:rsidP="009F1618">
      <w:pPr>
        <w:pStyle w:val="Style1"/>
        <w:spacing w:after="0"/>
        <w:ind w:firstLine="0"/>
        <w:rPr>
          <w:rFonts w:ascii="Calibri" w:hAnsi="Calibri" w:cs="Calibri"/>
          <w:sz w:val="22"/>
          <w:szCs w:val="22"/>
        </w:rPr>
      </w:pPr>
    </w:p>
    <w:tbl>
      <w:tblPr>
        <w:tblW w:w="9072" w:type="dxa"/>
        <w:tblLayout w:type="fixed"/>
        <w:tblLook w:val="04A0" w:firstRow="1" w:lastRow="0" w:firstColumn="1" w:lastColumn="0" w:noHBand="0" w:noVBand="1"/>
      </w:tblPr>
      <w:tblGrid>
        <w:gridCol w:w="1701"/>
        <w:gridCol w:w="1701"/>
        <w:gridCol w:w="2835"/>
        <w:gridCol w:w="2835"/>
      </w:tblGrid>
      <w:tr w:rsidR="00FE4722" w:rsidRPr="009F1618" w14:paraId="2D501C2E" w14:textId="77777777" w:rsidTr="00DE2164">
        <w:trPr>
          <w:cantSplit/>
          <w:trHeight w:val="300"/>
        </w:trPr>
        <w:tc>
          <w:tcPr>
            <w:tcW w:w="9072" w:type="dxa"/>
            <w:gridSpan w:val="4"/>
            <w:tcBorders>
              <w:left w:val="nil"/>
              <w:right w:val="nil"/>
            </w:tcBorders>
            <w:shd w:val="clear" w:color="000000" w:fill="FFFFFF"/>
            <w:noWrap/>
            <w:vAlign w:val="center"/>
          </w:tcPr>
          <w:p w14:paraId="422F6785" w14:textId="36DED910"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b/>
                <w:bCs/>
                <w:color w:val="000000"/>
                <w:kern w:val="0"/>
                <w:sz w:val="22"/>
                <w:szCs w:val="22"/>
                <w:lang w:eastAsia="en-AU"/>
                <w14:ligatures w14:val="none"/>
              </w:rPr>
              <w:t xml:space="preserve">Table </w:t>
            </w:r>
            <w:r w:rsidR="00036204" w:rsidRPr="009F1618">
              <w:rPr>
                <w:rFonts w:ascii="Calibri" w:eastAsia="Times New Roman" w:hAnsi="Calibri" w:cs="Calibri"/>
                <w:b/>
                <w:bCs/>
                <w:color w:val="000000"/>
                <w:kern w:val="0"/>
                <w:sz w:val="22"/>
                <w:szCs w:val="22"/>
                <w:lang w:eastAsia="en-AU"/>
                <w14:ligatures w14:val="none"/>
              </w:rPr>
              <w:t>1</w:t>
            </w:r>
            <w:r w:rsidR="00471C6C">
              <w:rPr>
                <w:rFonts w:ascii="Calibri" w:eastAsia="Times New Roman" w:hAnsi="Calibri" w:cs="Calibri"/>
                <w:b/>
                <w:bCs/>
                <w:color w:val="000000"/>
                <w:kern w:val="0"/>
                <w:sz w:val="22"/>
                <w:szCs w:val="22"/>
                <w:lang w:eastAsia="en-AU"/>
                <w14:ligatures w14:val="none"/>
              </w:rPr>
              <w:t>.</w:t>
            </w:r>
            <w:r w:rsidRPr="009F1618">
              <w:rPr>
                <w:rFonts w:ascii="Calibri" w:eastAsia="Times New Roman" w:hAnsi="Calibri" w:cs="Calibri"/>
                <w:b/>
                <w:bCs/>
                <w:color w:val="000000"/>
                <w:kern w:val="0"/>
                <w:sz w:val="22"/>
                <w:szCs w:val="22"/>
                <w:lang w:eastAsia="en-AU"/>
                <w14:ligatures w14:val="none"/>
              </w:rPr>
              <w:t xml:space="preserve"> </w:t>
            </w:r>
            <w:r w:rsidRPr="009F1618">
              <w:rPr>
                <w:rFonts w:ascii="Calibri" w:eastAsia="Times New Roman" w:hAnsi="Calibri" w:cs="Calibri"/>
                <w:color w:val="000000"/>
                <w:kern w:val="0"/>
                <w:sz w:val="22"/>
                <w:szCs w:val="22"/>
                <w:lang w:eastAsia="en-AU"/>
                <w14:ligatures w14:val="none"/>
              </w:rPr>
              <w:t>Augmented Dickey-Fuller Tests for Non-stationarity</w:t>
            </w:r>
          </w:p>
          <w:p w14:paraId="039959F1" w14:textId="6BB43C8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p>
        </w:tc>
      </w:tr>
      <w:tr w:rsidR="00FE4722" w:rsidRPr="009F1618" w14:paraId="0505EDB0" w14:textId="77777777" w:rsidTr="00DE2164">
        <w:trPr>
          <w:cantSplit/>
          <w:trHeight w:val="300"/>
        </w:trPr>
        <w:tc>
          <w:tcPr>
            <w:tcW w:w="1701" w:type="dxa"/>
            <w:tcBorders>
              <w:top w:val="double" w:sz="4" w:space="0" w:color="auto"/>
              <w:left w:val="nil"/>
              <w:right w:val="nil"/>
            </w:tcBorders>
            <w:shd w:val="clear" w:color="000000" w:fill="FFFFFF"/>
            <w:noWrap/>
            <w:vAlign w:val="center"/>
          </w:tcPr>
          <w:p w14:paraId="7BCECE1F" w14:textId="76010AFB"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p>
        </w:tc>
        <w:tc>
          <w:tcPr>
            <w:tcW w:w="1701" w:type="dxa"/>
            <w:tcBorders>
              <w:top w:val="double" w:sz="4" w:space="0" w:color="auto"/>
              <w:left w:val="nil"/>
              <w:right w:val="nil"/>
            </w:tcBorders>
            <w:shd w:val="clear" w:color="000000" w:fill="FFFFFF"/>
            <w:vAlign w:val="center"/>
          </w:tcPr>
          <w:p w14:paraId="47C682A8"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p>
        </w:tc>
        <w:tc>
          <w:tcPr>
            <w:tcW w:w="5670" w:type="dxa"/>
            <w:gridSpan w:val="2"/>
            <w:tcBorders>
              <w:top w:val="double" w:sz="4" w:space="0" w:color="auto"/>
              <w:left w:val="nil"/>
              <w:right w:val="nil"/>
            </w:tcBorders>
            <w:shd w:val="clear" w:color="000000" w:fill="FFFFFF"/>
            <w:vAlign w:val="center"/>
          </w:tcPr>
          <w:p w14:paraId="258F4990" w14:textId="797C4586" w:rsidR="00FE4722" w:rsidRPr="009F1618" w:rsidRDefault="00503616" w:rsidP="009D21DE">
            <w:pPr>
              <w:spacing w:after="0" w:line="240" w:lineRule="auto"/>
              <w:jc w:val="center"/>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Price</w:t>
            </w:r>
            <w:r w:rsidR="00FE4722" w:rsidRPr="009F1618">
              <w:rPr>
                <w:rFonts w:ascii="Calibri" w:eastAsia="Times New Roman" w:hAnsi="Calibri" w:cs="Calibri"/>
                <w:color w:val="000000"/>
                <w:kern w:val="0"/>
                <w:sz w:val="22"/>
                <w:szCs w:val="22"/>
                <w:lang w:eastAsia="en-AU"/>
                <w14:ligatures w14:val="none"/>
              </w:rPr>
              <w:t xml:space="preserve"> series in:</w:t>
            </w:r>
          </w:p>
        </w:tc>
      </w:tr>
      <w:tr w:rsidR="00FE4722" w:rsidRPr="009F1618" w14:paraId="2959A17D" w14:textId="77777777" w:rsidTr="00DE2164">
        <w:trPr>
          <w:cantSplit/>
          <w:trHeight w:val="300"/>
        </w:trPr>
        <w:tc>
          <w:tcPr>
            <w:tcW w:w="1701" w:type="dxa"/>
            <w:tcBorders>
              <w:top w:val="nil"/>
              <w:left w:val="nil"/>
              <w:bottom w:val="single" w:sz="4" w:space="0" w:color="auto"/>
              <w:right w:val="nil"/>
            </w:tcBorders>
            <w:shd w:val="clear" w:color="000000" w:fill="FFFFFF"/>
            <w:noWrap/>
            <w:vAlign w:val="center"/>
            <w:hideMark/>
          </w:tcPr>
          <w:p w14:paraId="7555DDCF" w14:textId="4D55456A"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Product</w:t>
            </w:r>
          </w:p>
        </w:tc>
        <w:tc>
          <w:tcPr>
            <w:tcW w:w="1701" w:type="dxa"/>
            <w:tcBorders>
              <w:top w:val="nil"/>
              <w:left w:val="nil"/>
              <w:bottom w:val="single" w:sz="4" w:space="0" w:color="auto"/>
              <w:right w:val="nil"/>
            </w:tcBorders>
            <w:shd w:val="clear" w:color="000000" w:fill="FFFFFF"/>
            <w:noWrap/>
            <w:vAlign w:val="center"/>
          </w:tcPr>
          <w:p w14:paraId="7A2B4AE0" w14:textId="3CC36911"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Region</w:t>
            </w:r>
          </w:p>
        </w:tc>
        <w:tc>
          <w:tcPr>
            <w:tcW w:w="2835" w:type="dxa"/>
            <w:tcBorders>
              <w:top w:val="single" w:sz="4" w:space="0" w:color="auto"/>
              <w:left w:val="nil"/>
              <w:bottom w:val="single" w:sz="4" w:space="0" w:color="auto"/>
              <w:right w:val="nil"/>
            </w:tcBorders>
            <w:shd w:val="clear" w:color="000000" w:fill="FFFFFF"/>
            <w:noWrap/>
            <w:vAlign w:val="center"/>
            <w:hideMark/>
          </w:tcPr>
          <w:p w14:paraId="69E47D2A" w14:textId="77777777" w:rsidR="00FE4722" w:rsidRPr="009F1618" w:rsidRDefault="00FE4722" w:rsidP="009D21DE">
            <w:pPr>
              <w:spacing w:after="0" w:line="240" w:lineRule="auto"/>
              <w:jc w:val="center"/>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Levels</w:t>
            </w:r>
          </w:p>
        </w:tc>
        <w:tc>
          <w:tcPr>
            <w:tcW w:w="2835" w:type="dxa"/>
            <w:tcBorders>
              <w:top w:val="single" w:sz="4" w:space="0" w:color="auto"/>
              <w:left w:val="nil"/>
              <w:bottom w:val="single" w:sz="4" w:space="0" w:color="auto"/>
              <w:right w:val="nil"/>
            </w:tcBorders>
            <w:shd w:val="clear" w:color="000000" w:fill="FFFFFF"/>
            <w:noWrap/>
            <w:vAlign w:val="center"/>
            <w:hideMark/>
          </w:tcPr>
          <w:p w14:paraId="7DA2B5F5" w14:textId="453CCBC3"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First</w:t>
            </w:r>
            <w:r w:rsidR="008356C7" w:rsidRPr="009F1618">
              <w:rPr>
                <w:rFonts w:ascii="Calibri" w:eastAsia="Times New Roman" w:hAnsi="Calibri" w:cs="Calibri"/>
                <w:color w:val="000000"/>
                <w:kern w:val="0"/>
                <w:sz w:val="22"/>
                <w:szCs w:val="22"/>
                <w:lang w:eastAsia="en-AU"/>
                <w14:ligatures w14:val="none"/>
              </w:rPr>
              <w:t xml:space="preserve"> </w:t>
            </w:r>
            <w:r w:rsidRPr="009F1618">
              <w:rPr>
                <w:rFonts w:ascii="Calibri" w:eastAsia="Times New Roman" w:hAnsi="Calibri" w:cs="Calibri"/>
                <w:color w:val="000000"/>
                <w:kern w:val="0"/>
                <w:sz w:val="22"/>
                <w:szCs w:val="22"/>
                <w:lang w:eastAsia="en-AU"/>
                <w14:ligatures w14:val="none"/>
              </w:rPr>
              <w:t>differences</w:t>
            </w:r>
          </w:p>
        </w:tc>
      </w:tr>
      <w:tr w:rsidR="00FE4722" w:rsidRPr="009F1618" w14:paraId="215F971B" w14:textId="77777777" w:rsidTr="00DE2164">
        <w:trPr>
          <w:cantSplit/>
          <w:trHeight w:val="300"/>
        </w:trPr>
        <w:tc>
          <w:tcPr>
            <w:tcW w:w="1701" w:type="dxa"/>
            <w:tcBorders>
              <w:top w:val="single" w:sz="4" w:space="0" w:color="auto"/>
              <w:left w:val="nil"/>
              <w:bottom w:val="nil"/>
              <w:right w:val="nil"/>
            </w:tcBorders>
            <w:shd w:val="clear" w:color="000000" w:fill="FFFFFF"/>
            <w:noWrap/>
            <w:vAlign w:val="center"/>
            <w:hideMark/>
          </w:tcPr>
          <w:p w14:paraId="6E94F5B3" w14:textId="5B60CE7E"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Butter</w:t>
            </w:r>
          </w:p>
        </w:tc>
        <w:tc>
          <w:tcPr>
            <w:tcW w:w="1701" w:type="dxa"/>
            <w:tcBorders>
              <w:top w:val="single" w:sz="4" w:space="0" w:color="auto"/>
              <w:left w:val="nil"/>
              <w:bottom w:val="nil"/>
              <w:right w:val="nil"/>
            </w:tcBorders>
            <w:shd w:val="clear" w:color="000000" w:fill="FFFFFF"/>
            <w:noWrap/>
            <w:vAlign w:val="center"/>
            <w:hideMark/>
          </w:tcPr>
          <w:p w14:paraId="63A2C431" w14:textId="1B86CE82"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AU</w:t>
            </w:r>
          </w:p>
        </w:tc>
        <w:tc>
          <w:tcPr>
            <w:tcW w:w="2835" w:type="dxa"/>
            <w:tcBorders>
              <w:top w:val="single" w:sz="4" w:space="0" w:color="auto"/>
              <w:left w:val="nil"/>
              <w:bottom w:val="nil"/>
              <w:right w:val="nil"/>
            </w:tcBorders>
            <w:shd w:val="clear" w:color="000000" w:fill="FFFFFF"/>
            <w:noWrap/>
            <w:vAlign w:val="center"/>
          </w:tcPr>
          <w:p w14:paraId="764D88DA" w14:textId="2873D113" w:rsidR="00436C8E" w:rsidRPr="00281228" w:rsidRDefault="00436C8E"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3.91</m:t>
                    </m:r>
                  </m:e>
                  <m:sup>
                    <m:r>
                      <w:rPr>
                        <w:rFonts w:ascii="Cambria Math" w:eastAsia="Times New Roman" w:hAnsi="Cambria Math" w:cs="Calibri"/>
                        <w:color w:val="000000"/>
                        <w:kern w:val="0"/>
                        <w:sz w:val="22"/>
                        <w:szCs w:val="22"/>
                        <w:lang w:eastAsia="en-AU"/>
                        <w14:ligatures w14:val="none"/>
                      </w:rPr>
                      <m:t>**</m:t>
                    </m:r>
                  </m:sup>
                </m:sSup>
                <m:r>
                  <w:rPr>
                    <w:rFonts w:ascii="Cambria Math" w:eastAsia="Times New Roman" w:hAnsi="Cambria Math" w:cs="Calibri"/>
                    <w:color w:val="000000"/>
                    <w:kern w:val="0"/>
                    <w:sz w:val="22"/>
                    <w:szCs w:val="22"/>
                    <w:lang w:eastAsia="en-AU"/>
                    <w14:ligatures w14:val="none"/>
                  </w:rPr>
                  <m:t xml:space="preserve">  </m:t>
                </m:r>
              </m:oMath>
            </m:oMathPara>
          </w:p>
        </w:tc>
        <w:tc>
          <w:tcPr>
            <w:tcW w:w="2835" w:type="dxa"/>
            <w:tcBorders>
              <w:top w:val="single" w:sz="4" w:space="0" w:color="auto"/>
              <w:left w:val="nil"/>
              <w:bottom w:val="nil"/>
              <w:right w:val="nil"/>
            </w:tcBorders>
            <w:shd w:val="clear" w:color="000000" w:fill="FFFFFF"/>
            <w:noWrap/>
            <w:vAlign w:val="center"/>
          </w:tcPr>
          <w:p w14:paraId="17881978" w14:textId="3365CCDE" w:rsidR="00FE4722" w:rsidRPr="00281228" w:rsidRDefault="00E1356D" w:rsidP="009F1618">
            <w:pPr>
              <w:spacing w:after="0" w:line="240" w:lineRule="auto"/>
              <w:jc w:val="both"/>
              <w:rPr>
                <w:rFonts w:ascii="Calibri" w:eastAsia="Times New Roman" w:hAnsi="Calibri" w:cs="Calibri"/>
                <w:color w:val="000000"/>
                <w:kern w:val="0"/>
                <w:sz w:val="22"/>
                <w:szCs w:val="22"/>
                <w:lang w:eastAsia="en-AU"/>
                <w14:ligatures w14:val="none"/>
              </w:rPr>
            </w:pPr>
            <m:oMathPara>
              <m:oMath>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-5.20</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58D7BD32" w14:textId="77777777" w:rsidTr="00DE2164">
        <w:trPr>
          <w:cantSplit/>
          <w:trHeight w:val="300"/>
        </w:trPr>
        <w:tc>
          <w:tcPr>
            <w:tcW w:w="1701" w:type="dxa"/>
            <w:tcBorders>
              <w:top w:val="nil"/>
              <w:left w:val="nil"/>
              <w:bottom w:val="nil"/>
              <w:right w:val="nil"/>
            </w:tcBorders>
            <w:shd w:val="clear" w:color="000000" w:fill="FFFFFF"/>
            <w:noWrap/>
            <w:vAlign w:val="center"/>
            <w:hideMark/>
          </w:tcPr>
          <w:p w14:paraId="6B34AD04" w14:textId="51455B0A"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bottom w:val="nil"/>
              <w:right w:val="nil"/>
            </w:tcBorders>
            <w:shd w:val="clear" w:color="000000" w:fill="FFFFFF"/>
            <w:noWrap/>
            <w:vAlign w:val="center"/>
            <w:hideMark/>
          </w:tcPr>
          <w:p w14:paraId="5EDE53DC"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EU</w:t>
            </w:r>
          </w:p>
        </w:tc>
        <w:tc>
          <w:tcPr>
            <w:tcW w:w="2835" w:type="dxa"/>
            <w:tcBorders>
              <w:top w:val="nil"/>
              <w:left w:val="nil"/>
              <w:bottom w:val="nil"/>
              <w:right w:val="nil"/>
            </w:tcBorders>
            <w:shd w:val="clear" w:color="000000" w:fill="FFFFFF"/>
            <w:noWrap/>
            <w:vAlign w:val="center"/>
          </w:tcPr>
          <w:p w14:paraId="1243FDDC" w14:textId="104B010C"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3.77</m:t>
                    </m:r>
                  </m:e>
                  <m:sup>
                    <m:r>
                      <w:rPr>
                        <w:rFonts w:ascii="Cambria Math" w:eastAsia="Times New Roman" w:hAnsi="Cambria Math" w:cs="Calibri"/>
                        <w:color w:val="000000"/>
                        <w:kern w:val="0"/>
                        <w:sz w:val="22"/>
                        <w:szCs w:val="22"/>
                        <w:lang w:eastAsia="en-AU"/>
                        <w14:ligatures w14:val="none"/>
                      </w:rPr>
                      <m:t>**</m:t>
                    </m:r>
                  </m:sup>
                </m:sSup>
                <m:r>
                  <w:rPr>
                    <w:rFonts w:ascii="Cambria Math" w:eastAsia="Times New Roman" w:hAnsi="Cambria Math" w:cs="Calibri"/>
                    <w:color w:val="000000"/>
                    <w:kern w:val="0"/>
                    <w:sz w:val="22"/>
                    <w:szCs w:val="22"/>
                    <w:lang w:eastAsia="en-AU"/>
                    <w14:ligatures w14:val="none"/>
                  </w:rPr>
                  <m:t xml:space="preserve">  </m:t>
                </m:r>
              </m:oMath>
            </m:oMathPara>
          </w:p>
        </w:tc>
        <w:tc>
          <w:tcPr>
            <w:tcW w:w="2835" w:type="dxa"/>
            <w:tcBorders>
              <w:top w:val="nil"/>
              <w:left w:val="nil"/>
              <w:bottom w:val="nil"/>
              <w:right w:val="nil"/>
            </w:tcBorders>
            <w:shd w:val="clear" w:color="000000" w:fill="FFFFFF"/>
            <w:noWrap/>
            <w:vAlign w:val="center"/>
          </w:tcPr>
          <w:p w14:paraId="556E99B7" w14:textId="54966B1F"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6.59</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2905EFAF" w14:textId="77777777" w:rsidTr="00DE2164">
        <w:trPr>
          <w:cantSplit/>
          <w:trHeight w:val="300"/>
        </w:trPr>
        <w:tc>
          <w:tcPr>
            <w:tcW w:w="1701" w:type="dxa"/>
            <w:tcBorders>
              <w:top w:val="nil"/>
              <w:left w:val="nil"/>
              <w:right w:val="nil"/>
            </w:tcBorders>
            <w:shd w:val="clear" w:color="000000" w:fill="FFFFFF"/>
            <w:noWrap/>
            <w:vAlign w:val="center"/>
            <w:hideMark/>
          </w:tcPr>
          <w:p w14:paraId="67820FFD" w14:textId="3F568A41"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right w:val="nil"/>
            </w:tcBorders>
            <w:shd w:val="clear" w:color="000000" w:fill="FFFFFF"/>
            <w:noWrap/>
            <w:vAlign w:val="center"/>
            <w:hideMark/>
          </w:tcPr>
          <w:p w14:paraId="03AC3B2D" w14:textId="6ADC41BC"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NZ</w:t>
            </w:r>
          </w:p>
        </w:tc>
        <w:tc>
          <w:tcPr>
            <w:tcW w:w="2835" w:type="dxa"/>
            <w:tcBorders>
              <w:top w:val="nil"/>
              <w:left w:val="nil"/>
              <w:right w:val="nil"/>
            </w:tcBorders>
            <w:shd w:val="clear" w:color="000000" w:fill="FFFFFF"/>
            <w:noWrap/>
            <w:vAlign w:val="center"/>
          </w:tcPr>
          <w:p w14:paraId="0166CDCC" w14:textId="47B01901"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3.62</m:t>
                    </m:r>
                  </m:e>
                  <m:sup>
                    <m:r>
                      <w:rPr>
                        <w:rFonts w:ascii="Cambria Math" w:eastAsia="Times New Roman" w:hAnsi="Cambria Math" w:cs="Calibri"/>
                        <w:color w:val="000000"/>
                        <w:kern w:val="0"/>
                        <w:sz w:val="22"/>
                        <w:szCs w:val="22"/>
                        <w:lang w:eastAsia="en-AU"/>
                        <w14:ligatures w14:val="none"/>
                      </w:rPr>
                      <m:t>**</m:t>
                    </m:r>
                  </m:sup>
                </m:sSup>
                <m:r>
                  <w:rPr>
                    <w:rFonts w:ascii="Cambria Math" w:eastAsia="Times New Roman" w:hAnsi="Cambria Math" w:cs="Calibri"/>
                    <w:color w:val="000000"/>
                    <w:kern w:val="0"/>
                    <w:sz w:val="22"/>
                    <w:szCs w:val="22"/>
                    <w:lang w:eastAsia="en-AU"/>
                    <w14:ligatures w14:val="none"/>
                  </w:rPr>
                  <m:t xml:space="preserve">  </m:t>
                </m:r>
              </m:oMath>
            </m:oMathPara>
          </w:p>
        </w:tc>
        <w:tc>
          <w:tcPr>
            <w:tcW w:w="2835" w:type="dxa"/>
            <w:tcBorders>
              <w:top w:val="nil"/>
              <w:left w:val="nil"/>
              <w:right w:val="nil"/>
            </w:tcBorders>
            <w:shd w:val="clear" w:color="000000" w:fill="FFFFFF"/>
            <w:noWrap/>
            <w:vAlign w:val="center"/>
          </w:tcPr>
          <w:p w14:paraId="5FF1B12C" w14:textId="07B05763"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5.49</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307A5A95" w14:textId="77777777" w:rsidTr="00DE2164">
        <w:trPr>
          <w:cantSplit/>
          <w:trHeight w:val="300"/>
        </w:trPr>
        <w:tc>
          <w:tcPr>
            <w:tcW w:w="1701" w:type="dxa"/>
            <w:tcBorders>
              <w:top w:val="nil"/>
              <w:left w:val="nil"/>
              <w:bottom w:val="single" w:sz="4" w:space="0" w:color="auto"/>
              <w:right w:val="nil"/>
            </w:tcBorders>
            <w:shd w:val="clear" w:color="000000" w:fill="FFFFFF"/>
            <w:noWrap/>
            <w:vAlign w:val="center"/>
            <w:hideMark/>
          </w:tcPr>
          <w:p w14:paraId="63C8DC72" w14:textId="2E4D6D5B"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bottom w:val="single" w:sz="4" w:space="0" w:color="auto"/>
              <w:right w:val="nil"/>
            </w:tcBorders>
            <w:shd w:val="clear" w:color="000000" w:fill="FFFFFF"/>
            <w:noWrap/>
            <w:vAlign w:val="center"/>
            <w:hideMark/>
          </w:tcPr>
          <w:p w14:paraId="2BBDF362" w14:textId="63A7EEBB"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US</w:t>
            </w:r>
          </w:p>
        </w:tc>
        <w:tc>
          <w:tcPr>
            <w:tcW w:w="2835" w:type="dxa"/>
            <w:tcBorders>
              <w:top w:val="nil"/>
              <w:left w:val="nil"/>
              <w:bottom w:val="single" w:sz="4" w:space="0" w:color="auto"/>
              <w:right w:val="nil"/>
            </w:tcBorders>
            <w:shd w:val="clear" w:color="000000" w:fill="FFFFFF"/>
            <w:noWrap/>
            <w:vAlign w:val="center"/>
          </w:tcPr>
          <w:p w14:paraId="312EB4A5" w14:textId="671A4DAC"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3.15</m:t>
                    </m:r>
                  </m:e>
                  <m:sup>
                    <m:r>
                      <w:rPr>
                        <w:rFonts w:ascii="Cambria Math" w:eastAsia="Times New Roman" w:hAnsi="Cambria Math" w:cs="Calibri"/>
                        <w:color w:val="000000"/>
                        <w:kern w:val="0"/>
                        <w:sz w:val="22"/>
                        <w:szCs w:val="22"/>
                        <w:lang w:eastAsia="en-AU"/>
                        <w14:ligatures w14:val="none"/>
                      </w:rPr>
                      <m:t>*</m:t>
                    </m:r>
                  </m:sup>
                </m:sSup>
                <m:r>
                  <w:rPr>
                    <w:rFonts w:ascii="Cambria Math" w:eastAsia="Times New Roman" w:hAnsi="Cambria Math" w:cs="Calibri"/>
                    <w:color w:val="000000"/>
                    <w:kern w:val="0"/>
                    <w:sz w:val="22"/>
                    <w:szCs w:val="22"/>
                    <w:lang w:eastAsia="en-AU"/>
                    <w14:ligatures w14:val="none"/>
                  </w:rPr>
                  <m:t xml:space="preserve">   </m:t>
                </m:r>
              </m:oMath>
            </m:oMathPara>
          </w:p>
        </w:tc>
        <w:tc>
          <w:tcPr>
            <w:tcW w:w="2835" w:type="dxa"/>
            <w:tcBorders>
              <w:top w:val="nil"/>
              <w:left w:val="nil"/>
              <w:bottom w:val="single" w:sz="4" w:space="0" w:color="auto"/>
              <w:right w:val="nil"/>
            </w:tcBorders>
            <w:shd w:val="clear" w:color="000000" w:fill="FFFFFF"/>
            <w:noWrap/>
            <w:vAlign w:val="center"/>
          </w:tcPr>
          <w:p w14:paraId="67D4E0B3" w14:textId="7E33EF52"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6.36</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276B0611" w14:textId="77777777" w:rsidTr="00DE2164">
        <w:trPr>
          <w:cantSplit/>
          <w:trHeight w:val="300"/>
        </w:trPr>
        <w:tc>
          <w:tcPr>
            <w:tcW w:w="1701" w:type="dxa"/>
            <w:tcBorders>
              <w:top w:val="single" w:sz="4" w:space="0" w:color="auto"/>
              <w:left w:val="nil"/>
              <w:bottom w:val="nil"/>
              <w:right w:val="nil"/>
            </w:tcBorders>
            <w:shd w:val="clear" w:color="000000" w:fill="FFFFFF"/>
            <w:noWrap/>
            <w:vAlign w:val="center"/>
            <w:hideMark/>
          </w:tcPr>
          <w:p w14:paraId="4EBC68EA" w14:textId="6B22CE3F"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Cheese</w:t>
            </w:r>
          </w:p>
        </w:tc>
        <w:tc>
          <w:tcPr>
            <w:tcW w:w="1701" w:type="dxa"/>
            <w:tcBorders>
              <w:top w:val="single" w:sz="4" w:space="0" w:color="auto"/>
              <w:left w:val="nil"/>
              <w:bottom w:val="nil"/>
              <w:right w:val="nil"/>
            </w:tcBorders>
            <w:shd w:val="clear" w:color="000000" w:fill="FFFFFF"/>
            <w:noWrap/>
            <w:vAlign w:val="center"/>
            <w:hideMark/>
          </w:tcPr>
          <w:p w14:paraId="2D11AB95"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AU</w:t>
            </w:r>
          </w:p>
        </w:tc>
        <w:tc>
          <w:tcPr>
            <w:tcW w:w="2835" w:type="dxa"/>
            <w:tcBorders>
              <w:top w:val="single" w:sz="4" w:space="0" w:color="auto"/>
              <w:left w:val="nil"/>
              <w:bottom w:val="nil"/>
              <w:right w:val="nil"/>
            </w:tcBorders>
            <w:shd w:val="clear" w:color="000000" w:fill="FFFFFF"/>
            <w:noWrap/>
            <w:vAlign w:val="center"/>
          </w:tcPr>
          <w:p w14:paraId="19F02D0D" w14:textId="553C2FD0"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3.94</m:t>
                    </m:r>
                  </m:e>
                  <m:sup>
                    <m:r>
                      <w:rPr>
                        <w:rFonts w:ascii="Cambria Math" w:eastAsia="Times New Roman" w:hAnsi="Cambria Math" w:cs="Calibri"/>
                        <w:color w:val="000000"/>
                        <w:kern w:val="0"/>
                        <w:sz w:val="22"/>
                        <w:szCs w:val="22"/>
                        <w:lang w:eastAsia="en-AU"/>
                        <w14:ligatures w14:val="none"/>
                      </w:rPr>
                      <m:t>**</m:t>
                    </m:r>
                  </m:sup>
                </m:sSup>
                <m:r>
                  <w:rPr>
                    <w:rFonts w:ascii="Cambria Math" w:eastAsia="Times New Roman" w:hAnsi="Cambria Math" w:cs="Calibri"/>
                    <w:color w:val="000000"/>
                    <w:kern w:val="0"/>
                    <w:sz w:val="22"/>
                    <w:szCs w:val="22"/>
                    <w:lang w:eastAsia="en-AU"/>
                    <w14:ligatures w14:val="none"/>
                  </w:rPr>
                  <m:t xml:space="preserve">  </m:t>
                </m:r>
              </m:oMath>
            </m:oMathPara>
          </w:p>
        </w:tc>
        <w:tc>
          <w:tcPr>
            <w:tcW w:w="2835" w:type="dxa"/>
            <w:tcBorders>
              <w:top w:val="single" w:sz="4" w:space="0" w:color="auto"/>
              <w:left w:val="nil"/>
              <w:bottom w:val="nil"/>
              <w:right w:val="nil"/>
            </w:tcBorders>
            <w:shd w:val="clear" w:color="000000" w:fill="FFFFFF"/>
            <w:noWrap/>
            <w:vAlign w:val="center"/>
          </w:tcPr>
          <w:p w14:paraId="2DFD0EDC" w14:textId="0901C369"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5.04</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68D2F391" w14:textId="77777777" w:rsidTr="00DE2164">
        <w:trPr>
          <w:cantSplit/>
          <w:trHeight w:val="300"/>
        </w:trPr>
        <w:tc>
          <w:tcPr>
            <w:tcW w:w="1701" w:type="dxa"/>
            <w:tcBorders>
              <w:top w:val="nil"/>
              <w:left w:val="nil"/>
              <w:bottom w:val="nil"/>
              <w:right w:val="nil"/>
            </w:tcBorders>
            <w:shd w:val="clear" w:color="000000" w:fill="FFFFFF"/>
            <w:noWrap/>
            <w:vAlign w:val="center"/>
            <w:hideMark/>
          </w:tcPr>
          <w:p w14:paraId="591307CF" w14:textId="39C9D005"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bottom w:val="nil"/>
              <w:right w:val="nil"/>
            </w:tcBorders>
            <w:shd w:val="clear" w:color="000000" w:fill="FFFFFF"/>
            <w:noWrap/>
            <w:vAlign w:val="center"/>
            <w:hideMark/>
          </w:tcPr>
          <w:p w14:paraId="4A1F73EE"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EU</w:t>
            </w:r>
          </w:p>
        </w:tc>
        <w:tc>
          <w:tcPr>
            <w:tcW w:w="2835" w:type="dxa"/>
            <w:tcBorders>
              <w:top w:val="nil"/>
              <w:left w:val="nil"/>
              <w:bottom w:val="nil"/>
              <w:right w:val="nil"/>
            </w:tcBorders>
            <w:shd w:val="clear" w:color="000000" w:fill="FFFFFF"/>
            <w:noWrap/>
            <w:vAlign w:val="center"/>
          </w:tcPr>
          <w:p w14:paraId="33AF423C" w14:textId="3FE3D644"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-3.08     </m:t>
                </m:r>
              </m:oMath>
            </m:oMathPara>
          </w:p>
        </w:tc>
        <w:tc>
          <w:tcPr>
            <w:tcW w:w="2835" w:type="dxa"/>
            <w:tcBorders>
              <w:top w:val="nil"/>
              <w:left w:val="nil"/>
              <w:bottom w:val="nil"/>
              <w:right w:val="nil"/>
            </w:tcBorders>
            <w:shd w:val="clear" w:color="000000" w:fill="FFFFFF"/>
            <w:noWrap/>
            <w:vAlign w:val="center"/>
          </w:tcPr>
          <w:p w14:paraId="658CCA4A" w14:textId="0A32D14F"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7.91</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297805C3" w14:textId="77777777" w:rsidTr="00DE2164">
        <w:trPr>
          <w:cantSplit/>
          <w:trHeight w:val="300"/>
        </w:trPr>
        <w:tc>
          <w:tcPr>
            <w:tcW w:w="1701" w:type="dxa"/>
            <w:tcBorders>
              <w:top w:val="nil"/>
              <w:left w:val="nil"/>
              <w:right w:val="nil"/>
            </w:tcBorders>
            <w:shd w:val="clear" w:color="000000" w:fill="FFFFFF"/>
            <w:noWrap/>
            <w:vAlign w:val="center"/>
            <w:hideMark/>
          </w:tcPr>
          <w:p w14:paraId="25A9C424" w14:textId="4EF5BE8C"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right w:val="nil"/>
            </w:tcBorders>
            <w:shd w:val="clear" w:color="000000" w:fill="FFFFFF"/>
            <w:noWrap/>
            <w:vAlign w:val="center"/>
            <w:hideMark/>
          </w:tcPr>
          <w:p w14:paraId="7CD65791"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NZ</w:t>
            </w:r>
          </w:p>
        </w:tc>
        <w:tc>
          <w:tcPr>
            <w:tcW w:w="2835" w:type="dxa"/>
            <w:tcBorders>
              <w:top w:val="nil"/>
              <w:left w:val="nil"/>
              <w:right w:val="nil"/>
            </w:tcBorders>
            <w:shd w:val="clear" w:color="000000" w:fill="FFFFFF"/>
            <w:noWrap/>
            <w:vAlign w:val="center"/>
          </w:tcPr>
          <w:p w14:paraId="45EA423F" w14:textId="03DA2E5E"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4.68</m:t>
                    </m:r>
                  </m:e>
                  <m:sup>
                    <m:r>
                      <w:rPr>
                        <w:rFonts w:ascii="Cambria Math" w:eastAsia="Times New Roman" w:hAnsi="Cambria Math" w:cs="Calibri"/>
                        <w:color w:val="000000"/>
                        <w:kern w:val="0"/>
                        <w:sz w:val="22"/>
                        <w:szCs w:val="22"/>
                        <w:lang w:eastAsia="en-AU"/>
                        <w14:ligatures w14:val="none"/>
                      </w:rPr>
                      <m:t>***</m:t>
                    </m:r>
                  </m:sup>
                </m:sSup>
              </m:oMath>
            </m:oMathPara>
          </w:p>
        </w:tc>
        <w:tc>
          <w:tcPr>
            <w:tcW w:w="2835" w:type="dxa"/>
            <w:tcBorders>
              <w:top w:val="nil"/>
              <w:left w:val="nil"/>
              <w:right w:val="nil"/>
            </w:tcBorders>
            <w:shd w:val="clear" w:color="000000" w:fill="FFFFFF"/>
            <w:noWrap/>
            <w:vAlign w:val="center"/>
          </w:tcPr>
          <w:p w14:paraId="46FC4C5E" w14:textId="5AC80CAE"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4.68</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56E1732A" w14:textId="77777777" w:rsidTr="00DE2164">
        <w:trPr>
          <w:cantSplit/>
          <w:trHeight w:val="300"/>
        </w:trPr>
        <w:tc>
          <w:tcPr>
            <w:tcW w:w="1701" w:type="dxa"/>
            <w:tcBorders>
              <w:top w:val="nil"/>
              <w:left w:val="nil"/>
              <w:bottom w:val="single" w:sz="4" w:space="0" w:color="auto"/>
              <w:right w:val="nil"/>
            </w:tcBorders>
            <w:shd w:val="clear" w:color="000000" w:fill="FFFFFF"/>
            <w:noWrap/>
            <w:vAlign w:val="center"/>
            <w:hideMark/>
          </w:tcPr>
          <w:p w14:paraId="59CCA35B" w14:textId="29992FBF"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bottom w:val="single" w:sz="4" w:space="0" w:color="auto"/>
              <w:right w:val="nil"/>
            </w:tcBorders>
            <w:shd w:val="clear" w:color="000000" w:fill="FFFFFF"/>
            <w:noWrap/>
            <w:vAlign w:val="center"/>
            <w:hideMark/>
          </w:tcPr>
          <w:p w14:paraId="1AA3C2A9"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US</w:t>
            </w:r>
          </w:p>
        </w:tc>
        <w:tc>
          <w:tcPr>
            <w:tcW w:w="2835" w:type="dxa"/>
            <w:tcBorders>
              <w:top w:val="nil"/>
              <w:left w:val="nil"/>
              <w:bottom w:val="single" w:sz="4" w:space="0" w:color="auto"/>
              <w:right w:val="nil"/>
            </w:tcBorders>
            <w:shd w:val="clear" w:color="000000" w:fill="FFFFFF"/>
            <w:noWrap/>
            <w:vAlign w:val="center"/>
          </w:tcPr>
          <w:p w14:paraId="176F96C1" w14:textId="10E4DE60"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3.30</m:t>
                    </m:r>
                  </m:e>
                  <m:sup>
                    <m:r>
                      <w:rPr>
                        <w:rFonts w:ascii="Cambria Math" w:eastAsia="Times New Roman" w:hAnsi="Cambria Math" w:cs="Calibri"/>
                        <w:color w:val="000000"/>
                        <w:kern w:val="0"/>
                        <w:sz w:val="22"/>
                        <w:szCs w:val="22"/>
                        <w:lang w:eastAsia="en-AU"/>
                        <w14:ligatures w14:val="none"/>
                      </w:rPr>
                      <m:t xml:space="preserve">* </m:t>
                    </m:r>
                  </m:sup>
                </m:sSup>
                <m:r>
                  <w:rPr>
                    <w:rFonts w:ascii="Cambria Math" w:eastAsia="Times New Roman" w:hAnsi="Cambria Math" w:cs="Calibri"/>
                    <w:color w:val="000000"/>
                    <w:kern w:val="0"/>
                    <w:sz w:val="22"/>
                    <w:szCs w:val="22"/>
                    <w:lang w:eastAsia="en-AU"/>
                    <w14:ligatures w14:val="none"/>
                  </w:rPr>
                  <m:t xml:space="preserve">   </m:t>
                </m:r>
              </m:oMath>
            </m:oMathPara>
          </w:p>
        </w:tc>
        <w:tc>
          <w:tcPr>
            <w:tcW w:w="2835" w:type="dxa"/>
            <w:tcBorders>
              <w:top w:val="nil"/>
              <w:left w:val="nil"/>
              <w:bottom w:val="single" w:sz="4" w:space="0" w:color="auto"/>
              <w:right w:val="nil"/>
            </w:tcBorders>
            <w:shd w:val="clear" w:color="000000" w:fill="FFFFFF"/>
            <w:noWrap/>
            <w:vAlign w:val="center"/>
          </w:tcPr>
          <w:p w14:paraId="2EF716EC" w14:textId="43FF1F04"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8.18</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424A9696" w14:textId="77777777" w:rsidTr="00DE2164">
        <w:trPr>
          <w:cantSplit/>
          <w:trHeight w:val="300"/>
        </w:trPr>
        <w:tc>
          <w:tcPr>
            <w:tcW w:w="1701" w:type="dxa"/>
            <w:tcBorders>
              <w:top w:val="single" w:sz="4" w:space="0" w:color="auto"/>
              <w:left w:val="nil"/>
              <w:bottom w:val="nil"/>
              <w:right w:val="nil"/>
            </w:tcBorders>
            <w:shd w:val="clear" w:color="000000" w:fill="FFFFFF"/>
            <w:noWrap/>
            <w:vAlign w:val="center"/>
            <w:hideMark/>
          </w:tcPr>
          <w:p w14:paraId="74AF38F6" w14:textId="3F677308"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SMP</w:t>
            </w:r>
          </w:p>
        </w:tc>
        <w:tc>
          <w:tcPr>
            <w:tcW w:w="1701" w:type="dxa"/>
            <w:tcBorders>
              <w:top w:val="single" w:sz="4" w:space="0" w:color="auto"/>
              <w:left w:val="nil"/>
              <w:bottom w:val="nil"/>
              <w:right w:val="nil"/>
            </w:tcBorders>
            <w:shd w:val="clear" w:color="000000" w:fill="FFFFFF"/>
            <w:noWrap/>
            <w:vAlign w:val="center"/>
            <w:hideMark/>
          </w:tcPr>
          <w:p w14:paraId="01293B1E"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AU</w:t>
            </w:r>
          </w:p>
        </w:tc>
        <w:tc>
          <w:tcPr>
            <w:tcW w:w="2835" w:type="dxa"/>
            <w:tcBorders>
              <w:top w:val="single" w:sz="4" w:space="0" w:color="auto"/>
              <w:left w:val="nil"/>
              <w:bottom w:val="nil"/>
              <w:right w:val="nil"/>
            </w:tcBorders>
            <w:shd w:val="clear" w:color="000000" w:fill="FFFFFF"/>
            <w:noWrap/>
            <w:vAlign w:val="center"/>
          </w:tcPr>
          <w:p w14:paraId="25CDAA38" w14:textId="122A4FBC"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3.47</m:t>
                    </m:r>
                  </m:e>
                  <m:sup>
                    <m:r>
                      <w:rPr>
                        <w:rFonts w:ascii="Cambria Math" w:eastAsia="Times New Roman" w:hAnsi="Cambria Math" w:cs="Calibri"/>
                        <w:color w:val="000000"/>
                        <w:kern w:val="0"/>
                        <w:sz w:val="22"/>
                        <w:szCs w:val="22"/>
                        <w:lang w:eastAsia="en-AU"/>
                        <w14:ligatures w14:val="none"/>
                      </w:rPr>
                      <m:t>**</m:t>
                    </m:r>
                  </m:sup>
                </m:sSup>
                <m:r>
                  <w:rPr>
                    <w:rFonts w:ascii="Cambria Math" w:eastAsia="Times New Roman" w:hAnsi="Cambria Math" w:cs="Calibri"/>
                    <w:color w:val="000000"/>
                    <w:kern w:val="0"/>
                    <w:sz w:val="22"/>
                    <w:szCs w:val="22"/>
                    <w:lang w:eastAsia="en-AU"/>
                    <w14:ligatures w14:val="none"/>
                  </w:rPr>
                  <m:t xml:space="preserve">  </m:t>
                </m:r>
              </m:oMath>
            </m:oMathPara>
          </w:p>
        </w:tc>
        <w:tc>
          <w:tcPr>
            <w:tcW w:w="2835" w:type="dxa"/>
            <w:tcBorders>
              <w:top w:val="single" w:sz="4" w:space="0" w:color="auto"/>
              <w:left w:val="nil"/>
              <w:bottom w:val="nil"/>
              <w:right w:val="nil"/>
            </w:tcBorders>
            <w:shd w:val="clear" w:color="000000" w:fill="FFFFFF"/>
            <w:noWrap/>
            <w:vAlign w:val="center"/>
          </w:tcPr>
          <w:p w14:paraId="5E07E249" w14:textId="67A1D0A6"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4.69</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2C8B4AA1" w14:textId="77777777" w:rsidTr="00DE2164">
        <w:trPr>
          <w:cantSplit/>
          <w:trHeight w:val="300"/>
        </w:trPr>
        <w:tc>
          <w:tcPr>
            <w:tcW w:w="1701" w:type="dxa"/>
            <w:tcBorders>
              <w:top w:val="nil"/>
              <w:left w:val="nil"/>
              <w:bottom w:val="nil"/>
              <w:right w:val="nil"/>
            </w:tcBorders>
            <w:shd w:val="clear" w:color="000000" w:fill="FFFFFF"/>
            <w:noWrap/>
            <w:vAlign w:val="center"/>
            <w:hideMark/>
          </w:tcPr>
          <w:p w14:paraId="0838C2AD" w14:textId="78463D4C"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bottom w:val="nil"/>
              <w:right w:val="nil"/>
            </w:tcBorders>
            <w:shd w:val="clear" w:color="000000" w:fill="FFFFFF"/>
            <w:noWrap/>
            <w:vAlign w:val="center"/>
            <w:hideMark/>
          </w:tcPr>
          <w:p w14:paraId="04912963"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EU</w:t>
            </w:r>
          </w:p>
        </w:tc>
        <w:tc>
          <w:tcPr>
            <w:tcW w:w="2835" w:type="dxa"/>
            <w:tcBorders>
              <w:top w:val="nil"/>
              <w:left w:val="nil"/>
              <w:bottom w:val="nil"/>
              <w:right w:val="nil"/>
            </w:tcBorders>
            <w:shd w:val="clear" w:color="000000" w:fill="FFFFFF"/>
            <w:noWrap/>
            <w:vAlign w:val="center"/>
          </w:tcPr>
          <w:p w14:paraId="4FED79D4" w14:textId="548AB536"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-2.63     </m:t>
                </m:r>
              </m:oMath>
            </m:oMathPara>
          </w:p>
        </w:tc>
        <w:tc>
          <w:tcPr>
            <w:tcW w:w="2835" w:type="dxa"/>
            <w:tcBorders>
              <w:top w:val="nil"/>
              <w:left w:val="nil"/>
              <w:bottom w:val="nil"/>
              <w:right w:val="nil"/>
            </w:tcBorders>
            <w:shd w:val="clear" w:color="000000" w:fill="FFFFFF"/>
            <w:noWrap/>
            <w:vAlign w:val="center"/>
          </w:tcPr>
          <w:p w14:paraId="6467A310" w14:textId="16B1ED6A"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5.63</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2E03511E" w14:textId="77777777" w:rsidTr="00DE2164">
        <w:trPr>
          <w:cantSplit/>
          <w:trHeight w:val="300"/>
        </w:trPr>
        <w:tc>
          <w:tcPr>
            <w:tcW w:w="1701" w:type="dxa"/>
            <w:tcBorders>
              <w:top w:val="nil"/>
              <w:left w:val="nil"/>
              <w:right w:val="nil"/>
            </w:tcBorders>
            <w:shd w:val="clear" w:color="000000" w:fill="FFFFFF"/>
            <w:noWrap/>
            <w:vAlign w:val="center"/>
            <w:hideMark/>
          </w:tcPr>
          <w:p w14:paraId="35FDB222" w14:textId="4F291D72"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right w:val="nil"/>
            </w:tcBorders>
            <w:shd w:val="clear" w:color="000000" w:fill="FFFFFF"/>
            <w:noWrap/>
            <w:vAlign w:val="center"/>
            <w:hideMark/>
          </w:tcPr>
          <w:p w14:paraId="60A7A1F5" w14:textId="46A5CC71"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NZ</w:t>
            </w:r>
          </w:p>
        </w:tc>
        <w:tc>
          <w:tcPr>
            <w:tcW w:w="2835" w:type="dxa"/>
            <w:tcBorders>
              <w:top w:val="nil"/>
              <w:left w:val="nil"/>
              <w:right w:val="nil"/>
            </w:tcBorders>
            <w:shd w:val="clear" w:color="000000" w:fill="FFFFFF"/>
            <w:noWrap/>
            <w:vAlign w:val="center"/>
          </w:tcPr>
          <w:p w14:paraId="19FD2B84" w14:textId="6856B214"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3.17</m:t>
                    </m:r>
                  </m:e>
                  <m:sup>
                    <m:r>
                      <w:rPr>
                        <w:rFonts w:ascii="Cambria Math" w:eastAsia="Times New Roman" w:hAnsi="Cambria Math" w:cs="Calibri"/>
                        <w:color w:val="000000"/>
                        <w:kern w:val="0"/>
                        <w:sz w:val="22"/>
                        <w:szCs w:val="22"/>
                        <w:lang w:eastAsia="en-AU"/>
                        <w14:ligatures w14:val="none"/>
                      </w:rPr>
                      <m:t xml:space="preserve">* </m:t>
                    </m:r>
                  </m:sup>
                </m:sSup>
                <m:r>
                  <w:rPr>
                    <w:rFonts w:ascii="Cambria Math" w:eastAsia="Times New Roman" w:hAnsi="Cambria Math" w:cs="Calibri"/>
                    <w:color w:val="000000"/>
                    <w:kern w:val="0"/>
                    <w:sz w:val="22"/>
                    <w:szCs w:val="22"/>
                    <w:lang w:eastAsia="en-AU"/>
                    <w14:ligatures w14:val="none"/>
                  </w:rPr>
                  <m:t xml:space="preserve">  </m:t>
                </m:r>
              </m:oMath>
            </m:oMathPara>
          </w:p>
        </w:tc>
        <w:tc>
          <w:tcPr>
            <w:tcW w:w="2835" w:type="dxa"/>
            <w:tcBorders>
              <w:top w:val="nil"/>
              <w:left w:val="nil"/>
              <w:right w:val="nil"/>
            </w:tcBorders>
            <w:shd w:val="clear" w:color="000000" w:fill="FFFFFF"/>
            <w:noWrap/>
            <w:vAlign w:val="center"/>
          </w:tcPr>
          <w:p w14:paraId="207B35EE" w14:textId="519153D3"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4.48</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48A8DD2A" w14:textId="77777777" w:rsidTr="00DE2164">
        <w:trPr>
          <w:cantSplit/>
          <w:trHeight w:val="300"/>
        </w:trPr>
        <w:tc>
          <w:tcPr>
            <w:tcW w:w="1701" w:type="dxa"/>
            <w:tcBorders>
              <w:top w:val="nil"/>
              <w:left w:val="nil"/>
              <w:bottom w:val="single" w:sz="4" w:space="0" w:color="auto"/>
              <w:right w:val="nil"/>
            </w:tcBorders>
            <w:shd w:val="clear" w:color="000000" w:fill="FFFFFF"/>
            <w:noWrap/>
            <w:vAlign w:val="center"/>
            <w:hideMark/>
          </w:tcPr>
          <w:p w14:paraId="2DE83A15" w14:textId="38D10772"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bottom w:val="single" w:sz="4" w:space="0" w:color="auto"/>
              <w:right w:val="nil"/>
            </w:tcBorders>
            <w:shd w:val="clear" w:color="000000" w:fill="FFFFFF"/>
            <w:noWrap/>
            <w:vAlign w:val="center"/>
            <w:hideMark/>
          </w:tcPr>
          <w:p w14:paraId="4109069B"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US</w:t>
            </w:r>
          </w:p>
        </w:tc>
        <w:tc>
          <w:tcPr>
            <w:tcW w:w="2835" w:type="dxa"/>
            <w:tcBorders>
              <w:top w:val="nil"/>
              <w:left w:val="nil"/>
              <w:bottom w:val="single" w:sz="4" w:space="0" w:color="auto"/>
              <w:right w:val="nil"/>
            </w:tcBorders>
            <w:shd w:val="clear" w:color="000000" w:fill="FFFFFF"/>
            <w:noWrap/>
            <w:vAlign w:val="center"/>
          </w:tcPr>
          <w:p w14:paraId="124F2D05" w14:textId="1D3B8EE0"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-3.02    </m:t>
                </m:r>
              </m:oMath>
            </m:oMathPara>
          </w:p>
        </w:tc>
        <w:tc>
          <w:tcPr>
            <w:tcW w:w="2835" w:type="dxa"/>
            <w:tcBorders>
              <w:top w:val="nil"/>
              <w:left w:val="nil"/>
              <w:bottom w:val="single" w:sz="4" w:space="0" w:color="auto"/>
              <w:right w:val="nil"/>
            </w:tcBorders>
            <w:shd w:val="clear" w:color="000000" w:fill="FFFFFF"/>
            <w:noWrap/>
            <w:vAlign w:val="center"/>
          </w:tcPr>
          <w:p w14:paraId="027EE1F3" w14:textId="51ACFF34"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4.74</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3ED26269" w14:textId="77777777" w:rsidTr="00DE2164">
        <w:trPr>
          <w:cantSplit/>
          <w:trHeight w:val="300"/>
        </w:trPr>
        <w:tc>
          <w:tcPr>
            <w:tcW w:w="1701" w:type="dxa"/>
            <w:tcBorders>
              <w:top w:val="single" w:sz="4" w:space="0" w:color="auto"/>
              <w:left w:val="nil"/>
              <w:bottom w:val="nil"/>
              <w:right w:val="nil"/>
            </w:tcBorders>
            <w:shd w:val="clear" w:color="000000" w:fill="FFFFFF"/>
            <w:noWrap/>
            <w:vAlign w:val="center"/>
            <w:hideMark/>
          </w:tcPr>
          <w:p w14:paraId="76D1E21B" w14:textId="39B237C6"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WMP</w:t>
            </w:r>
          </w:p>
        </w:tc>
        <w:tc>
          <w:tcPr>
            <w:tcW w:w="1701" w:type="dxa"/>
            <w:tcBorders>
              <w:top w:val="single" w:sz="4" w:space="0" w:color="auto"/>
              <w:left w:val="nil"/>
              <w:bottom w:val="nil"/>
              <w:right w:val="nil"/>
            </w:tcBorders>
            <w:shd w:val="clear" w:color="000000" w:fill="FFFFFF"/>
            <w:noWrap/>
            <w:vAlign w:val="center"/>
            <w:hideMark/>
          </w:tcPr>
          <w:p w14:paraId="6CDC20C3"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AU</w:t>
            </w:r>
          </w:p>
        </w:tc>
        <w:tc>
          <w:tcPr>
            <w:tcW w:w="2835" w:type="dxa"/>
            <w:tcBorders>
              <w:top w:val="single" w:sz="4" w:space="0" w:color="auto"/>
              <w:left w:val="nil"/>
              <w:bottom w:val="nil"/>
              <w:right w:val="nil"/>
            </w:tcBorders>
            <w:shd w:val="clear" w:color="000000" w:fill="FFFFFF"/>
            <w:noWrap/>
            <w:vAlign w:val="center"/>
          </w:tcPr>
          <w:p w14:paraId="53E1DBE3" w14:textId="65B6F5F6"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3.63</m:t>
                    </m:r>
                  </m:e>
                  <m:sup>
                    <m:r>
                      <w:rPr>
                        <w:rFonts w:ascii="Cambria Math" w:eastAsia="Times New Roman" w:hAnsi="Cambria Math" w:cs="Calibri"/>
                        <w:color w:val="000000"/>
                        <w:kern w:val="0"/>
                        <w:sz w:val="22"/>
                        <w:szCs w:val="22"/>
                        <w:lang w:eastAsia="en-AU"/>
                        <w14:ligatures w14:val="none"/>
                      </w:rPr>
                      <m:t>**</m:t>
                    </m:r>
                  </m:sup>
                </m:sSup>
                <m:r>
                  <w:rPr>
                    <w:rFonts w:ascii="Cambria Math" w:eastAsia="Times New Roman" w:hAnsi="Cambria Math" w:cs="Calibri"/>
                    <w:color w:val="000000"/>
                    <w:kern w:val="0"/>
                    <w:sz w:val="22"/>
                    <w:szCs w:val="22"/>
                    <w:lang w:eastAsia="en-AU"/>
                    <w14:ligatures w14:val="none"/>
                  </w:rPr>
                  <m:t xml:space="preserve"> </m:t>
                </m:r>
              </m:oMath>
            </m:oMathPara>
          </w:p>
        </w:tc>
        <w:tc>
          <w:tcPr>
            <w:tcW w:w="2835" w:type="dxa"/>
            <w:tcBorders>
              <w:top w:val="single" w:sz="4" w:space="0" w:color="auto"/>
              <w:left w:val="nil"/>
              <w:bottom w:val="nil"/>
              <w:right w:val="nil"/>
            </w:tcBorders>
            <w:shd w:val="clear" w:color="000000" w:fill="FFFFFF"/>
            <w:noWrap/>
            <w:vAlign w:val="center"/>
          </w:tcPr>
          <w:p w14:paraId="1ABD87D5" w14:textId="6AAEF949"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6.15</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3F19203A" w14:textId="77777777" w:rsidTr="00DE2164">
        <w:trPr>
          <w:cantSplit/>
          <w:trHeight w:val="300"/>
        </w:trPr>
        <w:tc>
          <w:tcPr>
            <w:tcW w:w="1701" w:type="dxa"/>
            <w:tcBorders>
              <w:top w:val="nil"/>
              <w:left w:val="nil"/>
              <w:bottom w:val="nil"/>
              <w:right w:val="nil"/>
            </w:tcBorders>
            <w:shd w:val="clear" w:color="000000" w:fill="FFFFFF"/>
            <w:noWrap/>
            <w:vAlign w:val="center"/>
            <w:hideMark/>
          </w:tcPr>
          <w:p w14:paraId="54AED47D" w14:textId="790609CE"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bottom w:val="nil"/>
              <w:right w:val="nil"/>
            </w:tcBorders>
            <w:shd w:val="clear" w:color="000000" w:fill="FFFFFF"/>
            <w:noWrap/>
            <w:vAlign w:val="center"/>
            <w:hideMark/>
          </w:tcPr>
          <w:p w14:paraId="521AA23D" w14:textId="77777777"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EU</w:t>
            </w:r>
          </w:p>
        </w:tc>
        <w:tc>
          <w:tcPr>
            <w:tcW w:w="2835" w:type="dxa"/>
            <w:tcBorders>
              <w:top w:val="nil"/>
              <w:left w:val="nil"/>
              <w:bottom w:val="nil"/>
              <w:right w:val="nil"/>
            </w:tcBorders>
            <w:shd w:val="clear" w:color="000000" w:fill="FFFFFF"/>
            <w:noWrap/>
            <w:vAlign w:val="center"/>
          </w:tcPr>
          <w:p w14:paraId="62CEEE67" w14:textId="784C0AC8"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3.59</m:t>
                    </m:r>
                  </m:e>
                  <m:sup>
                    <m:r>
                      <w:rPr>
                        <w:rFonts w:ascii="Cambria Math" w:eastAsia="Times New Roman" w:hAnsi="Cambria Math" w:cs="Calibri"/>
                        <w:color w:val="000000"/>
                        <w:kern w:val="0"/>
                        <w:sz w:val="22"/>
                        <w:szCs w:val="22"/>
                        <w:lang w:eastAsia="en-AU"/>
                        <w14:ligatures w14:val="none"/>
                      </w:rPr>
                      <m:t xml:space="preserve">** </m:t>
                    </m:r>
                  </m:sup>
                </m:sSup>
                <m:r>
                  <w:rPr>
                    <w:rFonts w:ascii="Cambria Math" w:eastAsia="Times New Roman" w:hAnsi="Cambria Math" w:cs="Calibri"/>
                    <w:color w:val="000000"/>
                    <w:kern w:val="0"/>
                    <w:sz w:val="22"/>
                    <w:szCs w:val="22"/>
                    <w:lang w:eastAsia="en-AU"/>
                    <w14:ligatures w14:val="none"/>
                  </w:rPr>
                  <m:t xml:space="preserve"> </m:t>
                </m:r>
              </m:oMath>
            </m:oMathPara>
          </w:p>
        </w:tc>
        <w:tc>
          <w:tcPr>
            <w:tcW w:w="2835" w:type="dxa"/>
            <w:tcBorders>
              <w:top w:val="nil"/>
              <w:left w:val="nil"/>
              <w:bottom w:val="nil"/>
              <w:right w:val="nil"/>
            </w:tcBorders>
            <w:shd w:val="clear" w:color="000000" w:fill="FFFFFF"/>
            <w:noWrap/>
            <w:vAlign w:val="center"/>
          </w:tcPr>
          <w:p w14:paraId="379CC301" w14:textId="479A88AC"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6.25</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02F42F7B" w14:textId="77777777" w:rsidTr="00DE2164">
        <w:trPr>
          <w:cantSplit/>
          <w:trHeight w:val="300"/>
        </w:trPr>
        <w:tc>
          <w:tcPr>
            <w:tcW w:w="1701" w:type="dxa"/>
            <w:tcBorders>
              <w:top w:val="nil"/>
              <w:left w:val="nil"/>
              <w:bottom w:val="nil"/>
              <w:right w:val="nil"/>
            </w:tcBorders>
            <w:shd w:val="clear" w:color="000000" w:fill="FFFFFF"/>
            <w:noWrap/>
            <w:vAlign w:val="center"/>
            <w:hideMark/>
          </w:tcPr>
          <w:p w14:paraId="4380976A" w14:textId="1E668816"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bottom w:val="nil"/>
              <w:right w:val="nil"/>
            </w:tcBorders>
            <w:shd w:val="clear" w:color="000000" w:fill="FFFFFF"/>
            <w:noWrap/>
            <w:vAlign w:val="center"/>
            <w:hideMark/>
          </w:tcPr>
          <w:p w14:paraId="373D98FF" w14:textId="52A5C9C3"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NZ</w:t>
            </w:r>
          </w:p>
        </w:tc>
        <w:tc>
          <w:tcPr>
            <w:tcW w:w="2835" w:type="dxa"/>
            <w:tcBorders>
              <w:top w:val="nil"/>
              <w:left w:val="nil"/>
              <w:bottom w:val="nil"/>
              <w:right w:val="nil"/>
            </w:tcBorders>
            <w:shd w:val="clear" w:color="000000" w:fill="FFFFFF"/>
            <w:noWrap/>
            <w:vAlign w:val="center"/>
          </w:tcPr>
          <w:p w14:paraId="51234028" w14:textId="23B042FF" w:rsidR="00FE4722" w:rsidRPr="00281228" w:rsidRDefault="00802ED3"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4.31</m:t>
                    </m:r>
                  </m:e>
                  <m:sup>
                    <m:r>
                      <w:rPr>
                        <w:rFonts w:ascii="Cambria Math" w:eastAsia="Times New Roman" w:hAnsi="Cambria Math" w:cs="Calibri"/>
                        <w:color w:val="000000"/>
                        <w:kern w:val="0"/>
                        <w:sz w:val="22"/>
                        <w:szCs w:val="22"/>
                        <w:lang w:eastAsia="en-AU"/>
                        <w14:ligatures w14:val="none"/>
                      </w:rPr>
                      <m:t>***</m:t>
                    </m:r>
                  </m:sup>
                </m:sSup>
              </m:oMath>
            </m:oMathPara>
          </w:p>
        </w:tc>
        <w:tc>
          <w:tcPr>
            <w:tcW w:w="2835" w:type="dxa"/>
            <w:tcBorders>
              <w:top w:val="nil"/>
              <w:left w:val="nil"/>
              <w:bottom w:val="nil"/>
              <w:right w:val="nil"/>
            </w:tcBorders>
            <w:shd w:val="clear" w:color="000000" w:fill="FFFFFF"/>
            <w:noWrap/>
            <w:vAlign w:val="center"/>
          </w:tcPr>
          <w:p w14:paraId="50613059" w14:textId="6DD561B0" w:rsidR="00FE4722" w:rsidRPr="00281228" w:rsidRDefault="00802ED3"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4.53</m:t>
                    </m:r>
                  </m:e>
                  <m:sup>
                    <m:r>
                      <w:rPr>
                        <w:rFonts w:ascii="Cambria Math" w:eastAsia="Times New Roman" w:hAnsi="Cambria Math" w:cs="Calibri"/>
                        <w:color w:val="000000"/>
                        <w:kern w:val="0"/>
                        <w:sz w:val="22"/>
                        <w:szCs w:val="22"/>
                        <w:lang w:eastAsia="en-AU"/>
                        <w14:ligatures w14:val="none"/>
                      </w:rPr>
                      <m:t>***</m:t>
                    </m:r>
                  </m:sup>
                </m:sSup>
              </m:oMath>
            </m:oMathPara>
          </w:p>
        </w:tc>
      </w:tr>
      <w:tr w:rsidR="00FE4722" w:rsidRPr="009F1618" w14:paraId="33DDC532" w14:textId="77777777" w:rsidTr="00DE2164">
        <w:trPr>
          <w:cantSplit/>
          <w:trHeight w:val="300"/>
        </w:trPr>
        <w:tc>
          <w:tcPr>
            <w:tcW w:w="1701" w:type="dxa"/>
            <w:tcBorders>
              <w:top w:val="nil"/>
              <w:left w:val="nil"/>
              <w:bottom w:val="double" w:sz="4" w:space="0" w:color="auto"/>
              <w:right w:val="nil"/>
            </w:tcBorders>
            <w:shd w:val="clear" w:color="000000" w:fill="FFFFFF"/>
            <w:noWrap/>
            <w:vAlign w:val="center"/>
            <w:hideMark/>
          </w:tcPr>
          <w:p w14:paraId="4A180198" w14:textId="1726835E"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w:t>
            </w:r>
          </w:p>
        </w:tc>
        <w:tc>
          <w:tcPr>
            <w:tcW w:w="1701" w:type="dxa"/>
            <w:tcBorders>
              <w:top w:val="nil"/>
              <w:left w:val="nil"/>
              <w:bottom w:val="double" w:sz="4" w:space="0" w:color="auto"/>
              <w:right w:val="nil"/>
            </w:tcBorders>
            <w:shd w:val="clear" w:color="000000" w:fill="FFFFFF"/>
            <w:noWrap/>
            <w:vAlign w:val="center"/>
            <w:hideMark/>
          </w:tcPr>
          <w:p w14:paraId="1601EE7A" w14:textId="0B6906E2" w:rsidR="00FE4722" w:rsidRPr="009F1618" w:rsidRDefault="00FE4722"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US</w:t>
            </w:r>
          </w:p>
        </w:tc>
        <w:tc>
          <w:tcPr>
            <w:tcW w:w="2835" w:type="dxa"/>
            <w:tcBorders>
              <w:top w:val="nil"/>
              <w:left w:val="nil"/>
              <w:bottom w:val="double" w:sz="4" w:space="0" w:color="auto"/>
              <w:right w:val="nil"/>
            </w:tcBorders>
            <w:shd w:val="clear" w:color="000000" w:fill="FFFFFF"/>
            <w:noWrap/>
            <w:vAlign w:val="center"/>
          </w:tcPr>
          <w:p w14:paraId="63267205" w14:textId="6F8C66AE" w:rsidR="00FE4722" w:rsidRPr="00281228" w:rsidRDefault="00436C8E" w:rsidP="009F1618">
            <w:pPr>
              <w:spacing w:after="0" w:line="240" w:lineRule="auto"/>
              <w:jc w:val="both"/>
              <w:rPr>
                <w:rFonts w:ascii="Calibri" w:eastAsia="Times New Roman" w:hAnsi="Calibri" w:cs="Calibri"/>
                <w: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-2.64     </m:t>
                </m:r>
              </m:oMath>
            </m:oMathPara>
          </w:p>
        </w:tc>
        <w:tc>
          <w:tcPr>
            <w:tcW w:w="2835" w:type="dxa"/>
            <w:tcBorders>
              <w:top w:val="nil"/>
              <w:left w:val="nil"/>
              <w:bottom w:val="double" w:sz="4" w:space="0" w:color="auto"/>
              <w:right w:val="nil"/>
            </w:tcBorders>
            <w:shd w:val="clear" w:color="000000" w:fill="FFFFFF"/>
            <w:noWrap/>
            <w:vAlign w:val="center"/>
          </w:tcPr>
          <w:p w14:paraId="54F11064" w14:textId="0CD54986" w:rsidR="00FE4722" w:rsidRPr="00281228" w:rsidRDefault="00436C8E"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7.08</m:t>
                    </m:r>
                  </m:e>
                  <m:sup>
                    <m:r>
                      <w:rPr>
                        <w:rFonts w:ascii="Cambria Math" w:eastAsia="Times New Roman" w:hAnsi="Cambria Math" w:cs="Calibri"/>
                        <w:color w:val="000000"/>
                        <w:kern w:val="0"/>
                        <w:sz w:val="22"/>
                        <w:szCs w:val="22"/>
                        <w:lang w:eastAsia="en-AU"/>
                        <w14:ligatures w14:val="none"/>
                      </w:rPr>
                      <m:t>***</m:t>
                    </m:r>
                  </m:sup>
                </m:sSup>
              </m:oMath>
            </m:oMathPara>
          </w:p>
        </w:tc>
      </w:tr>
      <w:tr w:rsidR="00137BB9" w:rsidRPr="009F1618" w14:paraId="443DE2FC" w14:textId="77777777" w:rsidTr="00DE2164">
        <w:trPr>
          <w:cantSplit/>
          <w:trHeight w:val="300"/>
        </w:trPr>
        <w:tc>
          <w:tcPr>
            <w:tcW w:w="9072" w:type="dxa"/>
            <w:gridSpan w:val="4"/>
            <w:tcBorders>
              <w:top w:val="double" w:sz="4" w:space="0" w:color="auto"/>
              <w:left w:val="nil"/>
              <w:right w:val="nil"/>
            </w:tcBorders>
            <w:shd w:val="clear" w:color="000000" w:fill="FFFFFF"/>
            <w:noWrap/>
            <w:vAlign w:val="center"/>
          </w:tcPr>
          <w:p w14:paraId="262DC07B" w14:textId="39B9AEA3" w:rsidR="00805964" w:rsidRPr="009D1216" w:rsidRDefault="00137BB9" w:rsidP="009D1216">
            <w:pPr>
              <w:spacing w:after="0" w:line="240" w:lineRule="auto"/>
              <w:jc w:val="both"/>
              <w:rPr>
                <w:rFonts w:ascii="Calibri" w:eastAsiaTheme="minorEastAsia" w:hAnsi="Calibri" w:cs="Calibri"/>
                <w:i/>
                <w:iCs/>
                <w:sz w:val="22"/>
                <w:szCs w:val="22"/>
              </w:rPr>
            </w:pPr>
            <w:r w:rsidRPr="009F1618">
              <w:rPr>
                <w:rFonts w:ascii="Calibri" w:eastAsiaTheme="minorEastAsia" w:hAnsi="Calibri" w:cs="Calibri"/>
                <w:i/>
                <w:iCs/>
                <w:sz w:val="22"/>
                <w:szCs w:val="22"/>
              </w:rPr>
              <w:t>Significance: *** 1 per</w:t>
            </w:r>
            <w:r w:rsidR="00BD7442">
              <w:rPr>
                <w:rFonts w:ascii="Calibri" w:eastAsiaTheme="minorEastAsia" w:hAnsi="Calibri" w:cs="Calibri"/>
                <w:i/>
                <w:iCs/>
                <w:sz w:val="22"/>
                <w:szCs w:val="22"/>
              </w:rPr>
              <w:t xml:space="preserve"> </w:t>
            </w:r>
            <w:r w:rsidRPr="009F1618">
              <w:rPr>
                <w:rFonts w:ascii="Calibri" w:eastAsiaTheme="minorEastAsia" w:hAnsi="Calibri" w:cs="Calibri"/>
                <w:i/>
                <w:iCs/>
                <w:sz w:val="22"/>
                <w:szCs w:val="22"/>
              </w:rPr>
              <w:t>cent; ** 5 per</w:t>
            </w:r>
            <w:r w:rsidR="00BD7442">
              <w:rPr>
                <w:rFonts w:ascii="Calibri" w:eastAsiaTheme="minorEastAsia" w:hAnsi="Calibri" w:cs="Calibri"/>
                <w:i/>
                <w:iCs/>
                <w:sz w:val="22"/>
                <w:szCs w:val="22"/>
              </w:rPr>
              <w:t xml:space="preserve"> </w:t>
            </w:r>
            <w:r w:rsidRPr="009F1618">
              <w:rPr>
                <w:rFonts w:ascii="Calibri" w:eastAsiaTheme="minorEastAsia" w:hAnsi="Calibri" w:cs="Calibri"/>
                <w:i/>
                <w:iCs/>
                <w:sz w:val="22"/>
                <w:szCs w:val="22"/>
              </w:rPr>
              <w:t>cent; * 10 per</w:t>
            </w:r>
            <w:r w:rsidR="00BD7442">
              <w:rPr>
                <w:rFonts w:ascii="Calibri" w:eastAsiaTheme="minorEastAsia" w:hAnsi="Calibri" w:cs="Calibri"/>
                <w:i/>
                <w:iCs/>
                <w:sz w:val="22"/>
                <w:szCs w:val="22"/>
              </w:rPr>
              <w:t xml:space="preserve"> </w:t>
            </w:r>
            <w:r w:rsidRPr="009F1618">
              <w:rPr>
                <w:rFonts w:ascii="Calibri" w:eastAsiaTheme="minorEastAsia" w:hAnsi="Calibri" w:cs="Calibri"/>
                <w:i/>
                <w:iCs/>
                <w:sz w:val="22"/>
                <w:szCs w:val="22"/>
              </w:rPr>
              <w:t>cent.</w:t>
            </w:r>
          </w:p>
        </w:tc>
      </w:tr>
    </w:tbl>
    <w:p w14:paraId="0CD0C509" w14:textId="77777777" w:rsidR="00855D0C" w:rsidRDefault="00855D0C" w:rsidP="00855D0C">
      <w:pPr>
        <w:keepNext/>
        <w:tabs>
          <w:tab w:val="left" w:pos="5775"/>
        </w:tabs>
        <w:spacing w:after="0" w:line="240" w:lineRule="auto"/>
        <w:jc w:val="both"/>
        <w:rPr>
          <w:rFonts w:ascii="Calibri" w:hAnsi="Calibri" w:cs="Calibri"/>
          <w:sz w:val="22"/>
          <w:szCs w:val="22"/>
        </w:rPr>
      </w:pPr>
    </w:p>
    <w:p w14:paraId="31DF91CD" w14:textId="2985CB30" w:rsidR="00855D0C" w:rsidRPr="00855D0C" w:rsidRDefault="00855D0C" w:rsidP="00855D0C">
      <w:pPr>
        <w:keepNext/>
        <w:tabs>
          <w:tab w:val="left" w:pos="5775"/>
        </w:tabs>
        <w:spacing w:after="0" w:line="240" w:lineRule="auto"/>
        <w:jc w:val="both"/>
        <w:rPr>
          <w:rFonts w:ascii="Calibri" w:hAnsi="Calibri" w:cs="Calibri"/>
          <w:sz w:val="22"/>
          <w:szCs w:val="22"/>
        </w:rPr>
      </w:pPr>
      <w:r w:rsidRPr="00855D0C">
        <w:rPr>
          <w:rFonts w:ascii="Calibri" w:hAnsi="Calibri" w:cs="Calibri"/>
          <w:sz w:val="22"/>
          <w:szCs w:val="22"/>
        </w:rPr>
        <w:t xml:space="preserve">The log price series, both in levels and in first differences, are shown in Figure 1. The series tend generally to move together across all product groups, but this is most clear for SMP (see also the </w:t>
      </w:r>
      <w:r w:rsidRPr="00855D0C">
        <w:rPr>
          <w:rFonts w:ascii="Calibri" w:hAnsi="Calibri" w:cs="Calibri"/>
          <w:sz w:val="22"/>
          <w:szCs w:val="22"/>
        </w:rPr>
        <w:lastRenderedPageBreak/>
        <w:t>discussion in Selvan et al. (2026b) regarding interpretation of the graphs of these price series in raw nominal form). After first differencing, the series resemble stationary processes, fluctuating randomly around a mean close to zero with no persistent trend. WMP exhibits higher volatility than the other product groups, particularly for United States monthly log prices in the earlier part of the sample. This likely reflects the relatively limited participation of the United States in global WMP export markets prior to around 2011, after which United States WMP export volumes increased substantially (Rezitis and Rokopanos, 2019).</w:t>
      </w:r>
    </w:p>
    <w:p w14:paraId="68E92649" w14:textId="77777777" w:rsidR="00855D0C" w:rsidRPr="00855D0C" w:rsidRDefault="00855D0C" w:rsidP="00855D0C">
      <w:pPr>
        <w:keepNext/>
        <w:tabs>
          <w:tab w:val="left" w:pos="5775"/>
        </w:tabs>
        <w:spacing w:after="0" w:line="240" w:lineRule="auto"/>
        <w:jc w:val="both"/>
        <w:rPr>
          <w:rFonts w:ascii="Calibri" w:hAnsi="Calibri" w:cs="Calibri"/>
          <w:sz w:val="22"/>
          <w:szCs w:val="22"/>
        </w:rPr>
      </w:pPr>
    </w:p>
    <w:p w14:paraId="536E9CEE" w14:textId="309026C5" w:rsidR="00855D0C" w:rsidRPr="00855D0C" w:rsidRDefault="00855D0C" w:rsidP="00855D0C">
      <w:pPr>
        <w:keepNext/>
        <w:tabs>
          <w:tab w:val="left" w:pos="5775"/>
        </w:tabs>
        <w:spacing w:after="0" w:line="240" w:lineRule="auto"/>
        <w:jc w:val="both"/>
        <w:rPr>
          <w:rFonts w:ascii="Calibri" w:hAnsi="Calibri" w:cs="Calibri"/>
          <w:sz w:val="22"/>
          <w:szCs w:val="22"/>
          <w:lang w:val="en-US"/>
        </w:rPr>
      </w:pPr>
      <w:r w:rsidRPr="00855D0C">
        <w:rPr>
          <w:rFonts w:ascii="Calibri" w:hAnsi="Calibri" w:cs="Calibri"/>
          <w:sz w:val="22"/>
          <w:szCs w:val="22"/>
        </w:rPr>
        <w:t xml:space="preserve">After confirming the price series are </w:t>
      </w:r>
      <m:oMath>
        <m:r>
          <w:rPr>
            <w:rFonts w:ascii="Cambria Math" w:hAnsi="Cambria Math" w:cs="Calibri"/>
            <w:sz w:val="22"/>
            <w:szCs w:val="22"/>
          </w:rPr>
          <m:t>I(1)</m:t>
        </m:r>
      </m:oMath>
      <w:r w:rsidRPr="00855D0C">
        <w:rPr>
          <w:rFonts w:ascii="Calibri" w:hAnsi="Calibri" w:cs="Calibri"/>
          <w:sz w:val="22"/>
          <w:szCs w:val="22"/>
        </w:rPr>
        <w:t>, the appropriate lag length for each product group’s VECM must be determined. The lag length that minimises the Akaike Information Criterion (AIC) is selected, with the maximum being twelve for monthly data. In</w:t>
      </w:r>
      <w:r w:rsidRPr="00855D0C">
        <w:rPr>
          <w:rFonts w:ascii="Calibri" w:hAnsi="Calibri" w:cs="Calibri"/>
          <w:sz w:val="22"/>
          <w:szCs w:val="22"/>
          <w:lang w:val="en-US"/>
        </w:rPr>
        <w:t xml:space="preserve"> Table 2, the AIC is minimised at </w:t>
      </w:r>
      <m:oMath>
        <m:r>
          <w:rPr>
            <w:rFonts w:ascii="Cambria Math" w:hAnsi="Cambria Math" w:cs="Calibri"/>
            <w:sz w:val="22"/>
            <w:szCs w:val="22"/>
            <w:lang w:val="en-US"/>
          </w:rPr>
          <m:t>p=3</m:t>
        </m:r>
      </m:oMath>
      <w:r w:rsidRPr="00855D0C">
        <w:rPr>
          <w:rFonts w:ascii="Calibri" w:hAnsi="Calibri" w:cs="Calibri"/>
          <w:sz w:val="22"/>
          <w:szCs w:val="22"/>
          <w:lang w:val="en-US"/>
        </w:rPr>
        <w:t xml:space="preserve"> lags for all product groups</w:t>
      </w:r>
      <w:r w:rsidRPr="00855D0C">
        <w:rPr>
          <w:rFonts w:ascii="Calibri" w:hAnsi="Calibri" w:cs="Calibri"/>
          <w:sz w:val="22"/>
          <w:szCs w:val="22"/>
          <w:vertAlign w:val="superscript"/>
          <w:lang w:val="en-US"/>
        </w:rPr>
        <w:footnoteReference w:id="6"/>
      </w:r>
      <w:r w:rsidRPr="00855D0C">
        <w:rPr>
          <w:rFonts w:ascii="Calibri" w:hAnsi="Calibri" w:cs="Calibri"/>
          <w:sz w:val="22"/>
          <w:szCs w:val="22"/>
          <w:lang w:val="en-US"/>
        </w:rPr>
        <w:t>.</w:t>
      </w:r>
    </w:p>
    <w:p w14:paraId="55872B34" w14:textId="77777777" w:rsidR="00855D0C" w:rsidRPr="00855D0C" w:rsidRDefault="00855D0C" w:rsidP="00855D0C">
      <w:pPr>
        <w:keepNext/>
        <w:tabs>
          <w:tab w:val="left" w:pos="5775"/>
        </w:tabs>
        <w:spacing w:after="0" w:line="240" w:lineRule="auto"/>
        <w:jc w:val="both"/>
        <w:rPr>
          <w:rFonts w:ascii="Calibri" w:hAnsi="Calibri" w:cs="Calibri"/>
          <w:sz w:val="22"/>
          <w:szCs w:val="22"/>
          <w:lang w:val="en-US"/>
        </w:rPr>
      </w:pPr>
    </w:p>
    <w:p w14:paraId="3D915470" w14:textId="20AEC0A0" w:rsidR="00855D0C" w:rsidRPr="00855D0C" w:rsidRDefault="00855D0C" w:rsidP="00855D0C">
      <w:pPr>
        <w:keepNext/>
        <w:tabs>
          <w:tab w:val="left" w:pos="5775"/>
        </w:tabs>
        <w:spacing w:after="0" w:line="240" w:lineRule="auto"/>
        <w:jc w:val="both"/>
        <w:rPr>
          <w:rFonts w:ascii="Calibri" w:hAnsi="Calibri" w:cs="Calibri"/>
          <w:sz w:val="22"/>
          <w:szCs w:val="22"/>
        </w:rPr>
      </w:pPr>
      <w:r w:rsidRPr="00855D0C">
        <w:rPr>
          <w:rFonts w:ascii="Calibri" w:hAnsi="Calibri" w:cs="Calibri"/>
          <w:sz w:val="22"/>
          <w:szCs w:val="22"/>
        </w:rPr>
        <w:t xml:space="preserve">As in Chang and Griffith (1998), two model specifications are considered. Model A, which incorporates a trend drift in the error correction model, and Model B, which includes a constant in the cointegrating vector of the error correction model. To discriminate between Models A and B, the test statistic </w:t>
      </w:r>
      <m:oMath>
        <m:r>
          <w:rPr>
            <w:rFonts w:ascii="Cambria Math" w:hAnsi="Cambria Math" w:cs="Calibri"/>
            <w:sz w:val="22"/>
            <w:szCs w:val="22"/>
          </w:rPr>
          <m:t>L</m:t>
        </m:r>
        <m:sSub>
          <m:sSubPr>
            <m:ctrlPr>
              <w:rPr>
                <w:rFonts w:ascii="Cambria Math" w:hAnsi="Cambria Math" w:cs="Calibri"/>
                <w:i/>
                <w:iCs/>
                <w:sz w:val="22"/>
                <w:szCs w:val="22"/>
              </w:rPr>
            </m:ctrlPr>
          </m:sSubPr>
          <m:e>
            <m:r>
              <w:rPr>
                <w:rFonts w:ascii="Cambria Math" w:hAnsi="Cambria Math" w:cs="Calibri"/>
                <w:sz w:val="22"/>
                <w:szCs w:val="22"/>
              </w:rPr>
              <m:t>R</m:t>
            </m:r>
          </m:e>
          <m:sub>
            <m:r>
              <w:rPr>
                <w:rFonts w:ascii="Cambria Math" w:hAnsi="Cambria Math" w:cs="Calibri"/>
                <w:sz w:val="22"/>
                <w:szCs w:val="22"/>
              </w:rPr>
              <m:t>λ</m:t>
            </m:r>
          </m:sub>
        </m:sSub>
      </m:oMath>
      <w:r w:rsidRPr="00855D0C">
        <w:rPr>
          <w:rFonts w:ascii="Calibri" w:hAnsi="Calibri" w:cs="Calibri"/>
          <w:sz w:val="22"/>
          <w:szCs w:val="22"/>
        </w:rPr>
        <w:t xml:space="preserve"> suggested in Johansen (1995, eq. 6.27) is used. The </w:t>
      </w:r>
      <m:oMath>
        <m:r>
          <w:rPr>
            <w:rFonts w:ascii="Cambria Math" w:hAnsi="Cambria Math" w:cs="Calibri"/>
            <w:sz w:val="22"/>
            <w:szCs w:val="22"/>
          </w:rPr>
          <m:t>L</m:t>
        </m:r>
        <m:sSub>
          <m:sSubPr>
            <m:ctrlPr>
              <w:rPr>
                <w:rFonts w:ascii="Cambria Math" w:hAnsi="Cambria Math" w:cs="Calibri"/>
                <w:i/>
                <w:iCs/>
                <w:sz w:val="22"/>
                <w:szCs w:val="22"/>
              </w:rPr>
            </m:ctrlPr>
          </m:sSubPr>
          <m:e>
            <m:r>
              <w:rPr>
                <w:rFonts w:ascii="Cambria Math" w:hAnsi="Cambria Math" w:cs="Calibri"/>
                <w:sz w:val="22"/>
                <w:szCs w:val="22"/>
              </w:rPr>
              <m:t>R</m:t>
            </m:r>
          </m:e>
          <m:sub>
            <m:r>
              <w:rPr>
                <w:rFonts w:ascii="Cambria Math" w:hAnsi="Cambria Math" w:cs="Calibri"/>
                <w:sz w:val="22"/>
                <w:szCs w:val="22"/>
              </w:rPr>
              <m:t>λ</m:t>
            </m:r>
          </m:sub>
        </m:sSub>
      </m:oMath>
      <w:r w:rsidRPr="00855D0C">
        <w:rPr>
          <w:rFonts w:ascii="Calibri" w:hAnsi="Calibri" w:cs="Calibri"/>
          <w:sz w:val="22"/>
          <w:szCs w:val="22"/>
        </w:rPr>
        <w:t xml:space="preserve"> is defined as:</w:t>
      </w:r>
    </w:p>
    <w:p w14:paraId="0B6131C5" w14:textId="77777777" w:rsidR="00855D0C" w:rsidRPr="00855D0C" w:rsidRDefault="00855D0C" w:rsidP="00855D0C">
      <w:pPr>
        <w:keepNext/>
        <w:tabs>
          <w:tab w:val="left" w:pos="5775"/>
        </w:tabs>
        <w:spacing w:after="0" w:line="240" w:lineRule="auto"/>
        <w:jc w:val="both"/>
        <w:rPr>
          <w:rFonts w:ascii="Calibri" w:hAnsi="Calibri" w:cs="Calibri"/>
          <w:sz w:val="22"/>
          <w:szCs w:val="22"/>
        </w:rPr>
      </w:pPr>
    </w:p>
    <w:p w14:paraId="2ABF0751" w14:textId="019342C5" w:rsidR="00855D0C" w:rsidRPr="00855D0C" w:rsidRDefault="00855D0C" w:rsidP="00855D0C">
      <w:pPr>
        <w:keepNext/>
        <w:tabs>
          <w:tab w:val="left" w:pos="5775"/>
        </w:tabs>
        <w:spacing w:after="0" w:line="240" w:lineRule="auto"/>
        <w:jc w:val="both"/>
        <w:rPr>
          <w:rFonts w:ascii="Calibri" w:hAnsi="Calibri" w:cs="Calibri"/>
          <w:sz w:val="22"/>
          <w:szCs w:val="22"/>
        </w:rPr>
      </w:pPr>
      <m:oMath>
        <m:r>
          <w:rPr>
            <w:rFonts w:ascii="Cambria Math" w:hAnsi="Cambria Math" w:cs="Calibri"/>
            <w:sz w:val="22"/>
            <w:szCs w:val="22"/>
          </w:rPr>
          <m:t>L</m:t>
        </m:r>
        <m:sSub>
          <m:sSubPr>
            <m:ctrlPr>
              <w:rPr>
                <w:rFonts w:ascii="Cambria Math" w:hAnsi="Cambria Math" w:cs="Calibri"/>
                <w:i/>
                <w:iCs/>
                <w:sz w:val="22"/>
                <w:szCs w:val="22"/>
              </w:rPr>
            </m:ctrlPr>
          </m:sSubPr>
          <m:e>
            <m:r>
              <w:rPr>
                <w:rFonts w:ascii="Cambria Math" w:hAnsi="Cambria Math" w:cs="Calibri"/>
                <w:sz w:val="22"/>
                <w:szCs w:val="22"/>
              </w:rPr>
              <m:t>R</m:t>
            </m:r>
          </m:e>
          <m:sub>
            <m:r>
              <w:rPr>
                <w:rFonts w:ascii="Cambria Math" w:hAnsi="Cambria Math" w:cs="Calibri"/>
                <w:sz w:val="22"/>
                <w:szCs w:val="22"/>
              </w:rPr>
              <m:t>λ</m:t>
            </m:r>
          </m:sub>
        </m:sSub>
        <m:r>
          <w:rPr>
            <w:rFonts w:ascii="Cambria Math" w:hAnsi="Cambria Math" w:cs="Calibri"/>
            <w:sz w:val="22"/>
            <w:szCs w:val="22"/>
          </w:rPr>
          <m:t>=T</m:t>
        </m:r>
        <m:nary>
          <m:naryPr>
            <m:chr m:val="∑"/>
            <m:ctrlPr>
              <w:rPr>
                <w:rFonts w:ascii="Cambria Math" w:hAnsi="Cambria Math" w:cs="Calibri"/>
                <w:i/>
                <w:iCs/>
                <w:sz w:val="22"/>
                <w:szCs w:val="22"/>
              </w:rPr>
            </m:ctrlPr>
          </m:naryPr>
          <m:sub>
            <m:r>
              <w:rPr>
                <w:rFonts w:ascii="Cambria Math" w:hAnsi="Cambria Math" w:cs="Calibri"/>
                <w:sz w:val="22"/>
                <w:szCs w:val="22"/>
              </w:rPr>
              <m:t>i=r+1</m:t>
            </m:r>
          </m:sub>
          <m:sup>
            <m:r>
              <w:rPr>
                <w:rFonts w:ascii="Cambria Math" w:hAnsi="Cambria Math" w:cs="Calibri"/>
                <w:sz w:val="22"/>
                <w:szCs w:val="22"/>
              </w:rPr>
              <m:t>n</m:t>
            </m:r>
          </m:sup>
          <m:e>
            <m:r>
              <w:rPr>
                <w:rFonts w:ascii="Cambria Math" w:hAnsi="Cambria Math" w:cs="Calibri"/>
                <w:sz w:val="22"/>
                <w:szCs w:val="22"/>
              </w:rPr>
              <m:t>[</m:t>
            </m:r>
            <m:func>
              <m:funcPr>
                <m:ctrlPr>
                  <w:rPr>
                    <w:rFonts w:ascii="Cambria Math" w:hAnsi="Cambria Math" w:cs="Calibri"/>
                    <w:i/>
                    <w:iCs/>
                    <w:sz w:val="22"/>
                    <w:szCs w:val="22"/>
                  </w:rPr>
                </m:ctrlPr>
              </m:funcPr>
              <m:fName>
                <m:r>
                  <m:rPr>
                    <m:sty m:val="p"/>
                  </m:rPr>
                  <w:rPr>
                    <w:rFonts w:ascii="Cambria Math" w:hAnsi="Cambria Math" w:cs="Calibri"/>
                    <w:sz w:val="22"/>
                    <w:szCs w:val="22"/>
                  </w:rPr>
                  <m:t>ln</m:t>
                </m:r>
              </m:fName>
              <m:e>
                <m:d>
                  <m:dPr>
                    <m:ctrlPr>
                      <w:rPr>
                        <w:rFonts w:ascii="Cambria Math" w:hAnsi="Cambria Math" w:cs="Calibri"/>
                        <w:i/>
                        <w:iCs/>
                        <w:sz w:val="22"/>
                        <w:szCs w:val="22"/>
                      </w:rPr>
                    </m:ctrlPr>
                  </m:dPr>
                  <m:e>
                    <m:r>
                      <w:rPr>
                        <w:rFonts w:ascii="Cambria Math" w:hAnsi="Cambria Math" w:cs="Calibri"/>
                        <w:sz w:val="22"/>
                        <w:szCs w:val="22"/>
                      </w:rPr>
                      <m:t>1-</m:t>
                    </m:r>
                    <m:sSup>
                      <m:sSupPr>
                        <m:ctrlPr>
                          <w:rPr>
                            <w:rFonts w:ascii="Cambria Math" w:hAnsi="Cambria Math" w:cs="Calibri"/>
                            <w:i/>
                            <w:iCs/>
                            <w:sz w:val="22"/>
                            <w:szCs w:val="22"/>
                          </w:rPr>
                        </m:ctrlPr>
                      </m:sSupPr>
                      <m:e>
                        <m:r>
                          <w:rPr>
                            <w:rFonts w:ascii="Cambria Math" w:hAnsi="Cambria Math" w:cs="Calibri"/>
                            <w:sz w:val="22"/>
                            <w:szCs w:val="22"/>
                          </w:rPr>
                          <m:t>λ</m:t>
                        </m:r>
                      </m:e>
                      <m:sup>
                        <m:r>
                          <w:rPr>
                            <w:rFonts w:ascii="Cambria Math" w:hAnsi="Cambria Math" w:cs="Calibri"/>
                            <w:sz w:val="22"/>
                            <w:szCs w:val="22"/>
                          </w:rPr>
                          <m:t>*</m:t>
                        </m:r>
                      </m:sup>
                    </m:sSup>
                  </m:e>
                </m:d>
              </m:e>
            </m:func>
            <m:r>
              <w:rPr>
                <w:rFonts w:ascii="Cambria Math" w:hAnsi="Cambria Math" w:cs="Calibri"/>
                <w:sz w:val="22"/>
                <w:szCs w:val="22"/>
              </w:rPr>
              <m:t>-</m:t>
            </m:r>
            <m:func>
              <m:funcPr>
                <m:ctrlPr>
                  <w:rPr>
                    <w:rFonts w:ascii="Cambria Math" w:hAnsi="Cambria Math" w:cs="Calibri"/>
                    <w:i/>
                    <w:iCs/>
                    <w:sz w:val="22"/>
                    <w:szCs w:val="22"/>
                  </w:rPr>
                </m:ctrlPr>
              </m:funcPr>
              <m:fName>
                <m:r>
                  <m:rPr>
                    <m:sty m:val="p"/>
                  </m:rPr>
                  <w:rPr>
                    <w:rFonts w:ascii="Cambria Math" w:hAnsi="Cambria Math" w:cs="Calibri"/>
                    <w:sz w:val="22"/>
                    <w:szCs w:val="22"/>
                  </w:rPr>
                  <m:t>ln</m:t>
                </m:r>
              </m:fName>
              <m:e>
                <m:d>
                  <m:dPr>
                    <m:ctrlPr>
                      <w:rPr>
                        <w:rFonts w:ascii="Cambria Math" w:hAnsi="Cambria Math" w:cs="Calibri"/>
                        <w:i/>
                        <w:iCs/>
                        <w:sz w:val="22"/>
                        <w:szCs w:val="22"/>
                      </w:rPr>
                    </m:ctrlPr>
                  </m:dPr>
                  <m:e>
                    <m:r>
                      <w:rPr>
                        <w:rFonts w:ascii="Cambria Math" w:hAnsi="Cambria Math" w:cs="Calibri"/>
                        <w:sz w:val="22"/>
                        <w:szCs w:val="22"/>
                      </w:rPr>
                      <m:t>1-</m:t>
                    </m:r>
                    <m:sSub>
                      <m:sSubPr>
                        <m:ctrlPr>
                          <w:rPr>
                            <w:rFonts w:ascii="Cambria Math" w:hAnsi="Cambria Math" w:cs="Calibri"/>
                            <w:i/>
                            <w:iCs/>
                            <w:sz w:val="22"/>
                            <w:szCs w:val="22"/>
                          </w:rPr>
                        </m:ctrlPr>
                      </m:sSubPr>
                      <m:e>
                        <m:r>
                          <w:rPr>
                            <w:rFonts w:ascii="Cambria Math" w:hAnsi="Cambria Math" w:cs="Calibri"/>
                            <w:sz w:val="22"/>
                            <w:szCs w:val="22"/>
                          </w:rPr>
                          <m:t>λ</m:t>
                        </m:r>
                      </m:e>
                      <m:sub>
                        <m:r>
                          <w:rPr>
                            <w:rFonts w:ascii="Cambria Math" w:hAnsi="Cambria Math" w:cs="Calibri"/>
                            <w:sz w:val="22"/>
                            <w:szCs w:val="22"/>
                          </w:rPr>
                          <m:t>i</m:t>
                        </m:r>
                      </m:sub>
                    </m:sSub>
                  </m:e>
                </m:d>
              </m:e>
            </m:func>
            <m:r>
              <w:rPr>
                <w:rFonts w:ascii="Cambria Math" w:hAnsi="Cambria Math" w:cs="Calibri"/>
                <w:sz w:val="22"/>
                <w:szCs w:val="22"/>
              </w:rPr>
              <m:t>]</m:t>
            </m:r>
          </m:e>
        </m:nary>
      </m:oMath>
      <w:r w:rsidRPr="00855D0C">
        <w:rPr>
          <w:rFonts w:ascii="Calibri" w:hAnsi="Calibri" w:cs="Calibri"/>
          <w:sz w:val="22"/>
          <w:szCs w:val="22"/>
        </w:rPr>
        <w:t>,</w:t>
      </w:r>
    </w:p>
    <w:p w14:paraId="7D888377" w14:textId="77777777" w:rsidR="00855D0C" w:rsidRPr="00855D0C" w:rsidRDefault="00855D0C" w:rsidP="00855D0C">
      <w:pPr>
        <w:keepNext/>
        <w:tabs>
          <w:tab w:val="left" w:pos="5775"/>
        </w:tabs>
        <w:spacing w:after="0" w:line="240" w:lineRule="auto"/>
        <w:jc w:val="both"/>
        <w:rPr>
          <w:rFonts w:ascii="Calibri" w:hAnsi="Calibri" w:cs="Calibri"/>
          <w:sz w:val="22"/>
          <w:szCs w:val="22"/>
        </w:rPr>
      </w:pPr>
    </w:p>
    <w:p w14:paraId="792872A6" w14:textId="33489708" w:rsidR="00855D0C" w:rsidRPr="00855D0C" w:rsidRDefault="00855D0C" w:rsidP="00855D0C">
      <w:pPr>
        <w:keepNext/>
        <w:tabs>
          <w:tab w:val="left" w:pos="5775"/>
        </w:tabs>
        <w:spacing w:after="0" w:line="240" w:lineRule="auto"/>
        <w:jc w:val="both"/>
        <w:rPr>
          <w:rFonts w:ascii="Calibri" w:hAnsi="Calibri" w:cs="Calibri"/>
          <w:sz w:val="22"/>
          <w:szCs w:val="22"/>
        </w:rPr>
      </w:pPr>
      <w:r w:rsidRPr="00855D0C">
        <w:rPr>
          <w:rFonts w:ascii="Calibri" w:hAnsi="Calibri" w:cs="Calibri"/>
          <w:sz w:val="22"/>
          <w:szCs w:val="22"/>
        </w:rPr>
        <w:t xml:space="preserve">where </w:t>
      </w:r>
      <m:oMath>
        <m:sSup>
          <m:sSupPr>
            <m:ctrlPr>
              <w:rPr>
                <w:rFonts w:ascii="Cambria Math" w:hAnsi="Cambria Math" w:cs="Calibri"/>
                <w:i/>
                <w:iCs/>
                <w:sz w:val="22"/>
                <w:szCs w:val="22"/>
              </w:rPr>
            </m:ctrlPr>
          </m:sSupPr>
          <m:e>
            <m:r>
              <w:rPr>
                <w:rFonts w:ascii="Cambria Math" w:hAnsi="Cambria Math" w:cs="Calibri"/>
                <w:sz w:val="22"/>
                <w:szCs w:val="22"/>
              </w:rPr>
              <m:t>λ</m:t>
            </m:r>
          </m:e>
          <m:sup>
            <m:r>
              <w:rPr>
                <w:rFonts w:ascii="Cambria Math" w:hAnsi="Cambria Math" w:cs="Calibri"/>
                <w:sz w:val="22"/>
                <w:szCs w:val="22"/>
              </w:rPr>
              <m:t>*</m:t>
            </m:r>
          </m:sup>
        </m:sSup>
      </m:oMath>
      <w:r w:rsidRPr="00855D0C">
        <w:rPr>
          <w:rFonts w:ascii="Calibri" w:hAnsi="Calibri" w:cs="Calibri"/>
          <w:sz w:val="22"/>
          <w:szCs w:val="22"/>
        </w:rPr>
        <w:t xml:space="preserve"> and </w:t>
      </w:r>
      <m:oMath>
        <m:sSub>
          <m:sSubPr>
            <m:ctrlPr>
              <w:rPr>
                <w:rFonts w:ascii="Cambria Math" w:hAnsi="Cambria Math" w:cs="Calibri"/>
                <w:i/>
                <w:iCs/>
                <w:sz w:val="22"/>
                <w:szCs w:val="22"/>
              </w:rPr>
            </m:ctrlPr>
          </m:sSubPr>
          <m:e>
            <m:r>
              <w:rPr>
                <w:rFonts w:ascii="Cambria Math" w:hAnsi="Cambria Math" w:cs="Calibri"/>
                <w:sz w:val="22"/>
                <w:szCs w:val="22"/>
              </w:rPr>
              <m:t>λ</m:t>
            </m:r>
          </m:e>
          <m:sub>
            <m:r>
              <w:rPr>
                <w:rFonts w:ascii="Cambria Math" w:hAnsi="Cambria Math" w:cs="Calibri"/>
                <w:sz w:val="22"/>
                <w:szCs w:val="22"/>
              </w:rPr>
              <m:t>i</m:t>
            </m:r>
          </m:sub>
        </m:sSub>
      </m:oMath>
      <w:r w:rsidRPr="00855D0C">
        <w:rPr>
          <w:rFonts w:ascii="Calibri" w:hAnsi="Calibri" w:cs="Calibri"/>
          <w:sz w:val="22"/>
          <w:szCs w:val="22"/>
        </w:rPr>
        <w:t xml:space="preserve"> are estimated eigenvalues of the matrix </w:t>
      </w:r>
      <m:oMath>
        <m:r>
          <w:rPr>
            <w:rFonts w:ascii="Cambria Math" w:hAnsi="Cambria Math" w:cs="Calibri"/>
            <w:sz w:val="22"/>
            <w:szCs w:val="22"/>
          </w:rPr>
          <m:t>Π</m:t>
        </m:r>
      </m:oMath>
      <w:r w:rsidRPr="00855D0C">
        <w:rPr>
          <w:rFonts w:ascii="Calibri" w:hAnsi="Calibri" w:cs="Calibri"/>
          <w:sz w:val="22"/>
          <w:szCs w:val="22"/>
        </w:rPr>
        <w:t xml:space="preserve"> for the restricted (Model B) and the unrestricted (Model A) models respectively; </w:t>
      </w:r>
      <m:oMath>
        <m:r>
          <w:rPr>
            <w:rFonts w:ascii="Cambria Math" w:hAnsi="Cambria Math" w:cs="Calibri"/>
            <w:sz w:val="22"/>
            <w:szCs w:val="22"/>
          </w:rPr>
          <m:t>T</m:t>
        </m:r>
      </m:oMath>
      <w:r w:rsidRPr="00855D0C">
        <w:rPr>
          <w:rFonts w:ascii="Calibri" w:hAnsi="Calibri" w:cs="Calibri"/>
          <w:sz w:val="22"/>
          <w:szCs w:val="22"/>
        </w:rPr>
        <w:t xml:space="preserve"> is the number of observations; </w:t>
      </w:r>
      <m:oMath>
        <m:r>
          <w:rPr>
            <w:rFonts w:ascii="Cambria Math" w:hAnsi="Cambria Math" w:cs="Calibri"/>
            <w:sz w:val="22"/>
            <w:szCs w:val="22"/>
          </w:rPr>
          <m:t>r</m:t>
        </m:r>
      </m:oMath>
      <w:r w:rsidRPr="00855D0C">
        <w:rPr>
          <w:rFonts w:ascii="Calibri" w:hAnsi="Calibri" w:cs="Calibri"/>
          <w:sz w:val="22"/>
          <w:szCs w:val="22"/>
        </w:rPr>
        <w:t xml:space="preserve"> is the number of cointegrating vectors in the unrestricted model; and </w:t>
      </w:r>
      <m:oMath>
        <m:r>
          <w:rPr>
            <w:rFonts w:ascii="Cambria Math" w:hAnsi="Cambria Math" w:cs="Calibri"/>
            <w:sz w:val="22"/>
            <w:szCs w:val="22"/>
          </w:rPr>
          <m:t>n</m:t>
        </m:r>
      </m:oMath>
      <w:r w:rsidRPr="00855D0C">
        <w:rPr>
          <w:rFonts w:ascii="Calibri" w:hAnsi="Calibri" w:cs="Calibri"/>
          <w:sz w:val="22"/>
          <w:szCs w:val="22"/>
        </w:rPr>
        <w:t xml:space="preserve"> is the number of price series. The statistic is distributed asymptotically as </w:t>
      </w:r>
      <m:oMath>
        <m:sSup>
          <m:sSupPr>
            <m:ctrlPr>
              <w:rPr>
                <w:rFonts w:ascii="Cambria Math" w:hAnsi="Cambria Math" w:cs="Calibri"/>
                <w:sz w:val="22"/>
                <w:szCs w:val="22"/>
              </w:rPr>
            </m:ctrlPr>
          </m:sSupPr>
          <m:e>
            <m:r>
              <w:rPr>
                <w:rFonts w:ascii="Cambria Math" w:hAnsi="Cambria Math" w:cs="Calibri"/>
                <w:sz w:val="22"/>
                <w:szCs w:val="22"/>
              </w:rPr>
              <m:t>χ</m:t>
            </m:r>
          </m:e>
          <m:sup>
            <m:r>
              <w:rPr>
                <w:rFonts w:ascii="Cambria Math" w:hAnsi="Cambria Math" w:cs="Calibri"/>
                <w:sz w:val="22"/>
                <w:szCs w:val="22"/>
              </w:rPr>
              <m:t>2</m:t>
            </m:r>
          </m:sup>
        </m:sSup>
      </m:oMath>
      <w:r w:rsidRPr="00855D0C">
        <w:rPr>
          <w:rFonts w:ascii="Calibri" w:hAnsi="Calibri" w:cs="Calibri"/>
          <w:sz w:val="22"/>
          <w:szCs w:val="22"/>
        </w:rPr>
        <w:t xml:space="preserve"> with </w:t>
      </w:r>
      <m:oMath>
        <m:d>
          <m:dPr>
            <m:sepChr m:val="−"/>
            <m:ctrlPr>
              <w:rPr>
                <w:rFonts w:ascii="Cambria Math" w:hAnsi="Cambria Math" w:cs="Calibri"/>
                <w:sz w:val="22"/>
                <w:szCs w:val="22"/>
              </w:rPr>
            </m:ctrlPr>
          </m:dPr>
          <m:e>
            <m:r>
              <w:rPr>
                <w:rFonts w:ascii="Cambria Math" w:hAnsi="Cambria Math" w:cs="Calibri"/>
                <w:sz w:val="22"/>
                <w:szCs w:val="22"/>
              </w:rPr>
              <m:t>n</m:t>
            </m:r>
          </m:e>
          <m:e>
            <m:r>
              <w:rPr>
                <w:rFonts w:ascii="Cambria Math" w:hAnsi="Cambria Math" w:cs="Calibri"/>
                <w:sz w:val="22"/>
                <w:szCs w:val="22"/>
              </w:rPr>
              <m:t>r</m:t>
            </m:r>
          </m:e>
        </m:d>
      </m:oMath>
      <w:r w:rsidRPr="00855D0C">
        <w:rPr>
          <w:rFonts w:ascii="Calibri" w:hAnsi="Calibri" w:cs="Calibri"/>
          <w:sz w:val="22"/>
          <w:szCs w:val="22"/>
        </w:rPr>
        <w:t xml:space="preserve"> degrees of freedom.</w:t>
      </w:r>
    </w:p>
    <w:p w14:paraId="1FC3456A" w14:textId="77777777" w:rsidR="00855D0C" w:rsidRPr="00855D0C" w:rsidRDefault="00855D0C" w:rsidP="00855D0C">
      <w:pPr>
        <w:keepNext/>
        <w:tabs>
          <w:tab w:val="left" w:pos="5775"/>
        </w:tabs>
        <w:spacing w:after="0" w:line="240" w:lineRule="auto"/>
        <w:jc w:val="both"/>
        <w:rPr>
          <w:rFonts w:ascii="Calibri" w:hAnsi="Calibri" w:cs="Calibri"/>
          <w:sz w:val="22"/>
          <w:szCs w:val="22"/>
          <w:lang w:val="en-US"/>
        </w:rPr>
      </w:pPr>
    </w:p>
    <w:p w14:paraId="214AB7C5" w14:textId="77777777" w:rsidR="00855D0C" w:rsidRPr="00855D0C" w:rsidRDefault="00855D0C" w:rsidP="00855D0C">
      <w:pPr>
        <w:keepNext/>
        <w:tabs>
          <w:tab w:val="left" w:pos="5775"/>
        </w:tabs>
        <w:spacing w:after="0" w:line="240" w:lineRule="auto"/>
        <w:jc w:val="both"/>
        <w:rPr>
          <w:rFonts w:ascii="Calibri" w:hAnsi="Calibri" w:cs="Calibri"/>
          <w:sz w:val="22"/>
          <w:szCs w:val="22"/>
        </w:rPr>
      </w:pPr>
      <w:r w:rsidRPr="00855D0C">
        <w:rPr>
          <w:rFonts w:ascii="Calibri" w:hAnsi="Calibri" w:cs="Calibri"/>
          <w:sz w:val="22"/>
          <w:szCs w:val="22"/>
        </w:rPr>
        <w:t xml:space="preserve">Table 3 reports the likelihood ratio test statistics alongside the trace and max-eigenvalue statistics for both model specifications. Model B is selected for all product groups, as the LR test statistics fall below the 1 per cent critical values. Using the selected model and the trace statistic for each product group, one cointegrating relationship is identified for butter and cheese, two cointegrating relationships for SMP, and three cointegrating relationships for WMP. </w:t>
      </w:r>
    </w:p>
    <w:p w14:paraId="4A78C640" w14:textId="77777777" w:rsidR="00855D0C" w:rsidRPr="00855D0C" w:rsidRDefault="00855D0C" w:rsidP="00855D0C">
      <w:pPr>
        <w:keepNext/>
        <w:tabs>
          <w:tab w:val="left" w:pos="5775"/>
        </w:tabs>
        <w:spacing w:after="0" w:line="240" w:lineRule="auto"/>
        <w:jc w:val="both"/>
        <w:rPr>
          <w:rFonts w:ascii="Calibri" w:hAnsi="Calibri" w:cs="Calibri"/>
          <w:sz w:val="22"/>
          <w:szCs w:val="22"/>
        </w:rPr>
      </w:pPr>
    </w:p>
    <w:p w14:paraId="5D7F90C6" w14:textId="77777777" w:rsidR="000547D5" w:rsidRDefault="00855D0C" w:rsidP="00855D0C">
      <w:pPr>
        <w:keepNext/>
        <w:tabs>
          <w:tab w:val="left" w:pos="5775"/>
        </w:tabs>
        <w:spacing w:after="0" w:line="240" w:lineRule="auto"/>
        <w:jc w:val="both"/>
        <w:rPr>
          <w:rFonts w:ascii="Calibri" w:hAnsi="Calibri" w:cs="Calibri"/>
          <w:sz w:val="22"/>
          <w:szCs w:val="22"/>
        </w:rPr>
      </w:pPr>
      <w:r w:rsidRPr="00855D0C">
        <w:rPr>
          <w:rFonts w:ascii="Calibri" w:hAnsi="Calibri" w:cs="Calibri"/>
          <w:sz w:val="22"/>
          <w:szCs w:val="22"/>
        </w:rPr>
        <w:t xml:space="preserve">If </w:t>
      </w:r>
      <m:oMath>
        <m:r>
          <w:rPr>
            <w:rFonts w:ascii="Cambria Math" w:hAnsi="Cambria Math" w:cs="Calibri"/>
            <w:sz w:val="22"/>
            <w:szCs w:val="22"/>
          </w:rPr>
          <m:t>r</m:t>
        </m:r>
      </m:oMath>
      <w:r w:rsidRPr="00855D0C">
        <w:rPr>
          <w:rFonts w:ascii="Calibri" w:hAnsi="Calibri" w:cs="Calibri"/>
          <w:sz w:val="22"/>
          <w:szCs w:val="22"/>
        </w:rPr>
        <w:t xml:space="preserve"> cointegrating relationships exist, </w:t>
      </w:r>
      <m:oMath>
        <m:r>
          <w:rPr>
            <w:rFonts w:ascii="Cambria Math" w:hAnsi="Cambria Math" w:cs="Calibri"/>
            <w:sz w:val="22"/>
            <w:szCs w:val="22"/>
          </w:rPr>
          <m:t>r</m:t>
        </m:r>
      </m:oMath>
      <w:r w:rsidRPr="00855D0C">
        <w:rPr>
          <w:rFonts w:ascii="Calibri" w:hAnsi="Calibri" w:cs="Calibri"/>
          <w:sz w:val="22"/>
          <w:szCs w:val="22"/>
        </w:rPr>
        <w:t xml:space="preserve"> linear combinations are stationary and </w:t>
      </w:r>
      <m:oMath>
        <m:r>
          <w:rPr>
            <w:rFonts w:ascii="Cambria Math" w:hAnsi="Cambria Math" w:cs="Calibri"/>
            <w:sz w:val="22"/>
            <w:szCs w:val="22"/>
          </w:rPr>
          <m:t>(n-r)</m:t>
        </m:r>
      </m:oMath>
      <w:r w:rsidRPr="00855D0C">
        <w:rPr>
          <w:rFonts w:ascii="Calibri" w:hAnsi="Calibri" w:cs="Calibri"/>
          <w:sz w:val="22"/>
          <w:szCs w:val="22"/>
        </w:rPr>
        <w:t xml:space="preserve"> are non-stationary (Williams and Bewley, 1993). The finding of </w:t>
      </w:r>
      <m:oMath>
        <m:r>
          <w:rPr>
            <w:rFonts w:ascii="Cambria Math" w:hAnsi="Cambria Math" w:cs="Calibri"/>
            <w:sz w:val="22"/>
            <w:szCs w:val="22"/>
          </w:rPr>
          <m:t>r=1</m:t>
        </m:r>
      </m:oMath>
      <w:r w:rsidRPr="00855D0C">
        <w:rPr>
          <w:rFonts w:ascii="Calibri" w:hAnsi="Calibri" w:cs="Calibri"/>
          <w:sz w:val="22"/>
          <w:szCs w:val="22"/>
        </w:rPr>
        <w:t xml:space="preserve"> for butter and cheese indicates that the four price series share one stable long-run relationship, while three sources of non-stationarity remain in each system. The number of remaining sources of non-stationarity falls to two for SMP and one for WMP. This points to tightly integrated markets for the milk powders, particularly WMP. This is </w:t>
      </w:r>
      <w:r w:rsidRPr="00855D0C">
        <w:rPr>
          <w:rFonts w:ascii="Calibri" w:hAnsi="Calibri" w:cs="Calibri"/>
          <w:sz w:val="22"/>
          <w:szCs w:val="22"/>
        </w:rPr>
        <w:lastRenderedPageBreak/>
        <w:t xml:space="preserve">consistent with milk powders being relatively homogeneous products. Table 4 presents the estimated long-run parameters for </w:t>
      </w:r>
    </w:p>
    <w:p w14:paraId="165A5C3F" w14:textId="07BFA091" w:rsidR="00855D0C" w:rsidRPr="00855D0C" w:rsidRDefault="00797204" w:rsidP="00855D0C">
      <w:pPr>
        <w:keepNext/>
        <w:tabs>
          <w:tab w:val="left" w:pos="5775"/>
        </w:tabs>
        <w:spacing w:after="0" w:line="240" w:lineRule="auto"/>
        <w:jc w:val="both"/>
        <w:rPr>
          <w:rFonts w:ascii="Calibri" w:hAnsi="Calibri" w:cs="Calibri"/>
          <w:sz w:val="22"/>
          <w:szCs w:val="22"/>
        </w:rPr>
      </w:pPr>
      <w:r w:rsidRPr="009F1618">
        <w:rPr>
          <w:rFonts w:ascii="Calibri" w:hAnsi="Calibri" w:cs="Calibri"/>
          <w:noProof/>
          <w:sz w:val="22"/>
          <w:szCs w:val="22"/>
        </w:rPr>
        <w:drawing>
          <wp:inline distT="0" distB="0" distL="0" distR="0" wp14:anchorId="76EF8A7D" wp14:editId="6838F598">
            <wp:extent cx="5731510" cy="3820795"/>
            <wp:effectExtent l="0" t="0" r="2540" b="8255"/>
            <wp:docPr id="3118337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33705" name="Picture 311833705"/>
                    <pic:cNvPicPr/>
                  </pic:nvPicPr>
                  <pic:blipFill>
                    <a:blip r:embed="rId12">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r w:rsidR="00855D0C" w:rsidRPr="00855D0C">
        <w:rPr>
          <w:rFonts w:ascii="Calibri" w:hAnsi="Calibri" w:cs="Calibri"/>
          <w:sz w:val="22"/>
          <w:szCs w:val="22"/>
        </w:rPr>
        <w:t>each product group.</w:t>
      </w:r>
      <w:r w:rsidRPr="00797204">
        <w:rPr>
          <w:rFonts w:ascii="Calibri" w:hAnsi="Calibri" w:cs="Calibri"/>
          <w:noProof/>
          <w:sz w:val="22"/>
          <w:szCs w:val="22"/>
        </w:rPr>
        <w:t xml:space="preserve"> </w:t>
      </w:r>
    </w:p>
    <w:p w14:paraId="6F31AFF0" w14:textId="132E019E" w:rsidR="001A5859" w:rsidRPr="009F1618" w:rsidRDefault="00A528E0" w:rsidP="009F1618">
      <w:pPr>
        <w:keepNext/>
        <w:tabs>
          <w:tab w:val="left" w:pos="5775"/>
        </w:tabs>
        <w:spacing w:after="0" w:line="240" w:lineRule="auto"/>
        <w:jc w:val="both"/>
        <w:rPr>
          <w:rFonts w:ascii="Calibri" w:hAnsi="Calibri" w:cs="Calibri"/>
          <w:sz w:val="22"/>
          <w:szCs w:val="22"/>
        </w:rPr>
      </w:pPr>
      <w:r w:rsidRPr="009F1618">
        <w:rPr>
          <w:rFonts w:ascii="Calibri" w:hAnsi="Calibri" w:cs="Calibri"/>
          <w:noProof/>
          <w:sz w:val="22"/>
          <w:szCs w:val="22"/>
        </w:rPr>
        <w:drawing>
          <wp:inline distT="0" distB="0" distL="0" distR="0" wp14:anchorId="440217F5" wp14:editId="4860D91B">
            <wp:extent cx="5731510" cy="3820795"/>
            <wp:effectExtent l="0" t="0" r="2540" b="8255"/>
            <wp:docPr id="13414603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460306" name="Picture 1341460306"/>
                    <pic:cNvPicPr/>
                  </pic:nvPicPr>
                  <pic:blipFill>
                    <a:blip r:embed="rId13">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714640FA" w14:textId="77777777" w:rsidR="007D16E9" w:rsidRPr="009F1618" w:rsidRDefault="007D16E9" w:rsidP="009F1618">
      <w:pPr>
        <w:pStyle w:val="Caption"/>
        <w:spacing w:after="0"/>
        <w:jc w:val="both"/>
        <w:rPr>
          <w:rFonts w:ascii="Calibri" w:hAnsi="Calibri" w:cs="Calibri"/>
          <w:b/>
          <w:bCs/>
          <w:i w:val="0"/>
          <w:iCs w:val="0"/>
          <w:sz w:val="22"/>
          <w:szCs w:val="22"/>
        </w:rPr>
      </w:pPr>
    </w:p>
    <w:p w14:paraId="434AAED5" w14:textId="0439C247" w:rsidR="00B26B8A" w:rsidRPr="009F1618" w:rsidRDefault="001A5859" w:rsidP="009F1618">
      <w:pPr>
        <w:pStyle w:val="Caption"/>
        <w:spacing w:after="0"/>
        <w:jc w:val="both"/>
        <w:rPr>
          <w:rFonts w:ascii="Calibri" w:hAnsi="Calibri" w:cs="Calibri"/>
          <w:b/>
          <w:bCs/>
          <w:i w:val="0"/>
          <w:iCs w:val="0"/>
          <w:sz w:val="22"/>
          <w:szCs w:val="22"/>
        </w:rPr>
      </w:pPr>
      <w:r w:rsidRPr="009F1618">
        <w:rPr>
          <w:rFonts w:ascii="Calibri" w:hAnsi="Calibri" w:cs="Calibri"/>
          <w:b/>
          <w:bCs/>
          <w:i w:val="0"/>
          <w:iCs w:val="0"/>
          <w:sz w:val="22"/>
          <w:szCs w:val="22"/>
        </w:rPr>
        <w:t xml:space="preserve">Figure </w:t>
      </w:r>
      <w:r w:rsidR="00471C6C">
        <w:rPr>
          <w:rFonts w:ascii="Calibri" w:hAnsi="Calibri" w:cs="Calibri"/>
          <w:b/>
          <w:bCs/>
          <w:i w:val="0"/>
          <w:iCs w:val="0"/>
          <w:sz w:val="22"/>
          <w:szCs w:val="22"/>
        </w:rPr>
        <w:t>1.</w:t>
      </w:r>
      <w:r w:rsidR="00C86A81" w:rsidRPr="009F1618">
        <w:rPr>
          <w:rFonts w:ascii="Calibri" w:hAnsi="Calibri" w:cs="Calibri"/>
          <w:b/>
          <w:bCs/>
          <w:i w:val="0"/>
          <w:iCs w:val="0"/>
          <w:sz w:val="22"/>
          <w:szCs w:val="22"/>
        </w:rPr>
        <w:t xml:space="preserve"> </w:t>
      </w:r>
      <w:r w:rsidRPr="009F1618">
        <w:rPr>
          <w:rFonts w:ascii="Calibri" w:hAnsi="Calibri" w:cs="Calibri"/>
          <w:i w:val="0"/>
          <w:iCs w:val="0"/>
          <w:sz w:val="22"/>
          <w:szCs w:val="22"/>
        </w:rPr>
        <w:t>Monthly log prices in levels and first differences</w:t>
      </w:r>
    </w:p>
    <w:p w14:paraId="0935D181" w14:textId="77777777" w:rsidR="00685660" w:rsidRDefault="00685660" w:rsidP="009F1618">
      <w:pPr>
        <w:tabs>
          <w:tab w:val="left" w:pos="5775"/>
        </w:tabs>
        <w:spacing w:after="0" w:line="240" w:lineRule="auto"/>
        <w:jc w:val="both"/>
        <w:rPr>
          <w:rFonts w:ascii="Calibri" w:hAnsi="Calibri" w:cs="Calibri"/>
          <w:b/>
          <w:bCs/>
          <w:sz w:val="22"/>
          <w:szCs w:val="22"/>
        </w:rPr>
      </w:pPr>
    </w:p>
    <w:p w14:paraId="373204B2" w14:textId="77777777" w:rsidR="007D74A0" w:rsidRPr="009F1618" w:rsidRDefault="007D74A0" w:rsidP="009F1618">
      <w:pPr>
        <w:tabs>
          <w:tab w:val="left" w:pos="5775"/>
        </w:tabs>
        <w:spacing w:after="0" w:line="240" w:lineRule="auto"/>
        <w:jc w:val="both"/>
        <w:rPr>
          <w:rFonts w:ascii="Calibri" w:hAnsi="Calibri" w:cs="Calibri"/>
          <w:b/>
          <w:bCs/>
          <w:sz w:val="22"/>
          <w:szCs w:val="22"/>
        </w:rPr>
      </w:pPr>
    </w:p>
    <w:tbl>
      <w:tblPr>
        <w:tblW w:w="9072" w:type="dxa"/>
        <w:tblLook w:val="04A0" w:firstRow="1" w:lastRow="0" w:firstColumn="1" w:lastColumn="0" w:noHBand="0" w:noVBand="1"/>
      </w:tblPr>
      <w:tblGrid>
        <w:gridCol w:w="1814"/>
        <w:gridCol w:w="1814"/>
        <w:gridCol w:w="1815"/>
        <w:gridCol w:w="1814"/>
        <w:gridCol w:w="1815"/>
      </w:tblGrid>
      <w:tr w:rsidR="00F019CD" w:rsidRPr="009F1618" w14:paraId="1FA34629" w14:textId="77777777" w:rsidTr="00DE2164">
        <w:trPr>
          <w:cantSplit/>
          <w:trHeight w:val="300"/>
        </w:trPr>
        <w:tc>
          <w:tcPr>
            <w:tcW w:w="9072" w:type="dxa"/>
            <w:gridSpan w:val="5"/>
            <w:tcBorders>
              <w:left w:val="nil"/>
              <w:bottom w:val="double" w:sz="4" w:space="0" w:color="auto"/>
              <w:right w:val="nil"/>
            </w:tcBorders>
            <w:shd w:val="clear" w:color="000000" w:fill="FFFFFF"/>
            <w:noWrap/>
            <w:vAlign w:val="center"/>
          </w:tcPr>
          <w:p w14:paraId="12E35BC5" w14:textId="77777777" w:rsidR="005F43D6" w:rsidRDefault="005F43D6" w:rsidP="009F1618">
            <w:pPr>
              <w:spacing w:after="0" w:line="240" w:lineRule="auto"/>
              <w:jc w:val="both"/>
              <w:rPr>
                <w:rFonts w:ascii="Calibri" w:eastAsia="Times New Roman" w:hAnsi="Calibri" w:cs="Calibri"/>
                <w:b/>
                <w:bCs/>
                <w:color w:val="000000"/>
                <w:kern w:val="0"/>
                <w:sz w:val="22"/>
                <w:szCs w:val="22"/>
                <w:lang w:eastAsia="en-AU"/>
                <w14:ligatures w14:val="none"/>
              </w:rPr>
            </w:pPr>
          </w:p>
          <w:p w14:paraId="7A537688" w14:textId="374451EF" w:rsidR="00F019CD" w:rsidRPr="009F1618" w:rsidRDefault="00F019CD" w:rsidP="009F1618">
            <w:pPr>
              <w:spacing w:after="0" w:line="240" w:lineRule="auto"/>
              <w:jc w:val="both"/>
              <w:rPr>
                <w:rFonts w:ascii="Calibri" w:eastAsia="Times New Roman" w:hAnsi="Calibri" w:cs="Calibri"/>
                <w:b/>
                <w:bCs/>
                <w:color w:val="000000"/>
                <w:kern w:val="0"/>
                <w:sz w:val="22"/>
                <w:szCs w:val="22"/>
                <w:lang w:eastAsia="en-AU"/>
                <w14:ligatures w14:val="none"/>
              </w:rPr>
            </w:pPr>
            <w:r w:rsidRPr="009F1618">
              <w:rPr>
                <w:rFonts w:ascii="Calibri" w:eastAsia="Times New Roman" w:hAnsi="Calibri" w:cs="Calibri"/>
                <w:b/>
                <w:bCs/>
                <w:color w:val="000000"/>
                <w:kern w:val="0"/>
                <w:sz w:val="22"/>
                <w:szCs w:val="22"/>
                <w:lang w:eastAsia="en-AU"/>
                <w14:ligatures w14:val="none"/>
              </w:rPr>
              <w:t xml:space="preserve">Table </w:t>
            </w:r>
            <w:r w:rsidR="00036204" w:rsidRPr="009F1618">
              <w:rPr>
                <w:rFonts w:ascii="Calibri" w:eastAsia="Times New Roman" w:hAnsi="Calibri" w:cs="Calibri"/>
                <w:b/>
                <w:bCs/>
                <w:color w:val="000000"/>
                <w:kern w:val="0"/>
                <w:sz w:val="22"/>
                <w:szCs w:val="22"/>
                <w:lang w:eastAsia="en-AU"/>
                <w14:ligatures w14:val="none"/>
              </w:rPr>
              <w:t>2</w:t>
            </w:r>
            <w:r w:rsidR="005F43D6">
              <w:rPr>
                <w:rFonts w:ascii="Calibri" w:eastAsia="Times New Roman" w:hAnsi="Calibri" w:cs="Calibri"/>
                <w:b/>
                <w:bCs/>
                <w:color w:val="000000"/>
                <w:kern w:val="0"/>
                <w:sz w:val="22"/>
                <w:szCs w:val="22"/>
                <w:lang w:eastAsia="en-AU"/>
                <w14:ligatures w14:val="none"/>
              </w:rPr>
              <w:t>.</w:t>
            </w:r>
            <w:r w:rsidRPr="009F1618">
              <w:rPr>
                <w:rFonts w:ascii="Calibri" w:eastAsia="Times New Roman" w:hAnsi="Calibri" w:cs="Calibri"/>
                <w:b/>
                <w:bCs/>
                <w:color w:val="000000"/>
                <w:kern w:val="0"/>
                <w:sz w:val="22"/>
                <w:szCs w:val="22"/>
                <w:lang w:eastAsia="en-AU"/>
                <w14:ligatures w14:val="none"/>
              </w:rPr>
              <w:t xml:space="preserve"> </w:t>
            </w:r>
            <w:r w:rsidRPr="009F1618">
              <w:rPr>
                <w:rFonts w:ascii="Calibri" w:eastAsia="Times New Roman" w:hAnsi="Calibri" w:cs="Calibri"/>
                <w:color w:val="000000"/>
                <w:kern w:val="0"/>
                <w:sz w:val="22"/>
                <w:szCs w:val="22"/>
                <w:lang w:eastAsia="en-AU"/>
                <w14:ligatures w14:val="none"/>
              </w:rPr>
              <w:t>VAR model lag selection</w:t>
            </w:r>
          </w:p>
          <w:p w14:paraId="6EF74873" w14:textId="77777777" w:rsidR="00F019CD" w:rsidRPr="009F1618" w:rsidRDefault="00F019CD" w:rsidP="009F1618">
            <w:pPr>
              <w:spacing w:after="0" w:line="240" w:lineRule="auto"/>
              <w:jc w:val="both"/>
              <w:rPr>
                <w:rFonts w:ascii="Calibri" w:eastAsia="Times New Roman" w:hAnsi="Calibri" w:cs="Calibri"/>
                <w:b/>
                <w:bCs/>
                <w:color w:val="000000"/>
                <w:kern w:val="0"/>
                <w:sz w:val="22"/>
                <w:szCs w:val="22"/>
                <w:lang w:eastAsia="en-AU"/>
                <w14:ligatures w14:val="none"/>
              </w:rPr>
            </w:pPr>
          </w:p>
        </w:tc>
      </w:tr>
      <w:tr w:rsidR="00902DC9" w:rsidRPr="009F1618" w14:paraId="5BBD9B55" w14:textId="77777777" w:rsidTr="00DE2164">
        <w:trPr>
          <w:cantSplit/>
          <w:trHeight w:val="300"/>
        </w:trPr>
        <w:tc>
          <w:tcPr>
            <w:tcW w:w="1814" w:type="dxa"/>
            <w:tcBorders>
              <w:top w:val="double" w:sz="4" w:space="0" w:color="auto"/>
              <w:left w:val="nil"/>
              <w:right w:val="nil"/>
            </w:tcBorders>
            <w:shd w:val="clear" w:color="000000" w:fill="FFFFFF"/>
            <w:noWrap/>
            <w:vAlign w:val="center"/>
          </w:tcPr>
          <w:p w14:paraId="01E1F2D0" w14:textId="68156B6A" w:rsidR="00902DC9" w:rsidRPr="009F1618" w:rsidRDefault="00902DC9" w:rsidP="009F1618">
            <w:pPr>
              <w:spacing w:after="0" w:line="240" w:lineRule="auto"/>
              <w:jc w:val="both"/>
              <w:rPr>
                <w:rFonts w:ascii="Calibri" w:eastAsia="Times New Roman" w:hAnsi="Calibri" w:cs="Calibri"/>
                <w:color w:val="000000"/>
                <w:kern w:val="0"/>
                <w:sz w:val="22"/>
                <w:szCs w:val="22"/>
                <w:lang w:eastAsia="en-AU"/>
                <w14:ligatures w14:val="none"/>
              </w:rPr>
            </w:pPr>
          </w:p>
        </w:tc>
        <w:tc>
          <w:tcPr>
            <w:tcW w:w="7258" w:type="dxa"/>
            <w:gridSpan w:val="4"/>
            <w:tcBorders>
              <w:top w:val="double" w:sz="4" w:space="0" w:color="auto"/>
              <w:left w:val="nil"/>
              <w:bottom w:val="single" w:sz="4" w:space="0" w:color="auto"/>
              <w:right w:val="nil"/>
            </w:tcBorders>
            <w:shd w:val="clear" w:color="000000" w:fill="FFFFFF"/>
            <w:vAlign w:val="center"/>
          </w:tcPr>
          <w:p w14:paraId="55C75967" w14:textId="504F3660" w:rsidR="00902DC9" w:rsidRPr="009F1618" w:rsidRDefault="00902DC9"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AIC</w:t>
            </w:r>
            <m:oMath>
              <m:r>
                <w:rPr>
                  <w:rFonts w:ascii="Cambria Math" w:eastAsia="Times New Roman" w:hAnsi="Cambria Math" w:cs="Calibri"/>
                  <w:color w:val="000000"/>
                  <w:kern w:val="0"/>
                  <w:sz w:val="22"/>
                  <w:szCs w:val="22"/>
                  <w:lang w:eastAsia="en-AU"/>
                  <w14:ligatures w14:val="none"/>
                </w:rPr>
                <m:t>(p)</m:t>
              </m:r>
            </m:oMath>
          </w:p>
        </w:tc>
      </w:tr>
      <w:tr w:rsidR="00F019CD" w:rsidRPr="009F1618" w14:paraId="3054408F" w14:textId="77777777" w:rsidTr="00DE2164">
        <w:trPr>
          <w:cantSplit/>
          <w:trHeight w:val="300"/>
        </w:trPr>
        <w:tc>
          <w:tcPr>
            <w:tcW w:w="1814" w:type="dxa"/>
            <w:tcBorders>
              <w:left w:val="nil"/>
              <w:bottom w:val="single" w:sz="4" w:space="0" w:color="auto"/>
              <w:right w:val="nil"/>
            </w:tcBorders>
            <w:shd w:val="clear" w:color="000000" w:fill="FFFFFF"/>
            <w:vAlign w:val="center"/>
            <w:hideMark/>
          </w:tcPr>
          <w:p w14:paraId="13FD00B2" w14:textId="77777777" w:rsidR="00F019CD" w:rsidRPr="009F1618" w:rsidRDefault="00F019CD"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Lag</w:t>
            </w:r>
          </w:p>
        </w:tc>
        <w:tc>
          <w:tcPr>
            <w:tcW w:w="1814" w:type="dxa"/>
            <w:tcBorders>
              <w:top w:val="single" w:sz="4" w:space="0" w:color="auto"/>
              <w:left w:val="nil"/>
              <w:bottom w:val="single" w:sz="4" w:space="0" w:color="auto"/>
              <w:right w:val="nil"/>
            </w:tcBorders>
            <w:shd w:val="clear" w:color="000000" w:fill="FFFFFF"/>
            <w:vAlign w:val="center"/>
            <w:hideMark/>
          </w:tcPr>
          <w:p w14:paraId="6C1066F5" w14:textId="47E8A41B" w:rsidR="00F019CD"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Butter</w:t>
            </w:r>
          </w:p>
        </w:tc>
        <w:tc>
          <w:tcPr>
            <w:tcW w:w="1815" w:type="dxa"/>
            <w:tcBorders>
              <w:top w:val="single" w:sz="4" w:space="0" w:color="auto"/>
              <w:left w:val="nil"/>
              <w:bottom w:val="single" w:sz="4" w:space="0" w:color="auto"/>
              <w:right w:val="nil"/>
            </w:tcBorders>
            <w:shd w:val="clear" w:color="000000" w:fill="FFFFFF"/>
            <w:vAlign w:val="center"/>
            <w:hideMark/>
          </w:tcPr>
          <w:p w14:paraId="4C4AAAFB" w14:textId="4443C9A9" w:rsidR="00F019CD"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Cheese</w:t>
            </w:r>
          </w:p>
        </w:tc>
        <w:tc>
          <w:tcPr>
            <w:tcW w:w="1814" w:type="dxa"/>
            <w:tcBorders>
              <w:top w:val="single" w:sz="4" w:space="0" w:color="auto"/>
              <w:left w:val="nil"/>
              <w:bottom w:val="single" w:sz="4" w:space="0" w:color="auto"/>
              <w:right w:val="nil"/>
            </w:tcBorders>
            <w:shd w:val="clear" w:color="000000" w:fill="FFFFFF"/>
            <w:vAlign w:val="center"/>
            <w:hideMark/>
          </w:tcPr>
          <w:p w14:paraId="678E4143" w14:textId="321052C1" w:rsidR="00F019CD"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SMP</w:t>
            </w:r>
          </w:p>
        </w:tc>
        <w:tc>
          <w:tcPr>
            <w:tcW w:w="1815" w:type="dxa"/>
            <w:tcBorders>
              <w:top w:val="single" w:sz="4" w:space="0" w:color="auto"/>
              <w:left w:val="nil"/>
              <w:bottom w:val="single" w:sz="4" w:space="0" w:color="auto"/>
              <w:right w:val="nil"/>
            </w:tcBorders>
            <w:shd w:val="clear" w:color="000000" w:fill="FFFFFF"/>
            <w:vAlign w:val="center"/>
            <w:hideMark/>
          </w:tcPr>
          <w:p w14:paraId="576A9EA0" w14:textId="0DB407B8" w:rsidR="00F019CD"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WMP</w:t>
            </w:r>
          </w:p>
        </w:tc>
      </w:tr>
      <w:tr w:rsidR="00A33421" w:rsidRPr="009F1618" w14:paraId="139A6EF6" w14:textId="77777777" w:rsidTr="00DE2164">
        <w:trPr>
          <w:cantSplit/>
          <w:trHeight w:val="300"/>
        </w:trPr>
        <w:tc>
          <w:tcPr>
            <w:tcW w:w="1814" w:type="dxa"/>
            <w:tcBorders>
              <w:top w:val="single" w:sz="4" w:space="0" w:color="auto"/>
              <w:left w:val="nil"/>
              <w:bottom w:val="nil"/>
              <w:right w:val="nil"/>
            </w:tcBorders>
            <w:shd w:val="clear" w:color="000000" w:fill="FFFFFF"/>
            <w:vAlign w:val="center"/>
            <w:hideMark/>
          </w:tcPr>
          <w:p w14:paraId="2B3D7F06"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w:t>
            </w:r>
          </w:p>
        </w:tc>
        <w:tc>
          <w:tcPr>
            <w:tcW w:w="1814" w:type="dxa"/>
            <w:tcBorders>
              <w:top w:val="single" w:sz="4" w:space="0" w:color="auto"/>
              <w:left w:val="nil"/>
              <w:bottom w:val="nil"/>
              <w:right w:val="nil"/>
            </w:tcBorders>
            <w:shd w:val="clear" w:color="000000" w:fill="FFFFFF"/>
            <w:vAlign w:val="center"/>
            <w:hideMark/>
          </w:tcPr>
          <w:p w14:paraId="713ED12F" w14:textId="2657C839"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ParaPr>
                <m:jc m:val="center"/>
              </m:oMathParaPr>
              <m:oMath>
                <m:r>
                  <w:rPr>
                    <w:rFonts w:ascii="Cambria Math" w:eastAsia="Times New Roman" w:hAnsi="Cambria Math" w:cs="Calibri"/>
                    <w:color w:val="000000"/>
                    <w:kern w:val="0"/>
                    <w:sz w:val="22"/>
                    <w:szCs w:val="22"/>
                    <w:lang w:eastAsia="en-AU"/>
                    <w14:ligatures w14:val="none"/>
                  </w:rPr>
                  <m:t xml:space="preserve">-20.98 </m:t>
                </m:r>
              </m:oMath>
            </m:oMathPara>
          </w:p>
        </w:tc>
        <w:tc>
          <w:tcPr>
            <w:tcW w:w="1815" w:type="dxa"/>
            <w:tcBorders>
              <w:top w:val="single" w:sz="4" w:space="0" w:color="auto"/>
              <w:left w:val="nil"/>
              <w:bottom w:val="nil"/>
              <w:right w:val="nil"/>
            </w:tcBorders>
            <w:shd w:val="clear" w:color="000000" w:fill="FFFFFF"/>
            <w:vAlign w:val="center"/>
          </w:tcPr>
          <w:p w14:paraId="11EBE745" w14:textId="7A909D74"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-25.90 </m:t>
                </m:r>
              </m:oMath>
            </m:oMathPara>
          </w:p>
        </w:tc>
        <w:tc>
          <w:tcPr>
            <w:tcW w:w="1814" w:type="dxa"/>
            <w:tcBorders>
              <w:top w:val="single" w:sz="4" w:space="0" w:color="auto"/>
              <w:left w:val="nil"/>
              <w:bottom w:val="nil"/>
              <w:right w:val="nil"/>
            </w:tcBorders>
            <w:shd w:val="clear" w:color="000000" w:fill="FFFFFF"/>
            <w:vAlign w:val="center"/>
          </w:tcPr>
          <w:p w14:paraId="22140AD3" w14:textId="5143163E"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-24.00 </m:t>
                </m:r>
              </m:oMath>
            </m:oMathPara>
          </w:p>
        </w:tc>
        <w:tc>
          <w:tcPr>
            <w:tcW w:w="1815" w:type="dxa"/>
            <w:tcBorders>
              <w:top w:val="single" w:sz="4" w:space="0" w:color="auto"/>
              <w:left w:val="nil"/>
              <w:bottom w:val="nil"/>
              <w:right w:val="nil"/>
            </w:tcBorders>
            <w:shd w:val="clear" w:color="000000" w:fill="FFFFFF"/>
            <w:vAlign w:val="center"/>
          </w:tcPr>
          <w:p w14:paraId="75F00270" w14:textId="4F7B3ECA"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-20.96 </m:t>
                </m:r>
              </m:oMath>
            </m:oMathPara>
          </w:p>
        </w:tc>
      </w:tr>
      <w:tr w:rsidR="00A33421" w:rsidRPr="009F1618" w14:paraId="358DB5D6" w14:textId="77777777" w:rsidTr="00DE2164">
        <w:trPr>
          <w:cantSplit/>
          <w:trHeight w:val="300"/>
        </w:trPr>
        <w:tc>
          <w:tcPr>
            <w:tcW w:w="1814" w:type="dxa"/>
            <w:tcBorders>
              <w:top w:val="nil"/>
              <w:left w:val="nil"/>
              <w:bottom w:val="nil"/>
              <w:right w:val="nil"/>
            </w:tcBorders>
            <w:shd w:val="clear" w:color="000000" w:fill="FFFFFF"/>
            <w:vAlign w:val="center"/>
            <w:hideMark/>
          </w:tcPr>
          <w:p w14:paraId="269F98FA"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2</w:t>
            </w:r>
          </w:p>
        </w:tc>
        <w:tc>
          <w:tcPr>
            <w:tcW w:w="1814" w:type="dxa"/>
            <w:tcBorders>
              <w:top w:val="nil"/>
              <w:left w:val="nil"/>
              <w:bottom w:val="nil"/>
              <w:right w:val="nil"/>
            </w:tcBorders>
            <w:shd w:val="clear" w:color="000000" w:fill="FFFFFF"/>
            <w:vAlign w:val="center"/>
            <w:hideMark/>
          </w:tcPr>
          <w:p w14:paraId="53BC7ED8" w14:textId="685364A6"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-21.17 </m:t>
                </m:r>
              </m:oMath>
            </m:oMathPara>
          </w:p>
        </w:tc>
        <w:tc>
          <w:tcPr>
            <w:tcW w:w="1815" w:type="dxa"/>
            <w:tcBorders>
              <w:top w:val="nil"/>
              <w:left w:val="nil"/>
              <w:bottom w:val="nil"/>
              <w:right w:val="nil"/>
            </w:tcBorders>
            <w:shd w:val="clear" w:color="000000" w:fill="FFFFFF"/>
            <w:vAlign w:val="center"/>
          </w:tcPr>
          <w:p w14:paraId="015AFE03" w14:textId="0CB77BD2"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-25.92 </m:t>
                </m:r>
              </m:oMath>
            </m:oMathPara>
          </w:p>
        </w:tc>
        <w:tc>
          <w:tcPr>
            <w:tcW w:w="1814" w:type="dxa"/>
            <w:tcBorders>
              <w:top w:val="nil"/>
              <w:left w:val="nil"/>
              <w:bottom w:val="nil"/>
              <w:right w:val="nil"/>
            </w:tcBorders>
            <w:shd w:val="clear" w:color="000000" w:fill="FFFFFF"/>
            <w:vAlign w:val="center"/>
          </w:tcPr>
          <w:p w14:paraId="1ACF6EE4" w14:textId="2AE24DD3"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-24.53 </m:t>
                </m:r>
              </m:oMath>
            </m:oMathPara>
          </w:p>
        </w:tc>
        <w:tc>
          <w:tcPr>
            <w:tcW w:w="1815" w:type="dxa"/>
            <w:tcBorders>
              <w:top w:val="nil"/>
              <w:left w:val="nil"/>
              <w:bottom w:val="nil"/>
              <w:right w:val="nil"/>
            </w:tcBorders>
            <w:shd w:val="clear" w:color="000000" w:fill="FFFFFF"/>
            <w:vAlign w:val="center"/>
          </w:tcPr>
          <w:p w14:paraId="22DDE457" w14:textId="0B865F4B"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-21.26 </m:t>
                </m:r>
              </m:oMath>
            </m:oMathPara>
          </w:p>
        </w:tc>
      </w:tr>
      <w:tr w:rsidR="00A33421" w:rsidRPr="009F1618" w14:paraId="5F02DABE" w14:textId="77777777" w:rsidTr="00DE2164">
        <w:trPr>
          <w:cantSplit/>
          <w:trHeight w:val="300"/>
        </w:trPr>
        <w:tc>
          <w:tcPr>
            <w:tcW w:w="1814" w:type="dxa"/>
            <w:tcBorders>
              <w:top w:val="nil"/>
              <w:left w:val="nil"/>
              <w:bottom w:val="nil"/>
              <w:right w:val="nil"/>
            </w:tcBorders>
            <w:shd w:val="clear" w:color="000000" w:fill="FFFFFF"/>
            <w:vAlign w:val="center"/>
            <w:hideMark/>
          </w:tcPr>
          <w:p w14:paraId="188594DF"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3</w:t>
            </w:r>
          </w:p>
        </w:tc>
        <w:tc>
          <w:tcPr>
            <w:tcW w:w="1814" w:type="dxa"/>
            <w:tcBorders>
              <w:top w:val="nil"/>
              <w:left w:val="nil"/>
              <w:bottom w:val="nil"/>
              <w:right w:val="nil"/>
            </w:tcBorders>
            <w:shd w:val="clear" w:color="000000" w:fill="FFFFFF"/>
            <w:vAlign w:val="center"/>
            <w:hideMark/>
          </w:tcPr>
          <w:p w14:paraId="57ACDAC5" w14:textId="7BFB239D"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21.21</m:t>
                    </m:r>
                  </m:e>
                  <m:sup>
                    <m:r>
                      <w:rPr>
                        <w:rFonts w:ascii="Cambria Math" w:eastAsia="Times New Roman" w:hAnsi="Cambria Math" w:cs="Calibri"/>
                        <w:color w:val="000000"/>
                        <w:kern w:val="0"/>
                        <w:sz w:val="22"/>
                        <w:szCs w:val="22"/>
                        <w:lang w:eastAsia="en-AU"/>
                        <w14:ligatures w14:val="none"/>
                      </w:rPr>
                      <m:t>*</m:t>
                    </m:r>
                  </m:sup>
                </m:sSup>
              </m:oMath>
            </m:oMathPara>
          </w:p>
        </w:tc>
        <w:tc>
          <w:tcPr>
            <w:tcW w:w="1815" w:type="dxa"/>
            <w:tcBorders>
              <w:top w:val="nil"/>
              <w:left w:val="nil"/>
              <w:bottom w:val="nil"/>
              <w:right w:val="nil"/>
            </w:tcBorders>
            <w:shd w:val="clear" w:color="000000" w:fill="FFFFFF"/>
            <w:vAlign w:val="center"/>
          </w:tcPr>
          <w:p w14:paraId="1D519468" w14:textId="44FE0B87"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25.95</m:t>
                    </m:r>
                  </m:e>
                  <m:sup>
                    <m:r>
                      <w:rPr>
                        <w:rFonts w:ascii="Cambria Math" w:eastAsia="Times New Roman" w:hAnsi="Cambria Math" w:cs="Calibri"/>
                        <w:color w:val="000000"/>
                        <w:kern w:val="0"/>
                        <w:sz w:val="22"/>
                        <w:szCs w:val="22"/>
                        <w:lang w:eastAsia="en-AU"/>
                        <w14:ligatures w14:val="none"/>
                      </w:rPr>
                      <m:t>*</m:t>
                    </m:r>
                  </m:sup>
                </m:sSup>
              </m:oMath>
            </m:oMathPara>
          </w:p>
        </w:tc>
        <w:tc>
          <w:tcPr>
            <w:tcW w:w="1814" w:type="dxa"/>
            <w:tcBorders>
              <w:top w:val="nil"/>
              <w:left w:val="nil"/>
              <w:bottom w:val="nil"/>
              <w:right w:val="nil"/>
            </w:tcBorders>
            <w:shd w:val="clear" w:color="000000" w:fill="FFFFFF"/>
            <w:vAlign w:val="center"/>
          </w:tcPr>
          <w:p w14:paraId="5DB70F47" w14:textId="4FA8EB7B"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24.62</m:t>
                    </m:r>
                  </m:e>
                  <m:sup>
                    <m:r>
                      <w:rPr>
                        <w:rFonts w:ascii="Cambria Math" w:eastAsia="Times New Roman" w:hAnsi="Cambria Math" w:cs="Calibri"/>
                        <w:color w:val="000000"/>
                        <w:kern w:val="0"/>
                        <w:sz w:val="22"/>
                        <w:szCs w:val="22"/>
                        <w:lang w:eastAsia="en-AU"/>
                        <w14:ligatures w14:val="none"/>
                      </w:rPr>
                      <m:t>*</m:t>
                    </m:r>
                  </m:sup>
                </m:sSup>
              </m:oMath>
            </m:oMathPara>
          </w:p>
        </w:tc>
        <w:tc>
          <w:tcPr>
            <w:tcW w:w="1815" w:type="dxa"/>
            <w:tcBorders>
              <w:top w:val="nil"/>
              <w:left w:val="nil"/>
              <w:bottom w:val="nil"/>
              <w:right w:val="nil"/>
            </w:tcBorders>
            <w:shd w:val="clear" w:color="000000" w:fill="FFFFFF"/>
            <w:vAlign w:val="center"/>
          </w:tcPr>
          <w:p w14:paraId="52D20B28" w14:textId="356CAD83"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m:t>
                </m:r>
                <m:sSup>
                  <m:sSupPr>
                    <m:ctrlPr>
                      <w:rPr>
                        <w:rFonts w:ascii="Cambria Math" w:eastAsia="Times New Roman" w:hAnsi="Cambria Math" w:cs="Calibri"/>
                        <w:i/>
                        <w:color w:val="000000"/>
                        <w:kern w:val="0"/>
                        <w:sz w:val="22"/>
                        <w:szCs w:val="22"/>
                        <w:lang w:eastAsia="en-AU"/>
                        <w14:ligatures w14:val="none"/>
                      </w:rPr>
                    </m:ctrlPr>
                  </m:sSupPr>
                  <m:e>
                    <m:r>
                      <w:rPr>
                        <w:rFonts w:ascii="Cambria Math" w:eastAsia="Times New Roman" w:hAnsi="Cambria Math" w:cs="Calibri"/>
                        <w:color w:val="000000"/>
                        <w:kern w:val="0"/>
                        <w:sz w:val="22"/>
                        <w:szCs w:val="22"/>
                        <w:lang w:eastAsia="en-AU"/>
                        <w14:ligatures w14:val="none"/>
                      </w:rPr>
                      <m:t>21.33</m:t>
                    </m:r>
                  </m:e>
                  <m:sup>
                    <m:r>
                      <w:rPr>
                        <w:rFonts w:ascii="Cambria Math" w:eastAsia="Times New Roman" w:hAnsi="Cambria Math" w:cs="Calibri"/>
                        <w:color w:val="000000"/>
                        <w:kern w:val="0"/>
                        <w:sz w:val="22"/>
                        <w:szCs w:val="22"/>
                        <w:lang w:eastAsia="en-AU"/>
                        <w14:ligatures w14:val="none"/>
                      </w:rPr>
                      <m:t>*</m:t>
                    </m:r>
                  </m:sup>
                </m:sSup>
              </m:oMath>
            </m:oMathPara>
          </w:p>
        </w:tc>
      </w:tr>
      <w:tr w:rsidR="00A33421" w:rsidRPr="009F1618" w14:paraId="6B61513C" w14:textId="77777777" w:rsidTr="00DE2164">
        <w:trPr>
          <w:cantSplit/>
          <w:trHeight w:val="300"/>
        </w:trPr>
        <w:tc>
          <w:tcPr>
            <w:tcW w:w="1814" w:type="dxa"/>
            <w:tcBorders>
              <w:top w:val="nil"/>
              <w:left w:val="nil"/>
              <w:bottom w:val="nil"/>
              <w:right w:val="nil"/>
            </w:tcBorders>
            <w:shd w:val="clear" w:color="000000" w:fill="FFFFFF"/>
            <w:vAlign w:val="center"/>
            <w:hideMark/>
          </w:tcPr>
          <w:p w14:paraId="0B8E835E"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4</w:t>
            </w:r>
          </w:p>
        </w:tc>
        <w:tc>
          <w:tcPr>
            <w:tcW w:w="1814" w:type="dxa"/>
            <w:tcBorders>
              <w:top w:val="nil"/>
              <w:left w:val="nil"/>
              <w:bottom w:val="nil"/>
              <w:right w:val="nil"/>
            </w:tcBorders>
            <w:shd w:val="clear" w:color="000000" w:fill="FFFFFF"/>
            <w:vAlign w:val="center"/>
            <w:hideMark/>
          </w:tcPr>
          <w:p w14:paraId="7552668A" w14:textId="4FA5493C"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-21.18 </m:t>
                </m:r>
              </m:oMath>
            </m:oMathPara>
          </w:p>
        </w:tc>
        <w:tc>
          <w:tcPr>
            <w:tcW w:w="1815" w:type="dxa"/>
            <w:tcBorders>
              <w:top w:val="nil"/>
              <w:left w:val="nil"/>
              <w:bottom w:val="nil"/>
              <w:right w:val="nil"/>
            </w:tcBorders>
            <w:shd w:val="clear" w:color="000000" w:fill="FFFFFF"/>
            <w:vAlign w:val="center"/>
          </w:tcPr>
          <w:p w14:paraId="7534C194" w14:textId="1B8ADE88"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-25.88 </m:t>
                </m:r>
              </m:oMath>
            </m:oMathPara>
          </w:p>
        </w:tc>
        <w:tc>
          <w:tcPr>
            <w:tcW w:w="1814" w:type="dxa"/>
            <w:tcBorders>
              <w:top w:val="nil"/>
              <w:left w:val="nil"/>
              <w:bottom w:val="nil"/>
              <w:right w:val="nil"/>
            </w:tcBorders>
            <w:shd w:val="clear" w:color="000000" w:fill="FFFFFF"/>
            <w:vAlign w:val="center"/>
          </w:tcPr>
          <w:p w14:paraId="03F337F1" w14:textId="5F505A2B"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-24.58 </m:t>
                </m:r>
              </m:oMath>
            </m:oMathPara>
          </w:p>
        </w:tc>
        <w:tc>
          <w:tcPr>
            <w:tcW w:w="1815" w:type="dxa"/>
            <w:tcBorders>
              <w:top w:val="nil"/>
              <w:left w:val="nil"/>
              <w:bottom w:val="nil"/>
              <w:right w:val="nil"/>
            </w:tcBorders>
            <w:shd w:val="clear" w:color="000000" w:fill="FFFFFF"/>
            <w:vAlign w:val="center"/>
          </w:tcPr>
          <w:p w14:paraId="24B5BEB1" w14:textId="656F1792"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-21.12 </m:t>
                </m:r>
              </m:oMath>
            </m:oMathPara>
          </w:p>
        </w:tc>
      </w:tr>
      <w:tr w:rsidR="00A33421" w:rsidRPr="009F1618" w14:paraId="6F0AAE09" w14:textId="77777777" w:rsidTr="00DE2164">
        <w:trPr>
          <w:cantSplit/>
          <w:trHeight w:val="300"/>
        </w:trPr>
        <w:tc>
          <w:tcPr>
            <w:tcW w:w="1814" w:type="dxa"/>
            <w:tcBorders>
              <w:top w:val="nil"/>
              <w:left w:val="nil"/>
              <w:bottom w:val="nil"/>
              <w:right w:val="nil"/>
            </w:tcBorders>
            <w:shd w:val="clear" w:color="000000" w:fill="FFFFFF"/>
            <w:vAlign w:val="center"/>
            <w:hideMark/>
          </w:tcPr>
          <w:p w14:paraId="0F7648D6"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5</w:t>
            </w:r>
          </w:p>
        </w:tc>
        <w:tc>
          <w:tcPr>
            <w:tcW w:w="1814" w:type="dxa"/>
            <w:tcBorders>
              <w:top w:val="nil"/>
              <w:left w:val="nil"/>
              <w:bottom w:val="nil"/>
              <w:right w:val="nil"/>
            </w:tcBorders>
            <w:shd w:val="clear" w:color="000000" w:fill="FFFFFF"/>
            <w:vAlign w:val="center"/>
            <w:hideMark/>
          </w:tcPr>
          <w:p w14:paraId="47D4EBB8" w14:textId="623F06E3"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-21.11 </m:t>
                </m:r>
              </m:oMath>
            </m:oMathPara>
          </w:p>
        </w:tc>
        <w:tc>
          <w:tcPr>
            <w:tcW w:w="1815" w:type="dxa"/>
            <w:tcBorders>
              <w:top w:val="nil"/>
              <w:left w:val="nil"/>
              <w:bottom w:val="nil"/>
              <w:right w:val="nil"/>
            </w:tcBorders>
            <w:shd w:val="clear" w:color="000000" w:fill="FFFFFF"/>
            <w:vAlign w:val="center"/>
          </w:tcPr>
          <w:p w14:paraId="4E63D19A" w14:textId="31B8C43A"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-25.84 </m:t>
                </m:r>
              </m:oMath>
            </m:oMathPara>
          </w:p>
        </w:tc>
        <w:tc>
          <w:tcPr>
            <w:tcW w:w="1814" w:type="dxa"/>
            <w:tcBorders>
              <w:top w:val="nil"/>
              <w:left w:val="nil"/>
              <w:bottom w:val="nil"/>
              <w:right w:val="nil"/>
            </w:tcBorders>
            <w:shd w:val="clear" w:color="000000" w:fill="FFFFFF"/>
            <w:vAlign w:val="center"/>
          </w:tcPr>
          <w:p w14:paraId="666CE007" w14:textId="6271FC0C"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-24.53 </m:t>
                </m:r>
              </m:oMath>
            </m:oMathPara>
          </w:p>
        </w:tc>
        <w:tc>
          <w:tcPr>
            <w:tcW w:w="1815" w:type="dxa"/>
            <w:tcBorders>
              <w:top w:val="nil"/>
              <w:left w:val="nil"/>
              <w:bottom w:val="nil"/>
              <w:right w:val="nil"/>
            </w:tcBorders>
            <w:shd w:val="clear" w:color="000000" w:fill="FFFFFF"/>
            <w:vAlign w:val="center"/>
          </w:tcPr>
          <w:p w14:paraId="79DB59A3" w14:textId="35B377F9"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-21.12 </m:t>
                </m:r>
              </m:oMath>
            </m:oMathPara>
          </w:p>
        </w:tc>
      </w:tr>
      <w:tr w:rsidR="00A33421" w:rsidRPr="009F1618" w14:paraId="6CF5B8BD" w14:textId="77777777" w:rsidTr="00DE2164">
        <w:trPr>
          <w:cantSplit/>
          <w:trHeight w:val="300"/>
        </w:trPr>
        <w:tc>
          <w:tcPr>
            <w:tcW w:w="1814" w:type="dxa"/>
            <w:tcBorders>
              <w:top w:val="nil"/>
              <w:left w:val="nil"/>
              <w:bottom w:val="nil"/>
              <w:right w:val="nil"/>
            </w:tcBorders>
            <w:shd w:val="clear" w:color="000000" w:fill="FFFFFF"/>
            <w:vAlign w:val="center"/>
            <w:hideMark/>
          </w:tcPr>
          <w:p w14:paraId="07C377CC"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6</w:t>
            </w:r>
          </w:p>
        </w:tc>
        <w:tc>
          <w:tcPr>
            <w:tcW w:w="1814" w:type="dxa"/>
            <w:tcBorders>
              <w:top w:val="nil"/>
              <w:left w:val="nil"/>
              <w:bottom w:val="nil"/>
              <w:right w:val="nil"/>
            </w:tcBorders>
            <w:shd w:val="clear" w:color="000000" w:fill="FFFFFF"/>
            <w:vAlign w:val="center"/>
            <w:hideMark/>
          </w:tcPr>
          <w:p w14:paraId="70D78F91" w14:textId="250BEABA"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-21.09 </m:t>
                </m:r>
              </m:oMath>
            </m:oMathPara>
          </w:p>
        </w:tc>
        <w:tc>
          <w:tcPr>
            <w:tcW w:w="1815" w:type="dxa"/>
            <w:tcBorders>
              <w:top w:val="nil"/>
              <w:left w:val="nil"/>
              <w:bottom w:val="nil"/>
              <w:right w:val="nil"/>
            </w:tcBorders>
            <w:shd w:val="clear" w:color="000000" w:fill="FFFFFF"/>
            <w:vAlign w:val="center"/>
          </w:tcPr>
          <w:p w14:paraId="18ABB24D" w14:textId="27DE93EE"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-25.76 </m:t>
                </m:r>
              </m:oMath>
            </m:oMathPara>
          </w:p>
        </w:tc>
        <w:tc>
          <w:tcPr>
            <w:tcW w:w="1814" w:type="dxa"/>
            <w:tcBorders>
              <w:top w:val="nil"/>
              <w:left w:val="nil"/>
              <w:bottom w:val="nil"/>
              <w:right w:val="nil"/>
            </w:tcBorders>
            <w:shd w:val="clear" w:color="000000" w:fill="FFFFFF"/>
            <w:vAlign w:val="center"/>
          </w:tcPr>
          <w:p w14:paraId="0DE3FAEF" w14:textId="51FE6A7A"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-24.45 </m:t>
                </m:r>
              </m:oMath>
            </m:oMathPara>
          </w:p>
        </w:tc>
        <w:tc>
          <w:tcPr>
            <w:tcW w:w="1815" w:type="dxa"/>
            <w:tcBorders>
              <w:top w:val="nil"/>
              <w:left w:val="nil"/>
              <w:bottom w:val="nil"/>
              <w:right w:val="nil"/>
            </w:tcBorders>
            <w:shd w:val="clear" w:color="000000" w:fill="FFFFFF"/>
            <w:vAlign w:val="center"/>
          </w:tcPr>
          <w:p w14:paraId="7E1E56D2" w14:textId="1DC93FC1"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-21.11 </m:t>
                </m:r>
              </m:oMath>
            </m:oMathPara>
          </w:p>
        </w:tc>
      </w:tr>
      <w:tr w:rsidR="00A33421" w:rsidRPr="009F1618" w14:paraId="6703D975" w14:textId="77777777" w:rsidTr="00DE2164">
        <w:trPr>
          <w:cantSplit/>
          <w:trHeight w:val="300"/>
        </w:trPr>
        <w:tc>
          <w:tcPr>
            <w:tcW w:w="1814" w:type="dxa"/>
            <w:tcBorders>
              <w:top w:val="nil"/>
              <w:left w:val="nil"/>
              <w:bottom w:val="nil"/>
              <w:right w:val="nil"/>
            </w:tcBorders>
            <w:shd w:val="clear" w:color="000000" w:fill="FFFFFF"/>
            <w:vAlign w:val="center"/>
            <w:hideMark/>
          </w:tcPr>
          <w:p w14:paraId="29BD0DA4"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7</w:t>
            </w:r>
          </w:p>
        </w:tc>
        <w:tc>
          <w:tcPr>
            <w:tcW w:w="1814" w:type="dxa"/>
            <w:tcBorders>
              <w:top w:val="nil"/>
              <w:left w:val="nil"/>
              <w:bottom w:val="nil"/>
              <w:right w:val="nil"/>
            </w:tcBorders>
            <w:shd w:val="clear" w:color="000000" w:fill="FFFFFF"/>
            <w:vAlign w:val="center"/>
            <w:hideMark/>
          </w:tcPr>
          <w:p w14:paraId="54C12478" w14:textId="14DECAC8"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-21.03 </m:t>
                </m:r>
              </m:oMath>
            </m:oMathPara>
          </w:p>
        </w:tc>
        <w:tc>
          <w:tcPr>
            <w:tcW w:w="1815" w:type="dxa"/>
            <w:tcBorders>
              <w:top w:val="nil"/>
              <w:left w:val="nil"/>
              <w:bottom w:val="nil"/>
              <w:right w:val="nil"/>
            </w:tcBorders>
            <w:shd w:val="clear" w:color="000000" w:fill="FFFFFF"/>
            <w:vAlign w:val="center"/>
          </w:tcPr>
          <w:p w14:paraId="10A0EBE9" w14:textId="5876B493"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-25.78 </m:t>
                </m:r>
              </m:oMath>
            </m:oMathPara>
          </w:p>
        </w:tc>
        <w:tc>
          <w:tcPr>
            <w:tcW w:w="1814" w:type="dxa"/>
            <w:tcBorders>
              <w:top w:val="nil"/>
              <w:left w:val="nil"/>
              <w:bottom w:val="nil"/>
              <w:right w:val="nil"/>
            </w:tcBorders>
            <w:shd w:val="clear" w:color="000000" w:fill="FFFFFF"/>
            <w:vAlign w:val="center"/>
          </w:tcPr>
          <w:p w14:paraId="0886F4BB" w14:textId="7AB479BD"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-24.44 </m:t>
                </m:r>
              </m:oMath>
            </m:oMathPara>
          </w:p>
        </w:tc>
        <w:tc>
          <w:tcPr>
            <w:tcW w:w="1815" w:type="dxa"/>
            <w:tcBorders>
              <w:top w:val="nil"/>
              <w:left w:val="nil"/>
              <w:bottom w:val="nil"/>
              <w:right w:val="nil"/>
            </w:tcBorders>
            <w:shd w:val="clear" w:color="000000" w:fill="FFFFFF"/>
            <w:vAlign w:val="center"/>
          </w:tcPr>
          <w:p w14:paraId="3C676E6B" w14:textId="3550BAEB"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-21.11 </m:t>
                </m:r>
              </m:oMath>
            </m:oMathPara>
          </w:p>
        </w:tc>
      </w:tr>
      <w:tr w:rsidR="00A33421" w:rsidRPr="009F1618" w14:paraId="48A49390" w14:textId="77777777" w:rsidTr="00DE2164">
        <w:trPr>
          <w:cantSplit/>
          <w:trHeight w:val="300"/>
        </w:trPr>
        <w:tc>
          <w:tcPr>
            <w:tcW w:w="1814" w:type="dxa"/>
            <w:tcBorders>
              <w:top w:val="nil"/>
              <w:left w:val="nil"/>
              <w:bottom w:val="nil"/>
              <w:right w:val="nil"/>
            </w:tcBorders>
            <w:shd w:val="clear" w:color="000000" w:fill="FFFFFF"/>
            <w:vAlign w:val="center"/>
            <w:hideMark/>
          </w:tcPr>
          <w:p w14:paraId="19BA4E80"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8</w:t>
            </w:r>
          </w:p>
        </w:tc>
        <w:tc>
          <w:tcPr>
            <w:tcW w:w="1814" w:type="dxa"/>
            <w:tcBorders>
              <w:top w:val="nil"/>
              <w:left w:val="nil"/>
              <w:bottom w:val="nil"/>
              <w:right w:val="nil"/>
            </w:tcBorders>
            <w:shd w:val="clear" w:color="000000" w:fill="FFFFFF"/>
            <w:vAlign w:val="center"/>
            <w:hideMark/>
          </w:tcPr>
          <w:p w14:paraId="1B6234AE" w14:textId="3581D933"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-20.99 </m:t>
                </m:r>
              </m:oMath>
            </m:oMathPara>
          </w:p>
        </w:tc>
        <w:tc>
          <w:tcPr>
            <w:tcW w:w="1815" w:type="dxa"/>
            <w:tcBorders>
              <w:top w:val="nil"/>
              <w:left w:val="nil"/>
              <w:bottom w:val="nil"/>
              <w:right w:val="nil"/>
            </w:tcBorders>
            <w:shd w:val="clear" w:color="000000" w:fill="FFFFFF"/>
            <w:vAlign w:val="center"/>
          </w:tcPr>
          <w:p w14:paraId="218BC92F" w14:textId="1E700686"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-25.58 </m:t>
                </m:r>
              </m:oMath>
            </m:oMathPara>
          </w:p>
        </w:tc>
        <w:tc>
          <w:tcPr>
            <w:tcW w:w="1814" w:type="dxa"/>
            <w:tcBorders>
              <w:top w:val="nil"/>
              <w:left w:val="nil"/>
              <w:bottom w:val="nil"/>
              <w:right w:val="nil"/>
            </w:tcBorders>
            <w:shd w:val="clear" w:color="000000" w:fill="FFFFFF"/>
            <w:vAlign w:val="center"/>
          </w:tcPr>
          <w:p w14:paraId="0AB1DEFA" w14:textId="117886BE"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-24.34 </m:t>
                </m:r>
              </m:oMath>
            </m:oMathPara>
          </w:p>
        </w:tc>
        <w:tc>
          <w:tcPr>
            <w:tcW w:w="1815" w:type="dxa"/>
            <w:tcBorders>
              <w:top w:val="nil"/>
              <w:left w:val="nil"/>
              <w:bottom w:val="nil"/>
              <w:right w:val="nil"/>
            </w:tcBorders>
            <w:shd w:val="clear" w:color="000000" w:fill="FFFFFF"/>
            <w:vAlign w:val="center"/>
          </w:tcPr>
          <w:p w14:paraId="64C3DA8F" w14:textId="00E04B70"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-21.10 </m:t>
                </m:r>
              </m:oMath>
            </m:oMathPara>
          </w:p>
        </w:tc>
      </w:tr>
      <w:tr w:rsidR="00A33421" w:rsidRPr="009F1618" w14:paraId="0BF79250" w14:textId="77777777" w:rsidTr="00DE2164">
        <w:trPr>
          <w:cantSplit/>
          <w:trHeight w:val="300"/>
        </w:trPr>
        <w:tc>
          <w:tcPr>
            <w:tcW w:w="1814" w:type="dxa"/>
            <w:tcBorders>
              <w:top w:val="nil"/>
              <w:left w:val="nil"/>
              <w:bottom w:val="nil"/>
              <w:right w:val="nil"/>
            </w:tcBorders>
            <w:shd w:val="clear" w:color="000000" w:fill="FFFFFF"/>
            <w:vAlign w:val="center"/>
            <w:hideMark/>
          </w:tcPr>
          <w:p w14:paraId="6CBDDF90"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9</w:t>
            </w:r>
          </w:p>
        </w:tc>
        <w:tc>
          <w:tcPr>
            <w:tcW w:w="1814" w:type="dxa"/>
            <w:tcBorders>
              <w:top w:val="nil"/>
              <w:left w:val="nil"/>
              <w:bottom w:val="nil"/>
              <w:right w:val="nil"/>
            </w:tcBorders>
            <w:shd w:val="clear" w:color="000000" w:fill="FFFFFF"/>
            <w:vAlign w:val="center"/>
            <w:hideMark/>
          </w:tcPr>
          <w:p w14:paraId="4B3698DD" w14:textId="03B29568"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-20.89 </m:t>
                </m:r>
              </m:oMath>
            </m:oMathPara>
          </w:p>
        </w:tc>
        <w:tc>
          <w:tcPr>
            <w:tcW w:w="1815" w:type="dxa"/>
            <w:tcBorders>
              <w:top w:val="nil"/>
              <w:left w:val="nil"/>
              <w:bottom w:val="nil"/>
              <w:right w:val="nil"/>
            </w:tcBorders>
            <w:shd w:val="clear" w:color="000000" w:fill="FFFFFF"/>
            <w:vAlign w:val="center"/>
          </w:tcPr>
          <w:p w14:paraId="08933260" w14:textId="7484B7E6"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-25.57 </m:t>
                </m:r>
              </m:oMath>
            </m:oMathPara>
          </w:p>
        </w:tc>
        <w:tc>
          <w:tcPr>
            <w:tcW w:w="1814" w:type="dxa"/>
            <w:tcBorders>
              <w:top w:val="nil"/>
              <w:left w:val="nil"/>
              <w:bottom w:val="nil"/>
              <w:right w:val="nil"/>
            </w:tcBorders>
            <w:shd w:val="clear" w:color="000000" w:fill="FFFFFF"/>
            <w:vAlign w:val="center"/>
          </w:tcPr>
          <w:p w14:paraId="1200496C" w14:textId="2AAA57ED"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-24.28 </m:t>
                </m:r>
              </m:oMath>
            </m:oMathPara>
          </w:p>
        </w:tc>
        <w:tc>
          <w:tcPr>
            <w:tcW w:w="1815" w:type="dxa"/>
            <w:tcBorders>
              <w:top w:val="nil"/>
              <w:left w:val="nil"/>
              <w:bottom w:val="nil"/>
              <w:right w:val="nil"/>
            </w:tcBorders>
            <w:shd w:val="clear" w:color="000000" w:fill="FFFFFF"/>
            <w:vAlign w:val="center"/>
          </w:tcPr>
          <w:p w14:paraId="300D5EB8" w14:textId="2E5E7423"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-20.98 </m:t>
                </m:r>
              </m:oMath>
            </m:oMathPara>
          </w:p>
        </w:tc>
      </w:tr>
      <w:tr w:rsidR="00A33421" w:rsidRPr="009F1618" w14:paraId="3FB1CAA3" w14:textId="77777777" w:rsidTr="00DE2164">
        <w:trPr>
          <w:cantSplit/>
          <w:trHeight w:val="300"/>
        </w:trPr>
        <w:tc>
          <w:tcPr>
            <w:tcW w:w="1814" w:type="dxa"/>
            <w:tcBorders>
              <w:top w:val="nil"/>
              <w:left w:val="nil"/>
              <w:bottom w:val="nil"/>
              <w:right w:val="nil"/>
            </w:tcBorders>
            <w:shd w:val="clear" w:color="000000" w:fill="FFFFFF"/>
            <w:vAlign w:val="center"/>
            <w:hideMark/>
          </w:tcPr>
          <w:p w14:paraId="33B4B5E5"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10</w:t>
            </w:r>
          </w:p>
        </w:tc>
        <w:tc>
          <w:tcPr>
            <w:tcW w:w="1814" w:type="dxa"/>
            <w:tcBorders>
              <w:top w:val="nil"/>
              <w:left w:val="nil"/>
              <w:bottom w:val="nil"/>
              <w:right w:val="nil"/>
            </w:tcBorders>
            <w:shd w:val="clear" w:color="000000" w:fill="FFFFFF"/>
            <w:vAlign w:val="center"/>
            <w:hideMark/>
          </w:tcPr>
          <w:p w14:paraId="36B2D9D3" w14:textId="39BCB8A9"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-20.84 </m:t>
                </m:r>
              </m:oMath>
            </m:oMathPara>
          </w:p>
        </w:tc>
        <w:tc>
          <w:tcPr>
            <w:tcW w:w="1815" w:type="dxa"/>
            <w:tcBorders>
              <w:top w:val="nil"/>
              <w:left w:val="nil"/>
              <w:bottom w:val="nil"/>
              <w:right w:val="nil"/>
            </w:tcBorders>
            <w:shd w:val="clear" w:color="000000" w:fill="FFFFFF"/>
            <w:vAlign w:val="center"/>
          </w:tcPr>
          <w:p w14:paraId="065B4002" w14:textId="396FD042"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-25.57 </m:t>
                </m:r>
              </m:oMath>
            </m:oMathPara>
          </w:p>
        </w:tc>
        <w:tc>
          <w:tcPr>
            <w:tcW w:w="1814" w:type="dxa"/>
            <w:tcBorders>
              <w:top w:val="nil"/>
              <w:left w:val="nil"/>
              <w:bottom w:val="nil"/>
              <w:right w:val="nil"/>
            </w:tcBorders>
            <w:shd w:val="clear" w:color="000000" w:fill="FFFFFF"/>
            <w:vAlign w:val="center"/>
          </w:tcPr>
          <w:p w14:paraId="75B343B9" w14:textId="49E02C28"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-24.24 </m:t>
                </m:r>
              </m:oMath>
            </m:oMathPara>
          </w:p>
        </w:tc>
        <w:tc>
          <w:tcPr>
            <w:tcW w:w="1815" w:type="dxa"/>
            <w:tcBorders>
              <w:top w:val="nil"/>
              <w:left w:val="nil"/>
              <w:bottom w:val="nil"/>
              <w:right w:val="nil"/>
            </w:tcBorders>
            <w:shd w:val="clear" w:color="000000" w:fill="FFFFFF"/>
            <w:vAlign w:val="center"/>
          </w:tcPr>
          <w:p w14:paraId="7939F67B" w14:textId="135486E6"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-20.97 </m:t>
                </m:r>
              </m:oMath>
            </m:oMathPara>
          </w:p>
        </w:tc>
      </w:tr>
      <w:tr w:rsidR="00A33421" w:rsidRPr="009F1618" w14:paraId="7AD5A293" w14:textId="77777777" w:rsidTr="00DE2164">
        <w:trPr>
          <w:cantSplit/>
          <w:trHeight w:val="300"/>
        </w:trPr>
        <w:tc>
          <w:tcPr>
            <w:tcW w:w="1814" w:type="dxa"/>
            <w:tcBorders>
              <w:top w:val="nil"/>
              <w:left w:val="nil"/>
              <w:bottom w:val="nil"/>
              <w:right w:val="nil"/>
            </w:tcBorders>
            <w:shd w:val="clear" w:color="000000" w:fill="FFFFFF"/>
            <w:vAlign w:val="center"/>
            <w:hideMark/>
          </w:tcPr>
          <w:p w14:paraId="22B7B618"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11</w:t>
            </w:r>
          </w:p>
        </w:tc>
        <w:tc>
          <w:tcPr>
            <w:tcW w:w="1814" w:type="dxa"/>
            <w:tcBorders>
              <w:top w:val="nil"/>
              <w:left w:val="nil"/>
              <w:bottom w:val="nil"/>
              <w:right w:val="nil"/>
            </w:tcBorders>
            <w:shd w:val="clear" w:color="000000" w:fill="FFFFFF"/>
            <w:vAlign w:val="center"/>
            <w:hideMark/>
          </w:tcPr>
          <w:p w14:paraId="7CD17940" w14:textId="541C3A0F"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-20.83 </m:t>
                </m:r>
              </m:oMath>
            </m:oMathPara>
          </w:p>
        </w:tc>
        <w:tc>
          <w:tcPr>
            <w:tcW w:w="1815" w:type="dxa"/>
            <w:tcBorders>
              <w:top w:val="nil"/>
              <w:left w:val="nil"/>
              <w:bottom w:val="nil"/>
              <w:right w:val="nil"/>
            </w:tcBorders>
            <w:shd w:val="clear" w:color="000000" w:fill="FFFFFF"/>
            <w:vAlign w:val="center"/>
          </w:tcPr>
          <w:p w14:paraId="0B2597D8" w14:textId="2CC2F90C"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-25.57 </m:t>
                </m:r>
              </m:oMath>
            </m:oMathPara>
          </w:p>
        </w:tc>
        <w:tc>
          <w:tcPr>
            <w:tcW w:w="1814" w:type="dxa"/>
            <w:tcBorders>
              <w:top w:val="nil"/>
              <w:left w:val="nil"/>
              <w:bottom w:val="nil"/>
              <w:right w:val="nil"/>
            </w:tcBorders>
            <w:shd w:val="clear" w:color="000000" w:fill="FFFFFF"/>
            <w:vAlign w:val="center"/>
          </w:tcPr>
          <w:p w14:paraId="3C3EFC3B" w14:textId="36A312A6"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-24.23 </m:t>
                </m:r>
              </m:oMath>
            </m:oMathPara>
          </w:p>
        </w:tc>
        <w:tc>
          <w:tcPr>
            <w:tcW w:w="1815" w:type="dxa"/>
            <w:tcBorders>
              <w:top w:val="nil"/>
              <w:left w:val="nil"/>
              <w:bottom w:val="nil"/>
              <w:right w:val="nil"/>
            </w:tcBorders>
            <w:shd w:val="clear" w:color="000000" w:fill="FFFFFF"/>
            <w:vAlign w:val="center"/>
          </w:tcPr>
          <w:p w14:paraId="575F3734" w14:textId="3C258521"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-20.98 </m:t>
                </m:r>
              </m:oMath>
            </m:oMathPara>
          </w:p>
        </w:tc>
      </w:tr>
      <w:tr w:rsidR="00A33421" w:rsidRPr="009F1618" w14:paraId="04FF6795" w14:textId="77777777" w:rsidTr="00DE2164">
        <w:trPr>
          <w:cantSplit/>
          <w:trHeight w:val="300"/>
        </w:trPr>
        <w:tc>
          <w:tcPr>
            <w:tcW w:w="1814" w:type="dxa"/>
            <w:tcBorders>
              <w:top w:val="nil"/>
              <w:left w:val="nil"/>
              <w:bottom w:val="double" w:sz="4" w:space="0" w:color="auto"/>
              <w:right w:val="nil"/>
            </w:tcBorders>
            <w:shd w:val="clear" w:color="000000" w:fill="FFFFFF"/>
            <w:vAlign w:val="center"/>
            <w:hideMark/>
          </w:tcPr>
          <w:p w14:paraId="70CAD5B0"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12</w:t>
            </w:r>
          </w:p>
        </w:tc>
        <w:tc>
          <w:tcPr>
            <w:tcW w:w="1814" w:type="dxa"/>
            <w:tcBorders>
              <w:top w:val="nil"/>
              <w:left w:val="nil"/>
              <w:bottom w:val="double" w:sz="4" w:space="0" w:color="auto"/>
              <w:right w:val="nil"/>
            </w:tcBorders>
            <w:shd w:val="clear" w:color="000000" w:fill="FFFFFF"/>
            <w:vAlign w:val="center"/>
            <w:hideMark/>
          </w:tcPr>
          <w:p w14:paraId="3074BD8B" w14:textId="01DF1F95"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-20.86 </m:t>
                </m:r>
              </m:oMath>
            </m:oMathPara>
          </w:p>
        </w:tc>
        <w:tc>
          <w:tcPr>
            <w:tcW w:w="1815" w:type="dxa"/>
            <w:tcBorders>
              <w:top w:val="nil"/>
              <w:left w:val="nil"/>
              <w:bottom w:val="double" w:sz="4" w:space="0" w:color="auto"/>
              <w:right w:val="nil"/>
            </w:tcBorders>
            <w:shd w:val="clear" w:color="000000" w:fill="FFFFFF"/>
            <w:vAlign w:val="center"/>
          </w:tcPr>
          <w:p w14:paraId="09985A09" w14:textId="58EC92AD"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-25.58 </m:t>
                </m:r>
              </m:oMath>
            </m:oMathPara>
          </w:p>
        </w:tc>
        <w:tc>
          <w:tcPr>
            <w:tcW w:w="1814" w:type="dxa"/>
            <w:tcBorders>
              <w:top w:val="nil"/>
              <w:left w:val="nil"/>
              <w:bottom w:val="double" w:sz="4" w:space="0" w:color="auto"/>
              <w:right w:val="nil"/>
            </w:tcBorders>
            <w:shd w:val="clear" w:color="000000" w:fill="FFFFFF"/>
            <w:vAlign w:val="center"/>
          </w:tcPr>
          <w:p w14:paraId="34C2CB42" w14:textId="18126EED"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-24.22 </m:t>
                </m:r>
              </m:oMath>
            </m:oMathPara>
          </w:p>
        </w:tc>
        <w:tc>
          <w:tcPr>
            <w:tcW w:w="1815" w:type="dxa"/>
            <w:tcBorders>
              <w:top w:val="nil"/>
              <w:left w:val="nil"/>
              <w:bottom w:val="double" w:sz="4" w:space="0" w:color="auto"/>
              <w:right w:val="nil"/>
            </w:tcBorders>
            <w:shd w:val="clear" w:color="000000" w:fill="FFFFFF"/>
            <w:vAlign w:val="center"/>
          </w:tcPr>
          <w:p w14:paraId="2FFC8176" w14:textId="66359038" w:rsidR="00A33421" w:rsidRPr="009F1618" w:rsidRDefault="00CA39E4" w:rsidP="009F1618">
            <w:pPr>
              <w:spacing w:after="0" w:line="240" w:lineRule="auto"/>
              <w:jc w:val="both"/>
              <w:rPr>
                <w:rFonts w:ascii="Calibri" w:eastAsia="Times New Roman" w:hAnsi="Calibri" w:cs="Calibri"/>
                <w:color w:val="000000"/>
                <w:kern w:val="0"/>
                <w:sz w:val="22"/>
                <w:szCs w:val="22"/>
                <w:lang w:eastAsia="en-AU"/>
                <w14:ligatures w14:val="none"/>
              </w:rPr>
            </w:pPr>
            <m:oMathPara>
              <m:oMath>
                <m:r>
                  <w:rPr>
                    <w:rFonts w:ascii="Cambria Math" w:eastAsia="Times New Roman" w:hAnsi="Cambria Math" w:cs="Calibri"/>
                    <w:color w:val="000000"/>
                    <w:kern w:val="0"/>
                    <w:sz w:val="22"/>
                    <w:szCs w:val="22"/>
                    <w:lang w:eastAsia="en-AU"/>
                    <w14:ligatures w14:val="none"/>
                  </w:rPr>
                  <m:t xml:space="preserve">-21.06 </m:t>
                </m:r>
              </m:oMath>
            </m:oMathPara>
          </w:p>
        </w:tc>
      </w:tr>
      <w:tr w:rsidR="00A33421" w:rsidRPr="009F1618" w14:paraId="76DA7D19" w14:textId="77777777" w:rsidTr="00DE2164">
        <w:trPr>
          <w:cantSplit/>
          <w:trHeight w:val="300"/>
        </w:trPr>
        <w:tc>
          <w:tcPr>
            <w:tcW w:w="9072" w:type="dxa"/>
            <w:gridSpan w:val="5"/>
            <w:tcBorders>
              <w:top w:val="double" w:sz="4" w:space="0" w:color="auto"/>
              <w:left w:val="nil"/>
              <w:right w:val="nil"/>
            </w:tcBorders>
            <w:shd w:val="clear" w:color="000000" w:fill="FFFFFF"/>
            <w:noWrap/>
            <w:vAlign w:val="center"/>
            <w:hideMark/>
          </w:tcPr>
          <w:p w14:paraId="117CABE0" w14:textId="77777777" w:rsidR="00A33421" w:rsidRPr="009F1618" w:rsidRDefault="00A33421" w:rsidP="009F1618">
            <w:pPr>
              <w:spacing w:after="0" w:line="240" w:lineRule="auto"/>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 </w:t>
            </w:r>
            <w:r w:rsidRPr="009F1618">
              <w:rPr>
                <w:rFonts w:ascii="Calibri" w:eastAsia="Times New Roman" w:hAnsi="Calibri" w:cs="Calibri"/>
                <w:i/>
                <w:iCs/>
                <w:color w:val="000000"/>
                <w:kern w:val="0"/>
                <w:sz w:val="22"/>
                <w:szCs w:val="22"/>
                <w:lang w:eastAsia="en-AU"/>
                <w14:ligatures w14:val="none"/>
              </w:rPr>
              <w:t>Minimum</w:t>
            </w:r>
          </w:p>
        </w:tc>
      </w:tr>
      <w:tr w:rsidR="00A33421" w:rsidRPr="009F1618" w14:paraId="783A435B" w14:textId="77777777" w:rsidTr="00DE2164">
        <w:trPr>
          <w:cantSplit/>
          <w:trHeight w:val="300"/>
        </w:trPr>
        <w:tc>
          <w:tcPr>
            <w:tcW w:w="9072" w:type="dxa"/>
            <w:gridSpan w:val="5"/>
            <w:tcBorders>
              <w:left w:val="nil"/>
              <w:bottom w:val="nil"/>
              <w:right w:val="nil"/>
            </w:tcBorders>
            <w:shd w:val="clear" w:color="000000" w:fill="FFFFFF"/>
            <w:noWrap/>
            <w:vAlign w:val="center"/>
          </w:tcPr>
          <w:p w14:paraId="6EE592B6" w14:textId="0BED43B4" w:rsidR="008049B4" w:rsidRPr="009F1618" w:rsidRDefault="008049B4" w:rsidP="009F1618">
            <w:pPr>
              <w:spacing w:after="0" w:line="240" w:lineRule="auto"/>
              <w:jc w:val="both"/>
              <w:rPr>
                <w:rFonts w:ascii="Calibri" w:eastAsia="Times New Roman" w:hAnsi="Calibri" w:cs="Calibri"/>
                <w:color w:val="000000"/>
                <w:kern w:val="0"/>
                <w:sz w:val="22"/>
                <w:szCs w:val="22"/>
                <w:lang w:eastAsia="en-AU"/>
                <w14:ligatures w14:val="none"/>
              </w:rPr>
            </w:pPr>
          </w:p>
        </w:tc>
      </w:tr>
    </w:tbl>
    <w:tbl>
      <w:tblPr>
        <w:tblStyle w:val="TableGrid"/>
        <w:tblW w:w="9072" w:type="dxa"/>
        <w:tblLook w:val="04A0" w:firstRow="1" w:lastRow="0" w:firstColumn="1" w:lastColumn="0" w:noHBand="0" w:noVBand="1"/>
      </w:tblPr>
      <w:tblGrid>
        <w:gridCol w:w="2268"/>
        <w:gridCol w:w="2268"/>
        <w:gridCol w:w="2268"/>
        <w:gridCol w:w="2268"/>
      </w:tblGrid>
      <w:tr w:rsidR="00DA26B9" w:rsidRPr="009F1618" w14:paraId="130E93BD" w14:textId="77777777" w:rsidTr="0096146E">
        <w:trPr>
          <w:cantSplit/>
          <w:trHeight w:val="210"/>
        </w:trPr>
        <w:tc>
          <w:tcPr>
            <w:tcW w:w="9072" w:type="dxa"/>
            <w:gridSpan w:val="4"/>
            <w:tcBorders>
              <w:top w:val="nil"/>
              <w:left w:val="nil"/>
              <w:bottom w:val="double" w:sz="4" w:space="0" w:color="auto"/>
              <w:right w:val="nil"/>
            </w:tcBorders>
            <w:vAlign w:val="center"/>
          </w:tcPr>
          <w:p w14:paraId="6EBA2BE7" w14:textId="78DE1230" w:rsidR="0096146E" w:rsidRPr="009F1618" w:rsidRDefault="0096146E" w:rsidP="009F1618">
            <w:pPr>
              <w:jc w:val="both"/>
              <w:rPr>
                <w:rFonts w:ascii="Calibri" w:eastAsia="Times New Roman" w:hAnsi="Calibri" w:cs="Calibri"/>
                <w:sz w:val="22"/>
                <w:szCs w:val="22"/>
              </w:rPr>
            </w:pPr>
            <w:r w:rsidRPr="009F1618">
              <w:rPr>
                <w:rFonts w:ascii="Calibri" w:eastAsia="Times New Roman" w:hAnsi="Calibri" w:cs="Calibri"/>
                <w:b/>
                <w:bCs/>
                <w:sz w:val="22"/>
                <w:szCs w:val="22"/>
              </w:rPr>
              <w:t xml:space="preserve">Table </w:t>
            </w:r>
            <w:r w:rsidR="00036204" w:rsidRPr="009F1618">
              <w:rPr>
                <w:rFonts w:ascii="Calibri" w:eastAsia="Times New Roman" w:hAnsi="Calibri" w:cs="Calibri"/>
                <w:b/>
                <w:bCs/>
                <w:sz w:val="22"/>
                <w:szCs w:val="22"/>
              </w:rPr>
              <w:t>3</w:t>
            </w:r>
            <w:r w:rsidR="005F43D6">
              <w:rPr>
                <w:rFonts w:ascii="Calibri" w:eastAsia="Times New Roman" w:hAnsi="Calibri" w:cs="Calibri"/>
                <w:b/>
                <w:bCs/>
                <w:sz w:val="22"/>
                <w:szCs w:val="22"/>
              </w:rPr>
              <w:t>.</w:t>
            </w:r>
            <w:r w:rsidRPr="009F1618">
              <w:rPr>
                <w:rFonts w:ascii="Calibri" w:eastAsia="Times New Roman" w:hAnsi="Calibri" w:cs="Calibri"/>
                <w:sz w:val="22"/>
                <w:szCs w:val="22"/>
              </w:rPr>
              <w:t xml:space="preserve"> Summary of rank tests on matrix </w:t>
            </w:r>
            <m:oMath>
              <m:r>
                <m:rPr>
                  <m:sty m:val="p"/>
                </m:rPr>
                <w:rPr>
                  <w:rFonts w:ascii="Cambria Math" w:eastAsia="Times New Roman" w:hAnsi="Cambria Math" w:cs="Calibri"/>
                  <w:sz w:val="22"/>
                  <w:szCs w:val="22"/>
                </w:rPr>
                <m:t>Π</m:t>
              </m:r>
            </m:oMath>
            <w:r w:rsidRPr="009F1618">
              <w:rPr>
                <w:rFonts w:ascii="Calibri" w:eastAsia="Times New Roman" w:hAnsi="Calibri" w:cs="Calibri"/>
                <w:sz w:val="22"/>
                <w:szCs w:val="22"/>
              </w:rPr>
              <w:t xml:space="preserve"> of the error correction model</w:t>
            </w:r>
          </w:p>
          <w:p w14:paraId="3D48205E" w14:textId="3C2DA23A" w:rsidR="0096146E" w:rsidRPr="009F1618" w:rsidRDefault="0096146E" w:rsidP="009F1618">
            <w:pPr>
              <w:jc w:val="both"/>
              <w:rPr>
                <w:rFonts w:ascii="Calibri" w:eastAsia="Times New Roman" w:hAnsi="Calibri" w:cs="Calibri"/>
                <w:sz w:val="22"/>
                <w:szCs w:val="22"/>
              </w:rPr>
            </w:pPr>
          </w:p>
        </w:tc>
      </w:tr>
      <w:tr w:rsidR="00DA26B9" w:rsidRPr="009F1618" w14:paraId="15C31088" w14:textId="77777777" w:rsidTr="0096146E">
        <w:trPr>
          <w:cantSplit/>
          <w:trHeight w:val="210"/>
        </w:trPr>
        <w:tc>
          <w:tcPr>
            <w:tcW w:w="9072" w:type="dxa"/>
            <w:gridSpan w:val="4"/>
            <w:tcBorders>
              <w:top w:val="double" w:sz="4" w:space="0" w:color="auto"/>
              <w:left w:val="nil"/>
              <w:bottom w:val="single" w:sz="4" w:space="0" w:color="auto"/>
              <w:right w:val="nil"/>
            </w:tcBorders>
            <w:vAlign w:val="center"/>
          </w:tcPr>
          <w:p w14:paraId="1C1CBE73" w14:textId="77777777" w:rsidR="00187E7B" w:rsidRPr="009F1618" w:rsidRDefault="00187E7B" w:rsidP="009F1618">
            <w:pPr>
              <w:jc w:val="both"/>
              <w:rPr>
                <w:rFonts w:ascii="Calibri" w:eastAsia="Times New Roman" w:hAnsi="Calibri" w:cs="Calibri"/>
                <w:sz w:val="22"/>
                <w:szCs w:val="22"/>
              </w:rPr>
            </w:pPr>
            <w:r w:rsidRPr="009F1618">
              <w:rPr>
                <w:rFonts w:ascii="Calibri" w:eastAsia="Times New Roman" w:hAnsi="Calibri" w:cs="Calibri"/>
                <w:sz w:val="22"/>
                <w:szCs w:val="22"/>
              </w:rPr>
              <w:t>Butter</w:t>
            </w:r>
          </w:p>
        </w:tc>
      </w:tr>
      <w:tr w:rsidR="00DA26B9" w:rsidRPr="009F1618" w14:paraId="41D04A04" w14:textId="77777777" w:rsidTr="002166FB">
        <w:trPr>
          <w:cantSplit/>
          <w:trHeight w:val="312"/>
        </w:trPr>
        <w:tc>
          <w:tcPr>
            <w:tcW w:w="2268" w:type="dxa"/>
            <w:tcBorders>
              <w:top w:val="single" w:sz="4" w:space="0" w:color="auto"/>
              <w:left w:val="nil"/>
              <w:bottom w:val="single" w:sz="4" w:space="0" w:color="auto"/>
              <w:right w:val="nil"/>
            </w:tcBorders>
            <w:vAlign w:val="center"/>
          </w:tcPr>
          <w:p w14:paraId="775DE135" w14:textId="77777777" w:rsidR="00187E7B" w:rsidRPr="009F1618" w:rsidRDefault="00187E7B" w:rsidP="009F1618">
            <w:pPr>
              <w:jc w:val="both"/>
              <w:rPr>
                <w:rFonts w:ascii="Calibri" w:hAnsi="Calibri" w:cs="Calibri"/>
                <w:sz w:val="22"/>
                <w:szCs w:val="22"/>
              </w:rPr>
            </w:pPr>
          </w:p>
        </w:tc>
        <w:tc>
          <w:tcPr>
            <w:tcW w:w="2268" w:type="dxa"/>
            <w:tcBorders>
              <w:top w:val="single" w:sz="4" w:space="0" w:color="auto"/>
              <w:left w:val="nil"/>
              <w:bottom w:val="single" w:sz="4" w:space="0" w:color="auto"/>
              <w:right w:val="nil"/>
            </w:tcBorders>
            <w:vAlign w:val="center"/>
          </w:tcPr>
          <w:p w14:paraId="6795AA1C" w14:textId="77777777" w:rsidR="00187E7B" w:rsidRPr="009F1618" w:rsidRDefault="00187E7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 xml:space="preserve">Estimated </w:t>
            </w:r>
            <m:oMath>
              <m:r>
                <w:rPr>
                  <w:rFonts w:ascii="Cambria Math" w:hAnsi="Cambria Math" w:cs="Calibri"/>
                  <w:sz w:val="22"/>
                  <w:szCs w:val="22"/>
                </w:rPr>
                <m:t>λ</m:t>
              </m:r>
            </m:oMath>
          </w:p>
        </w:tc>
        <w:tc>
          <w:tcPr>
            <w:tcW w:w="2268" w:type="dxa"/>
            <w:tcBorders>
              <w:top w:val="single" w:sz="4" w:space="0" w:color="auto"/>
              <w:left w:val="nil"/>
              <w:bottom w:val="single" w:sz="4" w:space="0" w:color="auto"/>
              <w:right w:val="nil"/>
            </w:tcBorders>
            <w:vAlign w:val="center"/>
          </w:tcPr>
          <w:p w14:paraId="73ABD7C0" w14:textId="77777777" w:rsidR="00187E7B" w:rsidRPr="009F1618" w:rsidRDefault="00E1356D" w:rsidP="009F1618">
            <w:pPr>
              <w:jc w:val="both"/>
              <w:rPr>
                <w:rFonts w:ascii="Calibri" w:eastAsiaTheme="minorEastAsia"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λ</m:t>
                    </m:r>
                  </m:e>
                  <m:sub>
                    <m:r>
                      <w:rPr>
                        <w:rFonts w:ascii="Cambria Math" w:hAnsi="Cambria Math" w:cs="Calibri"/>
                        <w:sz w:val="22"/>
                        <w:szCs w:val="22"/>
                      </w:rPr>
                      <m:t>max</m:t>
                    </m:r>
                  </m:sub>
                </m:sSub>
              </m:oMath>
            </m:oMathPara>
          </w:p>
        </w:tc>
        <w:tc>
          <w:tcPr>
            <w:tcW w:w="2268" w:type="dxa"/>
            <w:tcBorders>
              <w:top w:val="single" w:sz="4" w:space="0" w:color="auto"/>
              <w:left w:val="nil"/>
              <w:bottom w:val="single" w:sz="4" w:space="0" w:color="auto"/>
              <w:right w:val="nil"/>
            </w:tcBorders>
            <w:vAlign w:val="center"/>
          </w:tcPr>
          <w:p w14:paraId="2280C9F4" w14:textId="77777777" w:rsidR="00187E7B" w:rsidRPr="009F1618" w:rsidRDefault="00E1356D" w:rsidP="009F1618">
            <w:pPr>
              <w:jc w:val="both"/>
              <w:rPr>
                <w:rFonts w:ascii="Calibri" w:eastAsiaTheme="minorEastAsia"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λ</m:t>
                    </m:r>
                  </m:e>
                  <m:sub>
                    <m:r>
                      <w:rPr>
                        <w:rFonts w:ascii="Cambria Math" w:hAnsi="Cambria Math" w:cs="Calibri"/>
                        <w:sz w:val="22"/>
                        <w:szCs w:val="22"/>
                      </w:rPr>
                      <m:t>trace</m:t>
                    </m:r>
                  </m:sub>
                </m:sSub>
              </m:oMath>
            </m:oMathPara>
          </w:p>
        </w:tc>
      </w:tr>
      <w:tr w:rsidR="00DA26B9" w:rsidRPr="009F1618" w14:paraId="1708121F" w14:textId="77777777" w:rsidTr="002166FB">
        <w:trPr>
          <w:cantSplit/>
          <w:trHeight w:val="422"/>
        </w:trPr>
        <w:tc>
          <w:tcPr>
            <w:tcW w:w="9072" w:type="dxa"/>
            <w:gridSpan w:val="4"/>
            <w:tcBorders>
              <w:top w:val="single" w:sz="4" w:space="0" w:color="auto"/>
              <w:left w:val="nil"/>
              <w:bottom w:val="nil"/>
              <w:right w:val="nil"/>
            </w:tcBorders>
            <w:vAlign w:val="center"/>
          </w:tcPr>
          <w:p w14:paraId="6EB45404" w14:textId="7753F7A7" w:rsidR="00187E7B" w:rsidRPr="009F1618" w:rsidRDefault="00187E7B" w:rsidP="009F1618">
            <w:pPr>
              <w:jc w:val="both"/>
              <w:rPr>
                <w:rFonts w:ascii="Calibri" w:hAnsi="Calibri" w:cs="Calibri"/>
                <w:sz w:val="22"/>
                <w:szCs w:val="22"/>
              </w:rPr>
            </w:pPr>
            <w:r w:rsidRPr="009F1618">
              <w:rPr>
                <w:rFonts w:ascii="Calibri" w:hAnsi="Calibri" w:cs="Calibri"/>
                <w:sz w:val="22"/>
                <w:szCs w:val="22"/>
              </w:rPr>
              <w:t xml:space="preserve">Model A </w:t>
            </w:r>
            <w:r w:rsidR="00AA6025" w:rsidRPr="009F1618">
              <w:rPr>
                <w:rFonts w:ascii="Calibri" w:hAnsi="Calibri" w:cs="Calibri"/>
                <w:sz w:val="22"/>
                <w:szCs w:val="22"/>
              </w:rPr>
              <w:t>with</w:t>
            </w:r>
            <w:r w:rsidRPr="009F1618">
              <w:rPr>
                <w:rFonts w:ascii="Calibri" w:hAnsi="Calibri" w:cs="Calibri"/>
                <w:sz w:val="22"/>
                <w:szCs w:val="22"/>
              </w:rPr>
              <w:t xml:space="preserve"> a </w:t>
            </w:r>
            <w:r w:rsidR="00A94679" w:rsidRPr="009F1618">
              <w:rPr>
                <w:rFonts w:ascii="Calibri" w:hAnsi="Calibri" w:cs="Calibri"/>
                <w:sz w:val="22"/>
                <w:szCs w:val="22"/>
              </w:rPr>
              <w:t>linear trend in cointegration</w:t>
            </w:r>
            <w:r w:rsidRPr="009F1618">
              <w:rPr>
                <w:rFonts w:ascii="Calibri" w:hAnsi="Calibri" w:cs="Calibri"/>
                <w:sz w:val="22"/>
                <w:szCs w:val="22"/>
              </w:rPr>
              <w:t xml:space="preserve">, </w:t>
            </w:r>
            <m:oMath>
              <m:r>
                <w:rPr>
                  <w:rFonts w:ascii="Cambria Math" w:hAnsi="Cambria Math" w:cs="Calibri"/>
                  <w:sz w:val="22"/>
                  <w:szCs w:val="22"/>
                </w:rPr>
                <m:t>r=1</m:t>
              </m:r>
            </m:oMath>
          </w:p>
        </w:tc>
      </w:tr>
      <w:tr w:rsidR="00DA26B9" w:rsidRPr="009F1618" w14:paraId="51B48A00" w14:textId="77777777" w:rsidTr="002166FB">
        <w:trPr>
          <w:cantSplit/>
          <w:trHeight w:val="352"/>
        </w:trPr>
        <w:tc>
          <w:tcPr>
            <w:tcW w:w="2268" w:type="dxa"/>
            <w:tcBorders>
              <w:top w:val="nil"/>
              <w:left w:val="nil"/>
              <w:bottom w:val="nil"/>
              <w:right w:val="nil"/>
            </w:tcBorders>
            <w:vAlign w:val="center"/>
          </w:tcPr>
          <w:p w14:paraId="2BABDBB2" w14:textId="29ECF993" w:rsidR="00187E7B" w:rsidRPr="009F1618" w:rsidRDefault="00381444" w:rsidP="009F1618">
            <w:pPr>
              <w:jc w:val="both"/>
              <w:rPr>
                <w:rFonts w:ascii="Calibri" w:eastAsiaTheme="minorEastAsia" w:hAnsi="Calibri" w:cs="Calibri"/>
                <w:sz w:val="22"/>
                <w:szCs w:val="22"/>
              </w:rPr>
            </w:pPr>
            <m:oMathPara>
              <m:oMathParaPr>
                <m:jc m:val="left"/>
              </m:oMathParaPr>
              <m:oMath>
                <m:r>
                  <w:rPr>
                    <w:rFonts w:ascii="Cambria Math" w:hAnsi="Cambria Math" w:cs="Calibri"/>
                    <w:sz w:val="22"/>
                    <w:szCs w:val="22"/>
                  </w:rPr>
                  <m:t>r=0</m:t>
                </m:r>
              </m:oMath>
            </m:oMathPara>
          </w:p>
        </w:tc>
        <w:tc>
          <w:tcPr>
            <w:tcW w:w="2268" w:type="dxa"/>
            <w:tcBorders>
              <w:top w:val="nil"/>
              <w:left w:val="nil"/>
              <w:bottom w:val="nil"/>
              <w:right w:val="nil"/>
            </w:tcBorders>
            <w:vAlign w:val="center"/>
          </w:tcPr>
          <w:p w14:paraId="7B180A7C" w14:textId="65A5B3C4"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0.186</m:t>
                </m:r>
              </m:oMath>
            </m:oMathPara>
          </w:p>
        </w:tc>
        <w:tc>
          <w:tcPr>
            <w:tcW w:w="2268" w:type="dxa"/>
            <w:tcBorders>
              <w:top w:val="nil"/>
              <w:left w:val="nil"/>
              <w:bottom w:val="nil"/>
              <w:right w:val="nil"/>
            </w:tcBorders>
            <w:vAlign w:val="center"/>
          </w:tcPr>
          <w:p w14:paraId="64573A8B" w14:textId="20EE4AAF" w:rsidR="00187E7B" w:rsidRPr="009F1618" w:rsidRDefault="00DB12CC" w:rsidP="009F1618">
            <w:pPr>
              <w:jc w:val="both"/>
              <w:rPr>
                <w:rFonts w:ascii="Cambria Math" w:hAnsi="Cambria Math" w:cs="Calibri"/>
                <w:sz w:val="22"/>
                <w:szCs w:val="22"/>
                <w:oMath/>
              </w:rPr>
            </w:pPr>
            <m:oMathPara>
              <m:oMath>
                <m:r>
                  <w:rPr>
                    <w:rFonts w:ascii="Cambria Math" w:hAnsi="Cambria Math" w:cs="Calibri"/>
                    <w:sz w:val="22"/>
                    <w:szCs w:val="22"/>
                  </w:rPr>
                  <m:t>50.23</m:t>
                </m:r>
              </m:oMath>
            </m:oMathPara>
          </w:p>
          <w:p w14:paraId="016DDE50" w14:textId="70B3E54D"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(36.65)</m:t>
                </m:r>
              </m:oMath>
            </m:oMathPara>
          </w:p>
        </w:tc>
        <w:tc>
          <w:tcPr>
            <w:tcW w:w="2268" w:type="dxa"/>
            <w:tcBorders>
              <w:top w:val="nil"/>
              <w:left w:val="nil"/>
              <w:bottom w:val="nil"/>
              <w:right w:val="nil"/>
            </w:tcBorders>
            <w:vAlign w:val="center"/>
          </w:tcPr>
          <w:p w14:paraId="6EF6412E" w14:textId="4070B0FC" w:rsidR="00187E7B"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85.22</m:t>
                </m:r>
              </m:oMath>
            </m:oMathPara>
          </w:p>
          <w:p w14:paraId="782F82A9" w14:textId="3E4290AF"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(70.05)</m:t>
                </m:r>
              </m:oMath>
            </m:oMathPara>
          </w:p>
        </w:tc>
      </w:tr>
      <w:tr w:rsidR="00DA26B9" w:rsidRPr="009F1618" w14:paraId="7B1655CD" w14:textId="77777777" w:rsidTr="002166FB">
        <w:trPr>
          <w:cantSplit/>
          <w:trHeight w:val="352"/>
        </w:trPr>
        <w:tc>
          <w:tcPr>
            <w:tcW w:w="2268" w:type="dxa"/>
            <w:tcBorders>
              <w:top w:val="nil"/>
              <w:left w:val="nil"/>
              <w:bottom w:val="nil"/>
              <w:right w:val="nil"/>
            </w:tcBorders>
            <w:vAlign w:val="center"/>
          </w:tcPr>
          <w:p w14:paraId="161EFE8A" w14:textId="065BB62D" w:rsidR="00187E7B" w:rsidRPr="009F1618" w:rsidRDefault="00EB1FBC" w:rsidP="009F1618">
            <w:pPr>
              <w:jc w:val="both"/>
              <w:rPr>
                <w:rFonts w:ascii="Calibri" w:hAnsi="Calibri" w:cs="Calibri"/>
                <w:sz w:val="22"/>
                <w:szCs w:val="22"/>
              </w:rPr>
            </w:pPr>
            <m:oMathPara>
              <m:oMathParaPr>
                <m:jc m:val="left"/>
              </m:oMathParaPr>
              <m:oMath>
                <m:r>
                  <w:rPr>
                    <w:rFonts w:ascii="Cambria Math" w:hAnsi="Cambria Math" w:cs="Calibri"/>
                    <w:sz w:val="22"/>
                    <w:szCs w:val="22"/>
                  </w:rPr>
                  <m:t>r≤1</m:t>
                </m:r>
              </m:oMath>
            </m:oMathPara>
          </w:p>
        </w:tc>
        <w:tc>
          <w:tcPr>
            <w:tcW w:w="2268" w:type="dxa"/>
            <w:tcBorders>
              <w:top w:val="nil"/>
              <w:left w:val="nil"/>
              <w:bottom w:val="nil"/>
              <w:right w:val="nil"/>
            </w:tcBorders>
            <w:vAlign w:val="center"/>
          </w:tcPr>
          <w:p w14:paraId="3E17B41F" w14:textId="4F34BC6A"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0.072</m:t>
                </m:r>
              </m:oMath>
            </m:oMathPara>
          </w:p>
        </w:tc>
        <w:tc>
          <w:tcPr>
            <w:tcW w:w="2268" w:type="dxa"/>
            <w:tcBorders>
              <w:top w:val="nil"/>
              <w:left w:val="nil"/>
              <w:bottom w:val="nil"/>
              <w:right w:val="nil"/>
            </w:tcBorders>
            <w:vAlign w:val="center"/>
          </w:tcPr>
          <w:p w14:paraId="2E65E7BF" w14:textId="1AB55AF3" w:rsidR="00187E7B"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18.12</m:t>
                </m:r>
              </m:oMath>
            </m:oMathPara>
          </w:p>
          <w:p w14:paraId="1678661A" w14:textId="3A6ED9CB"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(30.34)</m:t>
                </m:r>
              </m:oMath>
            </m:oMathPara>
          </w:p>
        </w:tc>
        <w:tc>
          <w:tcPr>
            <w:tcW w:w="2268" w:type="dxa"/>
            <w:tcBorders>
              <w:top w:val="nil"/>
              <w:left w:val="nil"/>
              <w:bottom w:val="nil"/>
              <w:right w:val="nil"/>
            </w:tcBorders>
            <w:vAlign w:val="center"/>
          </w:tcPr>
          <w:p w14:paraId="23F1B383" w14:textId="49A61F75" w:rsidR="00187E7B"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34.99</m:t>
                </m:r>
              </m:oMath>
            </m:oMathPara>
          </w:p>
          <w:p w14:paraId="0A8067AF" w14:textId="051195C3"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(48.45)</m:t>
                </m:r>
              </m:oMath>
            </m:oMathPara>
          </w:p>
        </w:tc>
      </w:tr>
      <w:tr w:rsidR="00DA26B9" w:rsidRPr="009F1618" w14:paraId="1C7A3014" w14:textId="77777777" w:rsidTr="002166FB">
        <w:trPr>
          <w:cantSplit/>
          <w:trHeight w:val="369"/>
        </w:trPr>
        <w:tc>
          <w:tcPr>
            <w:tcW w:w="2268" w:type="dxa"/>
            <w:tcBorders>
              <w:top w:val="nil"/>
              <w:left w:val="nil"/>
              <w:bottom w:val="nil"/>
              <w:right w:val="nil"/>
            </w:tcBorders>
            <w:vAlign w:val="center"/>
          </w:tcPr>
          <w:p w14:paraId="22E68047" w14:textId="0C850BB6" w:rsidR="00187E7B" w:rsidRPr="009F1618" w:rsidRDefault="00EB1FBC" w:rsidP="009F1618">
            <w:pPr>
              <w:jc w:val="both"/>
              <w:rPr>
                <w:rFonts w:ascii="Calibri" w:hAnsi="Calibri" w:cs="Calibri"/>
                <w:sz w:val="22"/>
                <w:szCs w:val="22"/>
              </w:rPr>
            </w:pPr>
            <m:oMathPara>
              <m:oMathParaPr>
                <m:jc m:val="left"/>
              </m:oMathParaPr>
              <m:oMath>
                <m:r>
                  <w:rPr>
                    <w:rFonts w:ascii="Cambria Math" w:hAnsi="Cambria Math" w:cs="Calibri"/>
                    <w:sz w:val="22"/>
                    <w:szCs w:val="22"/>
                  </w:rPr>
                  <m:t>r≤2</m:t>
                </m:r>
              </m:oMath>
            </m:oMathPara>
          </w:p>
        </w:tc>
        <w:tc>
          <w:tcPr>
            <w:tcW w:w="2268" w:type="dxa"/>
            <w:tcBorders>
              <w:top w:val="nil"/>
              <w:left w:val="nil"/>
              <w:bottom w:val="nil"/>
              <w:right w:val="nil"/>
            </w:tcBorders>
            <w:vAlign w:val="center"/>
          </w:tcPr>
          <w:p w14:paraId="7FD3DF5B" w14:textId="53334DB5"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0.040</m:t>
                </m:r>
              </m:oMath>
            </m:oMathPara>
          </w:p>
        </w:tc>
        <w:tc>
          <w:tcPr>
            <w:tcW w:w="2268" w:type="dxa"/>
            <w:tcBorders>
              <w:top w:val="nil"/>
              <w:left w:val="nil"/>
              <w:bottom w:val="nil"/>
              <w:right w:val="nil"/>
            </w:tcBorders>
            <w:vAlign w:val="center"/>
          </w:tcPr>
          <w:p w14:paraId="7E2CB5C5" w14:textId="72390C24" w:rsidR="00187E7B"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9.</m:t>
                </m:r>
                <m:r>
                  <w:rPr>
                    <w:rFonts w:ascii="Cambria Math" w:eastAsiaTheme="minorEastAsia" w:hAnsi="Cambria Math" w:cs="Calibri"/>
                    <w:sz w:val="22"/>
                    <w:szCs w:val="22"/>
                  </w:rPr>
                  <m:t>89</m:t>
                </m:r>
              </m:oMath>
            </m:oMathPara>
          </w:p>
          <w:p w14:paraId="14462F65" w14:textId="1193B6CB"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(23.65)</m:t>
                </m:r>
              </m:oMath>
            </m:oMathPara>
          </w:p>
        </w:tc>
        <w:tc>
          <w:tcPr>
            <w:tcW w:w="2268" w:type="dxa"/>
            <w:tcBorders>
              <w:top w:val="nil"/>
              <w:left w:val="nil"/>
              <w:bottom w:val="nil"/>
              <w:right w:val="nil"/>
            </w:tcBorders>
            <w:vAlign w:val="center"/>
          </w:tcPr>
          <w:p w14:paraId="6394EDA9" w14:textId="6AD84B02" w:rsidR="00187E7B"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16.87</m:t>
                </m:r>
              </m:oMath>
            </m:oMathPara>
          </w:p>
          <w:p w14:paraId="636E6088" w14:textId="06C26D96"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(30.45)</m:t>
                </m:r>
              </m:oMath>
            </m:oMathPara>
          </w:p>
        </w:tc>
      </w:tr>
      <w:tr w:rsidR="00DA26B9" w:rsidRPr="009F1618" w14:paraId="17E2A333" w14:textId="77777777" w:rsidTr="002166FB">
        <w:trPr>
          <w:cantSplit/>
          <w:trHeight w:val="369"/>
        </w:trPr>
        <w:tc>
          <w:tcPr>
            <w:tcW w:w="2268" w:type="dxa"/>
            <w:tcBorders>
              <w:top w:val="nil"/>
              <w:left w:val="nil"/>
              <w:bottom w:val="nil"/>
              <w:right w:val="nil"/>
            </w:tcBorders>
            <w:vAlign w:val="center"/>
          </w:tcPr>
          <w:p w14:paraId="16932D9C" w14:textId="1734BBEF" w:rsidR="00187E7B"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r≤3</m:t>
                </m:r>
              </m:oMath>
            </m:oMathPara>
          </w:p>
        </w:tc>
        <w:tc>
          <w:tcPr>
            <w:tcW w:w="2268" w:type="dxa"/>
            <w:tcBorders>
              <w:top w:val="nil"/>
              <w:left w:val="nil"/>
              <w:bottom w:val="nil"/>
              <w:right w:val="nil"/>
            </w:tcBorders>
            <w:vAlign w:val="center"/>
          </w:tcPr>
          <w:p w14:paraId="274971F2" w14:textId="6F48B802"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0.028</m:t>
                </m:r>
              </m:oMath>
            </m:oMathPara>
          </w:p>
        </w:tc>
        <w:tc>
          <w:tcPr>
            <w:tcW w:w="2268" w:type="dxa"/>
            <w:tcBorders>
              <w:top w:val="nil"/>
              <w:left w:val="nil"/>
              <w:bottom w:val="nil"/>
              <w:right w:val="nil"/>
            </w:tcBorders>
            <w:vAlign w:val="center"/>
          </w:tcPr>
          <w:p w14:paraId="47A51433" w14:textId="6BF2CFA8" w:rsidR="00187E7B" w:rsidRPr="009F1618" w:rsidRDefault="00A70C3F" w:rsidP="009F1618">
            <w:pPr>
              <w:jc w:val="both"/>
              <w:rPr>
                <w:rFonts w:ascii="Cambria Math" w:hAnsi="Cambria Math" w:cs="Calibri"/>
                <w:sz w:val="22"/>
                <w:szCs w:val="22"/>
                <w:oMath/>
              </w:rPr>
            </w:pPr>
            <m:oMathPara>
              <m:oMath>
                <m:r>
                  <w:rPr>
                    <w:rFonts w:ascii="Cambria Math" w:eastAsiaTheme="minorEastAsia" w:hAnsi="Cambria Math" w:cs="Calibri"/>
                    <w:sz w:val="22"/>
                    <w:szCs w:val="22"/>
                  </w:rPr>
                  <m:t>6.98</m:t>
                </m:r>
              </m:oMath>
            </m:oMathPara>
          </w:p>
          <w:p w14:paraId="2304C6B7" w14:textId="5D155AC3"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(16.26)</m:t>
                </m:r>
              </m:oMath>
            </m:oMathPara>
          </w:p>
        </w:tc>
        <w:tc>
          <w:tcPr>
            <w:tcW w:w="2268" w:type="dxa"/>
            <w:tcBorders>
              <w:top w:val="nil"/>
              <w:left w:val="nil"/>
              <w:bottom w:val="nil"/>
              <w:right w:val="nil"/>
            </w:tcBorders>
            <w:vAlign w:val="center"/>
          </w:tcPr>
          <w:p w14:paraId="09481A53" w14:textId="3A5EF5B5" w:rsidR="00187E7B"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6.98</m:t>
                </m:r>
              </m:oMath>
            </m:oMathPara>
          </w:p>
          <w:p w14:paraId="2E268C57" w14:textId="6804F1C0" w:rsidR="00187E7B" w:rsidRPr="009F1618" w:rsidRDefault="00EB1FBC" w:rsidP="009F1618">
            <w:pPr>
              <w:jc w:val="both"/>
              <w:rPr>
                <w:rFonts w:ascii="Calibri" w:hAnsi="Calibri" w:cs="Calibri"/>
                <w:sz w:val="22"/>
                <w:szCs w:val="22"/>
              </w:rPr>
            </w:pPr>
            <m:oMathPara>
              <m:oMath>
                <m:r>
                  <w:rPr>
                    <w:rFonts w:ascii="Cambria Math" w:hAnsi="Cambria Math" w:cs="Calibri"/>
                    <w:sz w:val="22"/>
                    <w:szCs w:val="22"/>
                  </w:rPr>
                  <m:t>(16.26)</m:t>
                </m:r>
              </m:oMath>
            </m:oMathPara>
          </w:p>
        </w:tc>
      </w:tr>
      <w:tr w:rsidR="00DA26B9" w:rsidRPr="009F1618" w14:paraId="71C261D0" w14:textId="77777777" w:rsidTr="002166FB">
        <w:trPr>
          <w:cantSplit/>
          <w:trHeight w:val="369"/>
        </w:trPr>
        <w:tc>
          <w:tcPr>
            <w:tcW w:w="2268" w:type="dxa"/>
            <w:tcBorders>
              <w:top w:val="nil"/>
              <w:left w:val="nil"/>
              <w:bottom w:val="nil"/>
              <w:right w:val="nil"/>
            </w:tcBorders>
            <w:vAlign w:val="center"/>
          </w:tcPr>
          <w:p w14:paraId="6C9B9AD7" w14:textId="77777777" w:rsidR="00187E7B" w:rsidRPr="009F1618" w:rsidRDefault="00187E7B"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2890169A" w14:textId="77777777" w:rsidR="00187E7B" w:rsidRPr="009F1618" w:rsidRDefault="00187E7B" w:rsidP="009F1618">
            <w:pPr>
              <w:jc w:val="both"/>
              <w:rPr>
                <w:rFonts w:ascii="Calibri" w:hAnsi="Calibri" w:cs="Calibri"/>
                <w:sz w:val="22"/>
                <w:szCs w:val="22"/>
              </w:rPr>
            </w:pPr>
          </w:p>
        </w:tc>
        <w:tc>
          <w:tcPr>
            <w:tcW w:w="2268" w:type="dxa"/>
            <w:tcBorders>
              <w:top w:val="nil"/>
              <w:left w:val="nil"/>
              <w:bottom w:val="nil"/>
              <w:right w:val="nil"/>
            </w:tcBorders>
            <w:vAlign w:val="center"/>
          </w:tcPr>
          <w:p w14:paraId="3ABFEC62" w14:textId="77777777" w:rsidR="00187E7B" w:rsidRPr="009F1618" w:rsidRDefault="00187E7B" w:rsidP="009F1618">
            <w:pPr>
              <w:jc w:val="both"/>
              <w:rPr>
                <w:rFonts w:ascii="Calibri" w:hAnsi="Calibri" w:cs="Calibri"/>
                <w:sz w:val="22"/>
                <w:szCs w:val="22"/>
              </w:rPr>
            </w:pPr>
          </w:p>
        </w:tc>
        <w:tc>
          <w:tcPr>
            <w:tcW w:w="2268" w:type="dxa"/>
            <w:tcBorders>
              <w:top w:val="nil"/>
              <w:left w:val="nil"/>
              <w:bottom w:val="nil"/>
              <w:right w:val="nil"/>
            </w:tcBorders>
            <w:vAlign w:val="center"/>
          </w:tcPr>
          <w:p w14:paraId="6FDC4EA7" w14:textId="77777777" w:rsidR="00187E7B" w:rsidRPr="009F1618" w:rsidRDefault="00187E7B" w:rsidP="009F1618">
            <w:pPr>
              <w:jc w:val="both"/>
              <w:rPr>
                <w:rFonts w:ascii="Calibri" w:hAnsi="Calibri" w:cs="Calibri"/>
                <w:sz w:val="22"/>
                <w:szCs w:val="22"/>
              </w:rPr>
            </w:pPr>
          </w:p>
        </w:tc>
      </w:tr>
      <w:tr w:rsidR="00DA26B9" w:rsidRPr="009F1618" w14:paraId="398B47B2" w14:textId="77777777" w:rsidTr="002166FB">
        <w:trPr>
          <w:cantSplit/>
          <w:trHeight w:val="352"/>
        </w:trPr>
        <w:tc>
          <w:tcPr>
            <w:tcW w:w="9072" w:type="dxa"/>
            <w:gridSpan w:val="4"/>
            <w:tcBorders>
              <w:top w:val="nil"/>
              <w:left w:val="nil"/>
              <w:bottom w:val="nil"/>
              <w:right w:val="nil"/>
            </w:tcBorders>
            <w:vAlign w:val="center"/>
          </w:tcPr>
          <w:p w14:paraId="492F6039" w14:textId="3F802482" w:rsidR="00187E7B" w:rsidRPr="009F1618" w:rsidRDefault="00187E7B" w:rsidP="009F1618">
            <w:pPr>
              <w:jc w:val="both"/>
              <w:rPr>
                <w:rFonts w:ascii="Calibri" w:hAnsi="Calibri" w:cs="Calibri"/>
                <w:sz w:val="22"/>
                <w:szCs w:val="22"/>
              </w:rPr>
            </w:pPr>
            <w:r w:rsidRPr="009F1618">
              <w:rPr>
                <w:rFonts w:ascii="Calibri" w:hAnsi="Calibri" w:cs="Calibri"/>
                <w:sz w:val="22"/>
                <w:szCs w:val="22"/>
              </w:rPr>
              <w:t xml:space="preserve">Model </w:t>
            </w:r>
            <w:r w:rsidR="00AA6025" w:rsidRPr="009F1618">
              <w:rPr>
                <w:rFonts w:ascii="Calibri" w:hAnsi="Calibri" w:cs="Calibri"/>
                <w:sz w:val="22"/>
                <w:szCs w:val="22"/>
              </w:rPr>
              <w:t>B without linear trend and constant in cointegration</w:t>
            </w:r>
            <w:r w:rsidRPr="009F1618">
              <w:rPr>
                <w:rFonts w:ascii="Calibri" w:hAnsi="Calibri" w:cs="Calibri"/>
                <w:sz w:val="22"/>
                <w:szCs w:val="22"/>
              </w:rPr>
              <w:t xml:space="preserve">, </w:t>
            </w:r>
            <m:oMath>
              <m:r>
                <w:rPr>
                  <w:rFonts w:ascii="Cambria Math" w:hAnsi="Cambria Math" w:cs="Calibri"/>
                  <w:sz w:val="22"/>
                  <w:szCs w:val="22"/>
                </w:rPr>
                <m:t>r=1</m:t>
              </m:r>
            </m:oMath>
          </w:p>
        </w:tc>
      </w:tr>
      <w:tr w:rsidR="00750122" w:rsidRPr="009F1618" w14:paraId="0F165FBD" w14:textId="77777777" w:rsidTr="002166FB">
        <w:trPr>
          <w:cantSplit/>
          <w:trHeight w:val="352"/>
        </w:trPr>
        <w:tc>
          <w:tcPr>
            <w:tcW w:w="2268" w:type="dxa"/>
            <w:tcBorders>
              <w:top w:val="nil"/>
              <w:left w:val="nil"/>
              <w:bottom w:val="nil"/>
              <w:right w:val="nil"/>
            </w:tcBorders>
            <w:vAlign w:val="center"/>
          </w:tcPr>
          <w:p w14:paraId="2F4A3B1A" w14:textId="0564F9A4" w:rsidR="00750122" w:rsidRPr="009F1618" w:rsidRDefault="00EB1FBC" w:rsidP="009F1618">
            <w:pPr>
              <w:jc w:val="both"/>
              <w:rPr>
                <w:rFonts w:ascii="Calibri" w:hAnsi="Calibri" w:cs="Calibri"/>
                <w:sz w:val="22"/>
                <w:szCs w:val="22"/>
              </w:rPr>
            </w:pPr>
            <m:oMathPara>
              <m:oMathParaPr>
                <m:jc m:val="left"/>
              </m:oMathParaPr>
              <m:oMath>
                <m:r>
                  <w:rPr>
                    <w:rFonts w:ascii="Cambria Math" w:hAnsi="Cambria Math" w:cs="Calibri"/>
                    <w:sz w:val="22"/>
                    <w:szCs w:val="22"/>
                  </w:rPr>
                  <m:t>r=0</m:t>
                </m:r>
              </m:oMath>
            </m:oMathPara>
          </w:p>
        </w:tc>
        <w:tc>
          <w:tcPr>
            <w:tcW w:w="2268" w:type="dxa"/>
            <w:tcBorders>
              <w:top w:val="nil"/>
              <w:left w:val="nil"/>
              <w:bottom w:val="nil"/>
              <w:right w:val="nil"/>
            </w:tcBorders>
            <w:vAlign w:val="center"/>
          </w:tcPr>
          <w:p w14:paraId="4DCA1A34" w14:textId="20BB3A27" w:rsidR="00750122" w:rsidRPr="009F1618" w:rsidRDefault="00EB1FBC" w:rsidP="009F1618">
            <w:pPr>
              <w:jc w:val="both"/>
              <w:rPr>
                <w:rFonts w:ascii="Calibri" w:hAnsi="Calibri" w:cs="Calibri"/>
                <w:sz w:val="22"/>
                <w:szCs w:val="22"/>
              </w:rPr>
            </w:pPr>
            <m:oMathPara>
              <m:oMath>
                <m:r>
                  <w:rPr>
                    <w:rFonts w:ascii="Cambria Math" w:hAnsi="Cambria Math" w:cs="Calibri"/>
                    <w:sz w:val="22"/>
                    <w:szCs w:val="22"/>
                  </w:rPr>
                  <m:t>0.179</m:t>
                </m:r>
              </m:oMath>
            </m:oMathPara>
          </w:p>
        </w:tc>
        <w:tc>
          <w:tcPr>
            <w:tcW w:w="2268" w:type="dxa"/>
            <w:tcBorders>
              <w:top w:val="nil"/>
              <w:left w:val="nil"/>
              <w:bottom w:val="nil"/>
              <w:right w:val="nil"/>
            </w:tcBorders>
            <w:vAlign w:val="center"/>
          </w:tcPr>
          <w:p w14:paraId="5D5C1AD9" w14:textId="49B2B71E"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48.08</m:t>
                </m:r>
              </m:oMath>
            </m:oMathPara>
          </w:p>
          <w:p w14:paraId="317EEE7E" w14:textId="6827E8A4"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(33.24)</m:t>
                </m:r>
              </m:oMath>
            </m:oMathPara>
          </w:p>
        </w:tc>
        <w:tc>
          <w:tcPr>
            <w:tcW w:w="2268" w:type="dxa"/>
            <w:tcBorders>
              <w:top w:val="nil"/>
              <w:left w:val="nil"/>
              <w:bottom w:val="nil"/>
              <w:right w:val="nil"/>
            </w:tcBorders>
            <w:vAlign w:val="center"/>
          </w:tcPr>
          <w:p w14:paraId="6D9034AF" w14:textId="5E2CBCC3"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79.33</m:t>
                </m:r>
              </m:oMath>
            </m:oMathPara>
          </w:p>
          <w:p w14:paraId="50420067" w14:textId="7673EEF2"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(60.16)</m:t>
                </m:r>
              </m:oMath>
            </m:oMathPara>
          </w:p>
        </w:tc>
      </w:tr>
      <w:tr w:rsidR="00750122" w:rsidRPr="009F1618" w14:paraId="20BE32C1" w14:textId="77777777" w:rsidTr="002166FB">
        <w:trPr>
          <w:cantSplit/>
          <w:trHeight w:val="352"/>
        </w:trPr>
        <w:tc>
          <w:tcPr>
            <w:tcW w:w="2268" w:type="dxa"/>
            <w:tcBorders>
              <w:top w:val="nil"/>
              <w:left w:val="nil"/>
              <w:bottom w:val="nil"/>
              <w:right w:val="nil"/>
            </w:tcBorders>
            <w:vAlign w:val="center"/>
          </w:tcPr>
          <w:p w14:paraId="686393D9" w14:textId="5C84CB02" w:rsidR="0075012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r≤1</m:t>
                </m:r>
              </m:oMath>
            </m:oMathPara>
          </w:p>
        </w:tc>
        <w:tc>
          <w:tcPr>
            <w:tcW w:w="2268" w:type="dxa"/>
            <w:tcBorders>
              <w:top w:val="nil"/>
              <w:left w:val="nil"/>
              <w:bottom w:val="nil"/>
              <w:right w:val="nil"/>
            </w:tcBorders>
            <w:vAlign w:val="center"/>
          </w:tcPr>
          <w:p w14:paraId="4F2BE2E4" w14:textId="58A2B206" w:rsidR="00750122" w:rsidRPr="009F1618" w:rsidRDefault="00EB1FBC" w:rsidP="009F1618">
            <w:pPr>
              <w:jc w:val="both"/>
              <w:rPr>
                <w:rFonts w:ascii="Calibri" w:hAnsi="Calibri" w:cs="Calibri"/>
                <w:sz w:val="22"/>
                <w:szCs w:val="22"/>
              </w:rPr>
            </w:pPr>
            <m:oMathPara>
              <m:oMath>
                <m:r>
                  <w:rPr>
                    <w:rFonts w:ascii="Cambria Math" w:hAnsi="Cambria Math" w:cs="Calibri"/>
                    <w:sz w:val="22"/>
                    <w:szCs w:val="22"/>
                  </w:rPr>
                  <m:t>0.071</m:t>
                </m:r>
              </m:oMath>
            </m:oMathPara>
          </w:p>
        </w:tc>
        <w:tc>
          <w:tcPr>
            <w:tcW w:w="2268" w:type="dxa"/>
            <w:tcBorders>
              <w:top w:val="nil"/>
              <w:left w:val="nil"/>
              <w:bottom w:val="nil"/>
              <w:right w:val="nil"/>
            </w:tcBorders>
            <w:vAlign w:val="center"/>
          </w:tcPr>
          <w:p w14:paraId="61AC36B8" w14:textId="7494709C"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18.07</m:t>
                </m:r>
              </m:oMath>
            </m:oMathPara>
          </w:p>
          <w:p w14:paraId="26BC0E48" w14:textId="7DB1081B"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(26.81)</m:t>
                </m:r>
              </m:oMath>
            </m:oMathPara>
          </w:p>
        </w:tc>
        <w:tc>
          <w:tcPr>
            <w:tcW w:w="2268" w:type="dxa"/>
            <w:tcBorders>
              <w:top w:val="nil"/>
              <w:left w:val="nil"/>
              <w:bottom w:val="nil"/>
              <w:right w:val="nil"/>
            </w:tcBorders>
            <w:vAlign w:val="center"/>
          </w:tcPr>
          <w:p w14:paraId="177CA70B" w14:textId="0B90E255" w:rsidR="00750122" w:rsidRPr="009F1618" w:rsidRDefault="00E81ABE" w:rsidP="009F1618">
            <w:pPr>
              <w:jc w:val="both"/>
              <w:rPr>
                <w:rFonts w:ascii="Cambria Math" w:hAnsi="Cambria Math" w:cs="Calibri"/>
                <w:sz w:val="22"/>
                <w:szCs w:val="22"/>
                <w:oMath/>
              </w:rPr>
            </w:pPr>
            <m:oMathPara>
              <m:oMath>
                <m:r>
                  <w:rPr>
                    <w:rFonts w:ascii="Cambria Math" w:hAnsi="Cambria Math" w:cs="Calibri"/>
                    <w:sz w:val="22"/>
                    <w:szCs w:val="22"/>
                  </w:rPr>
                  <m:t>31.25</m:t>
                </m:r>
              </m:oMath>
            </m:oMathPara>
          </w:p>
          <w:p w14:paraId="2420FE08" w14:textId="5047875B"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(41.07)</m:t>
                </m:r>
              </m:oMath>
            </m:oMathPara>
          </w:p>
        </w:tc>
      </w:tr>
      <w:tr w:rsidR="00750122" w:rsidRPr="009F1618" w14:paraId="087087B3" w14:textId="77777777" w:rsidTr="002166FB">
        <w:trPr>
          <w:cantSplit/>
          <w:trHeight w:val="352"/>
        </w:trPr>
        <w:tc>
          <w:tcPr>
            <w:tcW w:w="2268" w:type="dxa"/>
            <w:tcBorders>
              <w:top w:val="nil"/>
              <w:left w:val="nil"/>
              <w:bottom w:val="nil"/>
              <w:right w:val="nil"/>
            </w:tcBorders>
            <w:vAlign w:val="center"/>
          </w:tcPr>
          <w:p w14:paraId="3BADD248" w14:textId="5916949E" w:rsidR="0075012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r≤2</m:t>
                </m:r>
              </m:oMath>
            </m:oMathPara>
          </w:p>
        </w:tc>
        <w:tc>
          <w:tcPr>
            <w:tcW w:w="2268" w:type="dxa"/>
            <w:tcBorders>
              <w:top w:val="nil"/>
              <w:left w:val="nil"/>
              <w:bottom w:val="nil"/>
              <w:right w:val="nil"/>
            </w:tcBorders>
            <w:vAlign w:val="center"/>
          </w:tcPr>
          <w:p w14:paraId="1668E887" w14:textId="7090B03B" w:rsidR="00750122" w:rsidRPr="009F1618" w:rsidRDefault="00EB1FBC" w:rsidP="009F1618">
            <w:pPr>
              <w:jc w:val="both"/>
              <w:rPr>
                <w:rFonts w:ascii="Calibri" w:hAnsi="Calibri" w:cs="Calibri"/>
                <w:sz w:val="22"/>
                <w:szCs w:val="22"/>
              </w:rPr>
            </w:pPr>
            <m:oMathPara>
              <m:oMath>
                <m:r>
                  <w:rPr>
                    <w:rFonts w:ascii="Cambria Math" w:hAnsi="Cambria Math" w:cs="Calibri"/>
                    <w:sz w:val="22"/>
                    <w:szCs w:val="22"/>
                  </w:rPr>
                  <m:t>0.031</m:t>
                </m:r>
              </m:oMath>
            </m:oMathPara>
          </w:p>
        </w:tc>
        <w:tc>
          <w:tcPr>
            <w:tcW w:w="2268" w:type="dxa"/>
            <w:tcBorders>
              <w:top w:val="nil"/>
              <w:left w:val="nil"/>
              <w:bottom w:val="nil"/>
              <w:right w:val="nil"/>
            </w:tcBorders>
            <w:vAlign w:val="center"/>
          </w:tcPr>
          <w:p w14:paraId="51AD4AC0" w14:textId="7509D1B2"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7.6</m:t>
                </m:r>
                <m:r>
                  <w:rPr>
                    <w:rFonts w:ascii="Cambria Math" w:eastAsiaTheme="minorEastAsia" w:hAnsi="Cambria Math" w:cs="Calibri"/>
                    <w:sz w:val="22"/>
                    <w:szCs w:val="22"/>
                  </w:rPr>
                  <m:t>5</m:t>
                </m:r>
              </m:oMath>
            </m:oMathPara>
          </w:p>
          <w:p w14:paraId="00197B13" w14:textId="14BE7F45"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(20.20)</m:t>
                </m:r>
              </m:oMath>
            </m:oMathPara>
          </w:p>
        </w:tc>
        <w:tc>
          <w:tcPr>
            <w:tcW w:w="2268" w:type="dxa"/>
            <w:tcBorders>
              <w:top w:val="nil"/>
              <w:left w:val="nil"/>
              <w:bottom w:val="nil"/>
              <w:right w:val="nil"/>
            </w:tcBorders>
            <w:vAlign w:val="center"/>
          </w:tcPr>
          <w:p w14:paraId="6C933AC7" w14:textId="6B25393B"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13.18</m:t>
                </m:r>
              </m:oMath>
            </m:oMathPara>
          </w:p>
          <w:p w14:paraId="6742CAF2" w14:textId="0E116AFF"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(24.60)</m:t>
                </m:r>
              </m:oMath>
            </m:oMathPara>
          </w:p>
        </w:tc>
      </w:tr>
      <w:tr w:rsidR="00750122" w:rsidRPr="009F1618" w14:paraId="2094D117" w14:textId="77777777" w:rsidTr="002166FB">
        <w:trPr>
          <w:cantSplit/>
          <w:trHeight w:val="293"/>
        </w:trPr>
        <w:tc>
          <w:tcPr>
            <w:tcW w:w="2268" w:type="dxa"/>
            <w:tcBorders>
              <w:top w:val="nil"/>
              <w:left w:val="nil"/>
              <w:bottom w:val="nil"/>
              <w:right w:val="nil"/>
            </w:tcBorders>
            <w:vAlign w:val="center"/>
          </w:tcPr>
          <w:p w14:paraId="60129313" w14:textId="59C08E69" w:rsidR="00750122" w:rsidRPr="009F1618" w:rsidRDefault="00EB1FBC" w:rsidP="009F1618">
            <w:pPr>
              <w:jc w:val="both"/>
              <w:rPr>
                <w:rFonts w:ascii="Calibri" w:eastAsia="Aptos" w:hAnsi="Calibri" w:cs="Calibri"/>
                <w:i/>
                <w:iCs/>
                <w:sz w:val="22"/>
                <w:szCs w:val="22"/>
              </w:rPr>
            </w:pPr>
            <m:oMathPara>
              <m:oMathParaPr>
                <m:jc m:val="left"/>
              </m:oMathParaPr>
              <m:oMath>
                <m:r>
                  <w:rPr>
                    <w:rFonts w:ascii="Cambria Math" w:hAnsi="Cambria Math" w:cs="Calibri"/>
                    <w:sz w:val="22"/>
                    <w:szCs w:val="22"/>
                  </w:rPr>
                  <m:t>r≤3</m:t>
                </m:r>
              </m:oMath>
            </m:oMathPara>
          </w:p>
        </w:tc>
        <w:tc>
          <w:tcPr>
            <w:tcW w:w="2268" w:type="dxa"/>
            <w:tcBorders>
              <w:top w:val="nil"/>
              <w:left w:val="nil"/>
              <w:bottom w:val="nil"/>
              <w:right w:val="nil"/>
            </w:tcBorders>
            <w:vAlign w:val="center"/>
          </w:tcPr>
          <w:p w14:paraId="43A130D2" w14:textId="4D42751A" w:rsidR="00750122" w:rsidRPr="009F1618" w:rsidRDefault="00EB1FBC" w:rsidP="009F1618">
            <w:pPr>
              <w:jc w:val="both"/>
              <w:rPr>
                <w:rFonts w:ascii="Calibri" w:eastAsia="Aptos" w:hAnsi="Calibri" w:cs="Calibri"/>
                <w:sz w:val="22"/>
                <w:szCs w:val="22"/>
              </w:rPr>
            </w:pPr>
            <m:oMathPara>
              <m:oMath>
                <m:r>
                  <w:rPr>
                    <w:rFonts w:ascii="Cambria Math" w:eastAsia="Aptos" w:hAnsi="Cambria Math" w:cs="Calibri"/>
                    <w:sz w:val="22"/>
                    <w:szCs w:val="22"/>
                  </w:rPr>
                  <m:t>0.022</m:t>
                </m:r>
              </m:oMath>
            </m:oMathPara>
          </w:p>
        </w:tc>
        <w:tc>
          <w:tcPr>
            <w:tcW w:w="2268" w:type="dxa"/>
            <w:tcBorders>
              <w:top w:val="nil"/>
              <w:left w:val="nil"/>
              <w:bottom w:val="nil"/>
              <w:right w:val="nil"/>
            </w:tcBorders>
            <w:vAlign w:val="center"/>
          </w:tcPr>
          <w:p w14:paraId="19DAB7DE" w14:textId="099356B1" w:rsidR="00750122" w:rsidRPr="009F1618" w:rsidRDefault="00545577"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5.53</m:t>
                </m:r>
              </m:oMath>
            </m:oMathPara>
          </w:p>
          <w:p w14:paraId="76CC6F60" w14:textId="74717B85" w:rsidR="00750122" w:rsidRPr="009F1618" w:rsidRDefault="00EB1FBC"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(12.97)</m:t>
                </m:r>
              </m:oMath>
            </m:oMathPara>
          </w:p>
        </w:tc>
        <w:tc>
          <w:tcPr>
            <w:tcW w:w="2268" w:type="dxa"/>
            <w:tcBorders>
              <w:top w:val="nil"/>
              <w:left w:val="nil"/>
              <w:bottom w:val="nil"/>
              <w:right w:val="nil"/>
            </w:tcBorders>
            <w:vAlign w:val="center"/>
          </w:tcPr>
          <w:p w14:paraId="1BD9AAC4" w14:textId="409C9880" w:rsidR="00750122" w:rsidRPr="009F1618" w:rsidRDefault="001367DE"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5.53</m:t>
                </m:r>
              </m:oMath>
            </m:oMathPara>
          </w:p>
          <w:p w14:paraId="0878E278" w14:textId="529331A7" w:rsidR="00750122" w:rsidRPr="009F1618" w:rsidRDefault="00EB1FBC"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(12.97)</m:t>
                </m:r>
              </m:oMath>
            </m:oMathPara>
          </w:p>
        </w:tc>
      </w:tr>
      <w:tr w:rsidR="00750122" w:rsidRPr="009F1618" w14:paraId="49BD49A8" w14:textId="77777777" w:rsidTr="002166FB">
        <w:trPr>
          <w:cantSplit/>
          <w:trHeight w:val="293"/>
        </w:trPr>
        <w:tc>
          <w:tcPr>
            <w:tcW w:w="2268" w:type="dxa"/>
            <w:tcBorders>
              <w:top w:val="nil"/>
              <w:left w:val="nil"/>
              <w:bottom w:val="nil"/>
              <w:right w:val="nil"/>
            </w:tcBorders>
            <w:vAlign w:val="center"/>
          </w:tcPr>
          <w:p w14:paraId="08261B60" w14:textId="77777777" w:rsidR="00750122" w:rsidRPr="009F1618" w:rsidRDefault="00750122" w:rsidP="009F1618">
            <w:pPr>
              <w:jc w:val="both"/>
              <w:rPr>
                <w:rFonts w:ascii="Calibri" w:eastAsia="Aptos" w:hAnsi="Calibri" w:cs="Calibri"/>
                <w:iCs/>
                <w:sz w:val="22"/>
                <w:szCs w:val="22"/>
              </w:rPr>
            </w:pPr>
          </w:p>
        </w:tc>
        <w:tc>
          <w:tcPr>
            <w:tcW w:w="2268" w:type="dxa"/>
            <w:tcBorders>
              <w:top w:val="nil"/>
              <w:left w:val="nil"/>
              <w:bottom w:val="nil"/>
              <w:right w:val="nil"/>
            </w:tcBorders>
            <w:vAlign w:val="center"/>
          </w:tcPr>
          <w:p w14:paraId="38F4F84F" w14:textId="77777777" w:rsidR="00750122" w:rsidRPr="009F1618" w:rsidRDefault="0075012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28E6BEA6" w14:textId="77777777" w:rsidR="00750122" w:rsidRPr="009F1618" w:rsidRDefault="0075012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372CB8E0" w14:textId="77777777" w:rsidR="00750122" w:rsidRPr="009F1618" w:rsidRDefault="00750122" w:rsidP="009F1618">
            <w:pPr>
              <w:jc w:val="both"/>
              <w:rPr>
                <w:rFonts w:ascii="Calibri" w:eastAsia="Aptos" w:hAnsi="Calibri" w:cs="Calibri"/>
                <w:sz w:val="22"/>
                <w:szCs w:val="22"/>
              </w:rPr>
            </w:pPr>
          </w:p>
        </w:tc>
      </w:tr>
      <w:tr w:rsidR="00750122" w:rsidRPr="009F1618" w14:paraId="3ABE80A8" w14:textId="77777777" w:rsidTr="002166FB">
        <w:trPr>
          <w:cantSplit/>
          <w:trHeight w:val="293"/>
        </w:trPr>
        <w:tc>
          <w:tcPr>
            <w:tcW w:w="9072" w:type="dxa"/>
            <w:gridSpan w:val="4"/>
            <w:tcBorders>
              <w:top w:val="nil"/>
              <w:left w:val="nil"/>
              <w:bottom w:val="single" w:sz="4" w:space="0" w:color="auto"/>
              <w:right w:val="nil"/>
            </w:tcBorders>
            <w:vAlign w:val="center"/>
          </w:tcPr>
          <w:p w14:paraId="7DBF9B87" w14:textId="14ACD247" w:rsidR="00750122" w:rsidRPr="009F1618" w:rsidRDefault="00750122" w:rsidP="009F1618">
            <w:pPr>
              <w:jc w:val="both"/>
              <w:rPr>
                <w:rFonts w:ascii="Calibri" w:eastAsiaTheme="minorEastAsia" w:hAnsi="Calibri" w:cs="Calibri"/>
                <w:sz w:val="22"/>
                <w:szCs w:val="22"/>
              </w:rPr>
            </w:pPr>
            <m:oMathPara>
              <m:oMathParaPr>
                <m:jc m:val="left"/>
              </m:oMathParaPr>
              <m:oMath>
                <m:r>
                  <w:rPr>
                    <w:rFonts w:ascii="Cambria Math" w:hAnsi="Cambria Math" w:cs="Calibri"/>
                    <w:sz w:val="22"/>
                    <w:szCs w:val="22"/>
                  </w:rPr>
                  <m:t>L</m:t>
                </m:r>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λ</m:t>
                    </m:r>
                  </m:sub>
                </m:sSub>
                <m:r>
                  <w:rPr>
                    <w:rFonts w:ascii="Cambria Math" w:hAnsi="Cambria Math" w:cs="Calibri"/>
                    <w:sz w:val="22"/>
                    <w:szCs w:val="22"/>
                  </w:rPr>
                  <m:t xml:space="preserve">=3.793&lt;11.345 </m:t>
                </m:r>
                <m:d>
                  <m:dPr>
                    <m:ctrlPr>
                      <w:rPr>
                        <w:rFonts w:ascii="Cambria Math" w:hAnsi="Cambria Math" w:cs="Calibri"/>
                        <w:i/>
                        <w:sz w:val="22"/>
                        <w:szCs w:val="22"/>
                      </w:rPr>
                    </m:ctrlPr>
                  </m:dPr>
                  <m:e>
                    <m:r>
                      <w:rPr>
                        <w:rFonts w:ascii="Cambria Math" w:hAnsi="Cambria Math" w:cs="Calibri"/>
                        <w:sz w:val="22"/>
                        <w:szCs w:val="22"/>
                      </w:rPr>
                      <m:t>df=3;α=1%</m:t>
                    </m:r>
                  </m:e>
                </m:d>
                <m:r>
                  <w:rPr>
                    <w:rFonts w:ascii="Cambria Math" w:hAnsi="Cambria Math" w:cs="Calibri"/>
                    <w:sz w:val="22"/>
                    <w:szCs w:val="22"/>
                  </w:rPr>
                  <m:t xml:space="preserve"> </m:t>
                </m:r>
              </m:oMath>
            </m:oMathPara>
          </w:p>
        </w:tc>
      </w:tr>
      <w:tr w:rsidR="00750122" w:rsidRPr="009F1618" w14:paraId="5E4E8934" w14:textId="77777777" w:rsidTr="002166FB">
        <w:trPr>
          <w:cantSplit/>
          <w:trHeight w:val="179"/>
        </w:trPr>
        <w:tc>
          <w:tcPr>
            <w:tcW w:w="9072" w:type="dxa"/>
            <w:gridSpan w:val="4"/>
            <w:tcBorders>
              <w:top w:val="single" w:sz="4" w:space="0" w:color="auto"/>
              <w:left w:val="nil"/>
              <w:bottom w:val="single" w:sz="4" w:space="0" w:color="auto"/>
              <w:right w:val="nil"/>
            </w:tcBorders>
            <w:vAlign w:val="center"/>
          </w:tcPr>
          <w:p w14:paraId="395A7530" w14:textId="77777777" w:rsidR="00750122" w:rsidRPr="009F1618" w:rsidRDefault="00750122" w:rsidP="009F1618">
            <w:pPr>
              <w:jc w:val="both"/>
              <w:rPr>
                <w:rFonts w:ascii="Calibri" w:eastAsia="Aptos" w:hAnsi="Calibri" w:cs="Calibri"/>
                <w:sz w:val="22"/>
                <w:szCs w:val="22"/>
              </w:rPr>
            </w:pPr>
            <w:r w:rsidRPr="009F1618">
              <w:rPr>
                <w:rFonts w:ascii="Calibri" w:eastAsia="Times New Roman" w:hAnsi="Calibri" w:cs="Calibri"/>
                <w:sz w:val="22"/>
                <w:szCs w:val="22"/>
              </w:rPr>
              <w:t>Cheese</w:t>
            </w:r>
          </w:p>
        </w:tc>
      </w:tr>
      <w:tr w:rsidR="00750122" w:rsidRPr="009F1618" w14:paraId="21F93FB9" w14:textId="77777777" w:rsidTr="002166FB">
        <w:trPr>
          <w:cantSplit/>
          <w:trHeight w:val="293"/>
        </w:trPr>
        <w:tc>
          <w:tcPr>
            <w:tcW w:w="2268" w:type="dxa"/>
            <w:tcBorders>
              <w:top w:val="single" w:sz="4" w:space="0" w:color="auto"/>
              <w:left w:val="nil"/>
              <w:bottom w:val="single" w:sz="4" w:space="0" w:color="auto"/>
              <w:right w:val="nil"/>
            </w:tcBorders>
            <w:vAlign w:val="center"/>
          </w:tcPr>
          <w:p w14:paraId="05F276C5" w14:textId="77777777" w:rsidR="00750122" w:rsidRPr="009F1618" w:rsidRDefault="00750122" w:rsidP="009F1618">
            <w:pPr>
              <w:jc w:val="both"/>
              <w:rPr>
                <w:rFonts w:ascii="Calibri" w:eastAsia="Aptos" w:hAnsi="Calibri" w:cs="Calibri"/>
                <w:sz w:val="22"/>
                <w:szCs w:val="22"/>
              </w:rPr>
            </w:pPr>
          </w:p>
        </w:tc>
        <w:tc>
          <w:tcPr>
            <w:tcW w:w="2268" w:type="dxa"/>
            <w:tcBorders>
              <w:top w:val="single" w:sz="4" w:space="0" w:color="auto"/>
              <w:left w:val="nil"/>
              <w:bottom w:val="single" w:sz="4" w:space="0" w:color="auto"/>
              <w:right w:val="nil"/>
            </w:tcBorders>
            <w:vAlign w:val="center"/>
          </w:tcPr>
          <w:p w14:paraId="41C3261A" w14:textId="77777777" w:rsidR="00750122" w:rsidRPr="009F1618" w:rsidRDefault="00750122" w:rsidP="009F1618">
            <w:pPr>
              <w:jc w:val="both"/>
              <w:rPr>
                <w:rFonts w:ascii="Calibri" w:eastAsia="Aptos" w:hAnsi="Calibri" w:cs="Calibri"/>
                <w:sz w:val="22"/>
                <w:szCs w:val="22"/>
              </w:rPr>
            </w:pPr>
            <w:r w:rsidRPr="009F1618">
              <w:rPr>
                <w:rFonts w:ascii="Calibri" w:eastAsiaTheme="minorEastAsia" w:hAnsi="Calibri" w:cs="Calibri"/>
                <w:sz w:val="22"/>
                <w:szCs w:val="22"/>
              </w:rPr>
              <w:t xml:space="preserve">Estimated </w:t>
            </w:r>
            <m:oMath>
              <m:r>
                <w:rPr>
                  <w:rFonts w:ascii="Cambria Math" w:hAnsi="Cambria Math" w:cs="Calibri"/>
                  <w:sz w:val="22"/>
                  <w:szCs w:val="22"/>
                </w:rPr>
                <m:t>λ</m:t>
              </m:r>
            </m:oMath>
          </w:p>
        </w:tc>
        <w:tc>
          <w:tcPr>
            <w:tcW w:w="2268" w:type="dxa"/>
            <w:tcBorders>
              <w:top w:val="single" w:sz="4" w:space="0" w:color="auto"/>
              <w:left w:val="nil"/>
              <w:bottom w:val="single" w:sz="4" w:space="0" w:color="auto"/>
              <w:right w:val="nil"/>
            </w:tcBorders>
            <w:vAlign w:val="center"/>
          </w:tcPr>
          <w:p w14:paraId="769998AC" w14:textId="77777777" w:rsidR="00750122" w:rsidRPr="009F1618" w:rsidRDefault="00E1356D" w:rsidP="009F1618">
            <w:pPr>
              <w:jc w:val="both"/>
              <w:rPr>
                <w:rFonts w:ascii="Calibri" w:eastAsia="Aptos"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λ</m:t>
                    </m:r>
                  </m:e>
                  <m:sub>
                    <m:r>
                      <w:rPr>
                        <w:rFonts w:ascii="Cambria Math" w:hAnsi="Cambria Math" w:cs="Calibri"/>
                        <w:sz w:val="22"/>
                        <w:szCs w:val="22"/>
                      </w:rPr>
                      <m:t>max</m:t>
                    </m:r>
                  </m:sub>
                </m:sSub>
              </m:oMath>
            </m:oMathPara>
          </w:p>
        </w:tc>
        <w:tc>
          <w:tcPr>
            <w:tcW w:w="2268" w:type="dxa"/>
            <w:tcBorders>
              <w:top w:val="single" w:sz="4" w:space="0" w:color="auto"/>
              <w:left w:val="nil"/>
              <w:bottom w:val="single" w:sz="4" w:space="0" w:color="auto"/>
              <w:right w:val="nil"/>
            </w:tcBorders>
            <w:vAlign w:val="center"/>
          </w:tcPr>
          <w:p w14:paraId="7D82E788" w14:textId="77777777" w:rsidR="00750122" w:rsidRPr="009F1618" w:rsidRDefault="00E1356D" w:rsidP="009F1618">
            <w:pPr>
              <w:jc w:val="both"/>
              <w:rPr>
                <w:rFonts w:ascii="Calibri" w:eastAsia="Aptos"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λ</m:t>
                    </m:r>
                  </m:e>
                  <m:sub>
                    <m:r>
                      <w:rPr>
                        <w:rFonts w:ascii="Cambria Math" w:hAnsi="Cambria Math" w:cs="Calibri"/>
                        <w:sz w:val="22"/>
                        <w:szCs w:val="22"/>
                      </w:rPr>
                      <m:t>trace</m:t>
                    </m:r>
                  </m:sub>
                </m:sSub>
              </m:oMath>
            </m:oMathPara>
          </w:p>
        </w:tc>
      </w:tr>
      <w:tr w:rsidR="00750122" w:rsidRPr="009F1618" w14:paraId="2D389A09" w14:textId="77777777" w:rsidTr="002166FB">
        <w:trPr>
          <w:cantSplit/>
          <w:trHeight w:val="293"/>
        </w:trPr>
        <w:tc>
          <w:tcPr>
            <w:tcW w:w="9072" w:type="dxa"/>
            <w:gridSpan w:val="4"/>
            <w:tcBorders>
              <w:top w:val="single" w:sz="4" w:space="0" w:color="auto"/>
              <w:left w:val="nil"/>
              <w:bottom w:val="nil"/>
              <w:right w:val="nil"/>
            </w:tcBorders>
            <w:vAlign w:val="center"/>
          </w:tcPr>
          <w:p w14:paraId="720E64A9" w14:textId="450B99C7" w:rsidR="00750122" w:rsidRPr="009F1618" w:rsidRDefault="00A94679" w:rsidP="009F1618">
            <w:pPr>
              <w:jc w:val="both"/>
              <w:rPr>
                <w:rFonts w:ascii="Calibri" w:eastAsia="Aptos" w:hAnsi="Calibri" w:cs="Calibri"/>
                <w:sz w:val="22"/>
                <w:szCs w:val="22"/>
              </w:rPr>
            </w:pPr>
            <w:r w:rsidRPr="009F1618">
              <w:rPr>
                <w:rFonts w:ascii="Calibri" w:hAnsi="Calibri" w:cs="Calibri"/>
                <w:sz w:val="22"/>
                <w:szCs w:val="22"/>
              </w:rPr>
              <w:t xml:space="preserve">Model A </w:t>
            </w:r>
            <w:r w:rsidR="00AA6025" w:rsidRPr="009F1618">
              <w:rPr>
                <w:rFonts w:ascii="Calibri" w:hAnsi="Calibri" w:cs="Calibri"/>
                <w:sz w:val="22"/>
                <w:szCs w:val="22"/>
              </w:rPr>
              <w:t>with</w:t>
            </w:r>
            <w:r w:rsidRPr="009F1618">
              <w:rPr>
                <w:rFonts w:ascii="Calibri" w:hAnsi="Calibri" w:cs="Calibri"/>
                <w:sz w:val="22"/>
                <w:szCs w:val="22"/>
              </w:rPr>
              <w:t xml:space="preserve"> a linear trend in cointegration</w:t>
            </w:r>
            <w:r w:rsidR="00750122" w:rsidRPr="009F1618">
              <w:rPr>
                <w:rFonts w:ascii="Calibri" w:hAnsi="Calibri" w:cs="Calibri"/>
                <w:sz w:val="22"/>
                <w:szCs w:val="22"/>
              </w:rPr>
              <w:t xml:space="preserve">, </w:t>
            </w:r>
            <m:oMath>
              <m:r>
                <w:rPr>
                  <w:rFonts w:ascii="Cambria Math" w:hAnsi="Cambria Math" w:cs="Calibri"/>
                  <w:sz w:val="22"/>
                  <w:szCs w:val="22"/>
                </w:rPr>
                <m:t>r=1</m:t>
              </m:r>
            </m:oMath>
          </w:p>
        </w:tc>
      </w:tr>
      <w:tr w:rsidR="00750122" w:rsidRPr="009F1618" w14:paraId="4A240FEC" w14:textId="77777777" w:rsidTr="002166FB">
        <w:trPr>
          <w:cantSplit/>
          <w:trHeight w:val="293"/>
        </w:trPr>
        <w:tc>
          <w:tcPr>
            <w:tcW w:w="2268" w:type="dxa"/>
            <w:tcBorders>
              <w:top w:val="nil"/>
              <w:left w:val="nil"/>
              <w:bottom w:val="nil"/>
              <w:right w:val="nil"/>
            </w:tcBorders>
            <w:vAlign w:val="center"/>
          </w:tcPr>
          <w:p w14:paraId="6F7A21CF" w14:textId="2947D3EA" w:rsidR="0075012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w:lastRenderedPageBreak/>
                  <m:t>r=0</m:t>
                </m:r>
              </m:oMath>
            </m:oMathPara>
          </w:p>
        </w:tc>
        <w:tc>
          <w:tcPr>
            <w:tcW w:w="2268" w:type="dxa"/>
            <w:tcBorders>
              <w:top w:val="nil"/>
              <w:left w:val="nil"/>
              <w:bottom w:val="nil"/>
              <w:right w:val="nil"/>
            </w:tcBorders>
            <w:vAlign w:val="center"/>
          </w:tcPr>
          <w:p w14:paraId="3B6FFA89" w14:textId="691732AB" w:rsidR="0075012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0.122</m:t>
                </m:r>
              </m:oMath>
            </m:oMathPara>
          </w:p>
        </w:tc>
        <w:tc>
          <w:tcPr>
            <w:tcW w:w="2268" w:type="dxa"/>
            <w:tcBorders>
              <w:top w:val="nil"/>
              <w:left w:val="nil"/>
              <w:bottom w:val="nil"/>
              <w:right w:val="nil"/>
            </w:tcBorders>
            <w:vAlign w:val="center"/>
          </w:tcPr>
          <w:p w14:paraId="51EB28D1" w14:textId="39FFBFFC"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31.70</m:t>
                </m:r>
              </m:oMath>
            </m:oMathPara>
          </w:p>
          <w:p w14:paraId="4589CBF7" w14:textId="2374F5AC"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(36.65)</m:t>
                </m:r>
              </m:oMath>
            </m:oMathPara>
          </w:p>
        </w:tc>
        <w:tc>
          <w:tcPr>
            <w:tcW w:w="2268" w:type="dxa"/>
            <w:tcBorders>
              <w:top w:val="nil"/>
              <w:left w:val="nil"/>
              <w:bottom w:val="nil"/>
              <w:right w:val="nil"/>
            </w:tcBorders>
            <w:vAlign w:val="center"/>
          </w:tcPr>
          <w:p w14:paraId="5262AE1A" w14:textId="59019A21"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77.76</m:t>
                </m:r>
              </m:oMath>
            </m:oMathPara>
          </w:p>
          <w:p w14:paraId="2EBE0073" w14:textId="2D82CB3E"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(70.05)</m:t>
                </m:r>
              </m:oMath>
            </m:oMathPara>
          </w:p>
        </w:tc>
      </w:tr>
      <w:tr w:rsidR="00750122" w:rsidRPr="009F1618" w14:paraId="65EA5F35" w14:textId="77777777" w:rsidTr="002166FB">
        <w:trPr>
          <w:cantSplit/>
          <w:trHeight w:val="293"/>
        </w:trPr>
        <w:tc>
          <w:tcPr>
            <w:tcW w:w="2268" w:type="dxa"/>
            <w:tcBorders>
              <w:top w:val="nil"/>
              <w:left w:val="nil"/>
              <w:bottom w:val="nil"/>
              <w:right w:val="nil"/>
            </w:tcBorders>
            <w:vAlign w:val="center"/>
          </w:tcPr>
          <w:p w14:paraId="6483A9E6" w14:textId="5C8D45A9" w:rsidR="0075012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r≤1</m:t>
                </m:r>
              </m:oMath>
            </m:oMathPara>
          </w:p>
        </w:tc>
        <w:tc>
          <w:tcPr>
            <w:tcW w:w="2268" w:type="dxa"/>
            <w:tcBorders>
              <w:top w:val="nil"/>
              <w:left w:val="nil"/>
              <w:bottom w:val="nil"/>
              <w:right w:val="nil"/>
            </w:tcBorders>
            <w:vAlign w:val="center"/>
          </w:tcPr>
          <w:p w14:paraId="2A19BC3D" w14:textId="17D40F10" w:rsidR="0075012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0.091</m:t>
                </m:r>
              </m:oMath>
            </m:oMathPara>
          </w:p>
        </w:tc>
        <w:tc>
          <w:tcPr>
            <w:tcW w:w="2268" w:type="dxa"/>
            <w:tcBorders>
              <w:top w:val="nil"/>
              <w:left w:val="nil"/>
              <w:bottom w:val="nil"/>
              <w:right w:val="nil"/>
            </w:tcBorders>
            <w:vAlign w:val="center"/>
          </w:tcPr>
          <w:p w14:paraId="38574847" w14:textId="0DBBC88B"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23.39</m:t>
                </m:r>
              </m:oMath>
            </m:oMathPara>
          </w:p>
          <w:p w14:paraId="077C96A6" w14:textId="780926C1"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(30.34)</m:t>
                </m:r>
              </m:oMath>
            </m:oMathPara>
          </w:p>
        </w:tc>
        <w:tc>
          <w:tcPr>
            <w:tcW w:w="2268" w:type="dxa"/>
            <w:tcBorders>
              <w:top w:val="nil"/>
              <w:left w:val="nil"/>
              <w:bottom w:val="nil"/>
              <w:right w:val="nil"/>
            </w:tcBorders>
            <w:vAlign w:val="center"/>
          </w:tcPr>
          <w:p w14:paraId="51AC2363" w14:textId="1220A50A"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46.06</m:t>
                </m:r>
              </m:oMath>
            </m:oMathPara>
          </w:p>
          <w:p w14:paraId="53D678F0" w14:textId="09682BE8"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(48.45)</m:t>
                </m:r>
              </m:oMath>
            </m:oMathPara>
          </w:p>
        </w:tc>
      </w:tr>
      <w:tr w:rsidR="00750122" w:rsidRPr="009F1618" w14:paraId="569C75FE" w14:textId="77777777" w:rsidTr="002166FB">
        <w:trPr>
          <w:cantSplit/>
          <w:trHeight w:val="293"/>
        </w:trPr>
        <w:tc>
          <w:tcPr>
            <w:tcW w:w="2268" w:type="dxa"/>
            <w:tcBorders>
              <w:top w:val="nil"/>
              <w:left w:val="nil"/>
              <w:bottom w:val="nil"/>
              <w:right w:val="nil"/>
            </w:tcBorders>
            <w:vAlign w:val="center"/>
          </w:tcPr>
          <w:p w14:paraId="6B537427" w14:textId="51491457" w:rsidR="0075012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r≤2</m:t>
                </m:r>
              </m:oMath>
            </m:oMathPara>
          </w:p>
        </w:tc>
        <w:tc>
          <w:tcPr>
            <w:tcW w:w="2268" w:type="dxa"/>
            <w:tcBorders>
              <w:top w:val="nil"/>
              <w:left w:val="nil"/>
              <w:bottom w:val="nil"/>
              <w:right w:val="nil"/>
            </w:tcBorders>
            <w:vAlign w:val="center"/>
          </w:tcPr>
          <w:p w14:paraId="7B9BFEB1" w14:textId="7C690A64" w:rsidR="0075012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0.049</m:t>
                </m:r>
              </m:oMath>
            </m:oMathPara>
          </w:p>
        </w:tc>
        <w:tc>
          <w:tcPr>
            <w:tcW w:w="2268" w:type="dxa"/>
            <w:tcBorders>
              <w:top w:val="nil"/>
              <w:left w:val="nil"/>
              <w:bottom w:val="nil"/>
              <w:right w:val="nil"/>
            </w:tcBorders>
            <w:vAlign w:val="center"/>
          </w:tcPr>
          <w:p w14:paraId="2A86B653" w14:textId="64C0977C"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12.31</m:t>
                </m:r>
              </m:oMath>
            </m:oMathPara>
          </w:p>
          <w:p w14:paraId="0D0D68E5" w14:textId="4B80654F"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(23.65)</m:t>
                </m:r>
              </m:oMath>
            </m:oMathPara>
          </w:p>
        </w:tc>
        <w:tc>
          <w:tcPr>
            <w:tcW w:w="2268" w:type="dxa"/>
            <w:tcBorders>
              <w:top w:val="nil"/>
              <w:left w:val="nil"/>
              <w:bottom w:val="nil"/>
              <w:right w:val="nil"/>
            </w:tcBorders>
            <w:vAlign w:val="center"/>
          </w:tcPr>
          <w:p w14:paraId="567DCB64" w14:textId="17BB6BCE" w:rsidR="00750122" w:rsidRPr="009F1618" w:rsidRDefault="005B22D5" w:rsidP="009F1618">
            <w:pPr>
              <w:jc w:val="both"/>
              <w:rPr>
                <w:rFonts w:ascii="Cambria Math" w:hAnsi="Cambria Math" w:cs="Calibri"/>
                <w:sz w:val="22"/>
                <w:szCs w:val="22"/>
                <w:oMath/>
              </w:rPr>
            </w:pPr>
            <m:oMathPara>
              <m:oMath>
                <m:r>
                  <w:rPr>
                    <w:rFonts w:ascii="Cambria Math" w:hAnsi="Cambria Math" w:cs="Calibri"/>
                    <w:sz w:val="22"/>
                    <w:szCs w:val="22"/>
                  </w:rPr>
                  <m:t>22.68</m:t>
                </m:r>
              </m:oMath>
            </m:oMathPara>
          </w:p>
          <w:p w14:paraId="32F0AFFE" w14:textId="0C238B17"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(30.45)</m:t>
                </m:r>
              </m:oMath>
            </m:oMathPara>
          </w:p>
        </w:tc>
      </w:tr>
      <w:tr w:rsidR="00750122" w:rsidRPr="009F1618" w14:paraId="18113818" w14:textId="77777777" w:rsidTr="002166FB">
        <w:trPr>
          <w:cantSplit/>
          <w:trHeight w:val="293"/>
        </w:trPr>
        <w:tc>
          <w:tcPr>
            <w:tcW w:w="2268" w:type="dxa"/>
            <w:tcBorders>
              <w:top w:val="nil"/>
              <w:left w:val="nil"/>
              <w:bottom w:val="nil"/>
              <w:right w:val="nil"/>
            </w:tcBorders>
            <w:vAlign w:val="center"/>
          </w:tcPr>
          <w:p w14:paraId="4B677F7E" w14:textId="4A1C21A7" w:rsidR="0075012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r≤3</m:t>
                </m:r>
              </m:oMath>
            </m:oMathPara>
          </w:p>
        </w:tc>
        <w:tc>
          <w:tcPr>
            <w:tcW w:w="2268" w:type="dxa"/>
            <w:tcBorders>
              <w:top w:val="nil"/>
              <w:left w:val="nil"/>
              <w:bottom w:val="nil"/>
              <w:right w:val="nil"/>
            </w:tcBorders>
            <w:vAlign w:val="center"/>
          </w:tcPr>
          <w:p w14:paraId="5C92E607" w14:textId="4A9BAF3F" w:rsidR="0075012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0.042</m:t>
                </m:r>
              </m:oMath>
            </m:oMathPara>
          </w:p>
        </w:tc>
        <w:tc>
          <w:tcPr>
            <w:tcW w:w="2268" w:type="dxa"/>
            <w:tcBorders>
              <w:top w:val="nil"/>
              <w:left w:val="nil"/>
              <w:bottom w:val="nil"/>
              <w:right w:val="nil"/>
            </w:tcBorders>
            <w:vAlign w:val="center"/>
          </w:tcPr>
          <w:p w14:paraId="0A8F91E8" w14:textId="519EDF13" w:rsidR="00750122" w:rsidRPr="009F1618" w:rsidRDefault="006E7D03" w:rsidP="009F1618">
            <w:pPr>
              <w:jc w:val="both"/>
              <w:rPr>
                <w:rFonts w:ascii="Cambria Math" w:hAnsi="Cambria Math" w:cs="Calibri"/>
                <w:sz w:val="22"/>
                <w:szCs w:val="22"/>
                <w:oMath/>
              </w:rPr>
            </w:pPr>
            <m:oMathPara>
              <m:oMath>
                <m:r>
                  <w:rPr>
                    <w:rFonts w:ascii="Cambria Math" w:eastAsia="Aptos" w:hAnsi="Cambria Math" w:cs="Calibri"/>
                    <w:sz w:val="22"/>
                    <w:szCs w:val="22"/>
                  </w:rPr>
                  <m:t>10.37</m:t>
                </m:r>
              </m:oMath>
            </m:oMathPara>
          </w:p>
          <w:p w14:paraId="40DD3252" w14:textId="56E0B7EA"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(16.26)</m:t>
                </m:r>
              </m:oMath>
            </m:oMathPara>
          </w:p>
        </w:tc>
        <w:tc>
          <w:tcPr>
            <w:tcW w:w="2268" w:type="dxa"/>
            <w:tcBorders>
              <w:top w:val="nil"/>
              <w:left w:val="nil"/>
              <w:bottom w:val="nil"/>
              <w:right w:val="nil"/>
            </w:tcBorders>
            <w:vAlign w:val="center"/>
          </w:tcPr>
          <w:p w14:paraId="00E040BF" w14:textId="05FC67F3" w:rsidR="00750122" w:rsidRPr="009F1618" w:rsidRDefault="0034569F" w:rsidP="009F1618">
            <w:pPr>
              <w:jc w:val="both"/>
              <w:rPr>
                <w:rFonts w:ascii="Cambria Math" w:hAnsi="Cambria Math" w:cs="Calibri"/>
                <w:sz w:val="22"/>
                <w:szCs w:val="22"/>
                <w:oMath/>
              </w:rPr>
            </w:pPr>
            <m:oMathPara>
              <m:oMath>
                <m:r>
                  <w:rPr>
                    <w:rFonts w:ascii="Cambria Math" w:eastAsia="Aptos" w:hAnsi="Cambria Math" w:cs="Calibri"/>
                    <w:sz w:val="22"/>
                    <w:szCs w:val="22"/>
                  </w:rPr>
                  <m:t>10.37</m:t>
                </m:r>
              </m:oMath>
            </m:oMathPara>
          </w:p>
          <w:p w14:paraId="36208168" w14:textId="3F2C83E2"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(16.26)</m:t>
                </m:r>
              </m:oMath>
            </m:oMathPara>
          </w:p>
        </w:tc>
      </w:tr>
      <w:tr w:rsidR="00750122" w:rsidRPr="009F1618" w14:paraId="4563C34C" w14:textId="77777777" w:rsidTr="002166FB">
        <w:trPr>
          <w:cantSplit/>
          <w:trHeight w:val="293"/>
        </w:trPr>
        <w:tc>
          <w:tcPr>
            <w:tcW w:w="2268" w:type="dxa"/>
            <w:tcBorders>
              <w:top w:val="nil"/>
              <w:left w:val="nil"/>
              <w:bottom w:val="nil"/>
              <w:right w:val="nil"/>
            </w:tcBorders>
            <w:vAlign w:val="center"/>
          </w:tcPr>
          <w:p w14:paraId="67A1B055" w14:textId="77777777" w:rsidR="00750122" w:rsidRPr="009F1618" w:rsidRDefault="0075012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40F68EE3" w14:textId="77777777" w:rsidR="00750122" w:rsidRPr="009F1618" w:rsidRDefault="0075012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4DD4646B" w14:textId="77777777" w:rsidR="00750122" w:rsidRPr="009F1618" w:rsidRDefault="0075012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681D416C" w14:textId="77777777" w:rsidR="00750122" w:rsidRPr="009F1618" w:rsidRDefault="00750122" w:rsidP="009F1618">
            <w:pPr>
              <w:jc w:val="both"/>
              <w:rPr>
                <w:rFonts w:ascii="Calibri" w:eastAsia="Aptos" w:hAnsi="Calibri" w:cs="Calibri"/>
                <w:sz w:val="22"/>
                <w:szCs w:val="22"/>
              </w:rPr>
            </w:pPr>
          </w:p>
        </w:tc>
      </w:tr>
      <w:tr w:rsidR="00750122" w:rsidRPr="009F1618" w14:paraId="29204A27" w14:textId="77777777" w:rsidTr="002166FB">
        <w:trPr>
          <w:cantSplit/>
          <w:trHeight w:val="293"/>
        </w:trPr>
        <w:tc>
          <w:tcPr>
            <w:tcW w:w="9072" w:type="dxa"/>
            <w:gridSpan w:val="4"/>
            <w:tcBorders>
              <w:top w:val="nil"/>
              <w:left w:val="nil"/>
              <w:bottom w:val="nil"/>
              <w:right w:val="nil"/>
            </w:tcBorders>
            <w:vAlign w:val="center"/>
          </w:tcPr>
          <w:p w14:paraId="1F480624" w14:textId="32C9135E" w:rsidR="00750122" w:rsidRPr="009F1618" w:rsidRDefault="00AA6025" w:rsidP="009F1618">
            <w:pPr>
              <w:jc w:val="both"/>
              <w:rPr>
                <w:rFonts w:ascii="Calibri" w:eastAsia="Aptos" w:hAnsi="Calibri" w:cs="Calibri"/>
                <w:sz w:val="22"/>
                <w:szCs w:val="22"/>
              </w:rPr>
            </w:pPr>
            <w:r w:rsidRPr="009F1618">
              <w:rPr>
                <w:rFonts w:ascii="Calibri" w:hAnsi="Calibri" w:cs="Calibri"/>
                <w:sz w:val="22"/>
                <w:szCs w:val="22"/>
              </w:rPr>
              <w:t xml:space="preserve">Model B without linear trend and constant in cointegration, </w:t>
            </w:r>
            <m:oMath>
              <m:r>
                <w:rPr>
                  <w:rFonts w:ascii="Cambria Math" w:hAnsi="Cambria Math" w:cs="Calibri"/>
                  <w:sz w:val="22"/>
                  <w:szCs w:val="22"/>
                </w:rPr>
                <m:t>r=1</m:t>
              </m:r>
            </m:oMath>
          </w:p>
        </w:tc>
      </w:tr>
      <w:tr w:rsidR="00750122" w:rsidRPr="009F1618" w14:paraId="474C355D" w14:textId="77777777" w:rsidTr="002166FB">
        <w:trPr>
          <w:cantSplit/>
          <w:trHeight w:val="293"/>
        </w:trPr>
        <w:tc>
          <w:tcPr>
            <w:tcW w:w="2268" w:type="dxa"/>
            <w:tcBorders>
              <w:top w:val="nil"/>
              <w:left w:val="nil"/>
              <w:bottom w:val="nil"/>
              <w:right w:val="nil"/>
            </w:tcBorders>
            <w:vAlign w:val="center"/>
          </w:tcPr>
          <w:p w14:paraId="56C9810D" w14:textId="311FB5A6" w:rsidR="0075012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r=0</m:t>
                </m:r>
              </m:oMath>
            </m:oMathPara>
          </w:p>
        </w:tc>
        <w:tc>
          <w:tcPr>
            <w:tcW w:w="2268" w:type="dxa"/>
            <w:tcBorders>
              <w:top w:val="nil"/>
              <w:left w:val="nil"/>
              <w:bottom w:val="nil"/>
              <w:right w:val="nil"/>
            </w:tcBorders>
            <w:vAlign w:val="center"/>
          </w:tcPr>
          <w:p w14:paraId="0B68A31F" w14:textId="29CC4E31" w:rsidR="0075012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0.110</m:t>
                </m:r>
              </m:oMath>
            </m:oMathPara>
          </w:p>
        </w:tc>
        <w:tc>
          <w:tcPr>
            <w:tcW w:w="2268" w:type="dxa"/>
            <w:tcBorders>
              <w:top w:val="nil"/>
              <w:left w:val="nil"/>
              <w:bottom w:val="nil"/>
              <w:right w:val="nil"/>
            </w:tcBorders>
            <w:vAlign w:val="center"/>
          </w:tcPr>
          <w:p w14:paraId="4846961B" w14:textId="1DE08685"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28.72</m:t>
                </m:r>
              </m:oMath>
            </m:oMathPara>
          </w:p>
          <w:p w14:paraId="56F96C57" w14:textId="49955231"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(33.24)</m:t>
                </m:r>
              </m:oMath>
            </m:oMathPara>
          </w:p>
        </w:tc>
        <w:tc>
          <w:tcPr>
            <w:tcW w:w="2268" w:type="dxa"/>
            <w:tcBorders>
              <w:top w:val="nil"/>
              <w:left w:val="nil"/>
              <w:bottom w:val="nil"/>
              <w:right w:val="nil"/>
            </w:tcBorders>
            <w:vAlign w:val="center"/>
          </w:tcPr>
          <w:p w14:paraId="39BE19FA" w14:textId="007EEC49" w:rsidR="00750122" w:rsidRPr="009F1618" w:rsidRDefault="006F56BE" w:rsidP="009F1618">
            <w:pPr>
              <w:jc w:val="both"/>
              <w:rPr>
                <w:rFonts w:ascii="Cambria Math" w:hAnsi="Cambria Math" w:cs="Calibri"/>
                <w:sz w:val="22"/>
                <w:szCs w:val="22"/>
                <w:oMath/>
              </w:rPr>
            </w:pPr>
            <m:oMathPara>
              <m:oMath>
                <m:r>
                  <w:rPr>
                    <w:rFonts w:ascii="Cambria Math" w:hAnsi="Cambria Math" w:cs="Calibri"/>
                    <w:sz w:val="22"/>
                    <w:szCs w:val="22"/>
                  </w:rPr>
                  <m:t>69.29</m:t>
                </m:r>
              </m:oMath>
            </m:oMathPara>
          </w:p>
          <w:p w14:paraId="4CF75387" w14:textId="203B4EC4"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(60.16)</m:t>
                </m:r>
              </m:oMath>
            </m:oMathPara>
          </w:p>
        </w:tc>
      </w:tr>
      <w:tr w:rsidR="00750122" w:rsidRPr="009F1618" w14:paraId="5A5810A2" w14:textId="77777777" w:rsidTr="002166FB">
        <w:trPr>
          <w:cantSplit/>
          <w:trHeight w:val="293"/>
        </w:trPr>
        <w:tc>
          <w:tcPr>
            <w:tcW w:w="2268" w:type="dxa"/>
            <w:tcBorders>
              <w:top w:val="nil"/>
              <w:left w:val="nil"/>
              <w:bottom w:val="nil"/>
              <w:right w:val="nil"/>
            </w:tcBorders>
            <w:vAlign w:val="center"/>
          </w:tcPr>
          <w:p w14:paraId="51A80A06" w14:textId="1D22B06A" w:rsidR="0075012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r≤1</m:t>
                </m:r>
              </m:oMath>
            </m:oMathPara>
          </w:p>
        </w:tc>
        <w:tc>
          <w:tcPr>
            <w:tcW w:w="2268" w:type="dxa"/>
            <w:tcBorders>
              <w:top w:val="nil"/>
              <w:left w:val="nil"/>
              <w:bottom w:val="nil"/>
              <w:right w:val="nil"/>
            </w:tcBorders>
            <w:vAlign w:val="center"/>
          </w:tcPr>
          <w:p w14:paraId="36956ED5" w14:textId="1E49690F" w:rsidR="0075012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0.073</m:t>
                </m:r>
              </m:oMath>
            </m:oMathPara>
          </w:p>
        </w:tc>
        <w:tc>
          <w:tcPr>
            <w:tcW w:w="2268" w:type="dxa"/>
            <w:tcBorders>
              <w:top w:val="nil"/>
              <w:left w:val="nil"/>
              <w:bottom w:val="nil"/>
              <w:right w:val="nil"/>
            </w:tcBorders>
            <w:vAlign w:val="center"/>
          </w:tcPr>
          <w:p w14:paraId="1DC9B560" w14:textId="015017BE" w:rsidR="00750122" w:rsidRPr="009F1618" w:rsidRDefault="00E875C1" w:rsidP="009F1618">
            <w:pPr>
              <w:jc w:val="both"/>
              <w:rPr>
                <w:rFonts w:ascii="Cambria Math" w:hAnsi="Cambria Math" w:cs="Calibri"/>
                <w:sz w:val="22"/>
                <w:szCs w:val="22"/>
                <w:oMath/>
              </w:rPr>
            </w:pPr>
            <m:oMathPara>
              <m:oMath>
                <m:r>
                  <w:rPr>
                    <w:rFonts w:ascii="Cambria Math" w:hAnsi="Cambria Math" w:cs="Calibri"/>
                    <w:sz w:val="22"/>
                    <w:szCs w:val="22"/>
                  </w:rPr>
                  <m:t>18.38</m:t>
                </m:r>
              </m:oMath>
            </m:oMathPara>
          </w:p>
          <w:p w14:paraId="5E3FEF1A" w14:textId="78AB8117"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(26.81)</m:t>
                </m:r>
              </m:oMath>
            </m:oMathPara>
          </w:p>
        </w:tc>
        <w:tc>
          <w:tcPr>
            <w:tcW w:w="2268" w:type="dxa"/>
            <w:tcBorders>
              <w:top w:val="nil"/>
              <w:left w:val="nil"/>
              <w:bottom w:val="nil"/>
              <w:right w:val="nil"/>
            </w:tcBorders>
            <w:vAlign w:val="center"/>
          </w:tcPr>
          <w:p w14:paraId="55C4A05F" w14:textId="6684463A" w:rsidR="00750122" w:rsidRPr="009F1618" w:rsidRDefault="00357EF7" w:rsidP="009F1618">
            <w:pPr>
              <w:jc w:val="both"/>
              <w:rPr>
                <w:rFonts w:ascii="Cambria Math" w:hAnsi="Cambria Math" w:cs="Calibri"/>
                <w:sz w:val="22"/>
                <w:szCs w:val="22"/>
                <w:oMath/>
              </w:rPr>
            </w:pPr>
            <m:oMathPara>
              <m:oMath>
                <m:r>
                  <w:rPr>
                    <w:rFonts w:ascii="Cambria Math" w:hAnsi="Cambria Math" w:cs="Calibri"/>
                    <w:sz w:val="22"/>
                    <w:szCs w:val="22"/>
                  </w:rPr>
                  <m:t>40.58</m:t>
                </m:r>
              </m:oMath>
            </m:oMathPara>
          </w:p>
          <w:p w14:paraId="734933E0" w14:textId="099F53EA"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(41.07)</m:t>
                </m:r>
              </m:oMath>
            </m:oMathPara>
          </w:p>
        </w:tc>
      </w:tr>
      <w:tr w:rsidR="00750122" w:rsidRPr="009F1618" w14:paraId="575703DA" w14:textId="77777777" w:rsidTr="002166FB">
        <w:trPr>
          <w:cantSplit/>
          <w:trHeight w:val="293"/>
        </w:trPr>
        <w:tc>
          <w:tcPr>
            <w:tcW w:w="2268" w:type="dxa"/>
            <w:tcBorders>
              <w:top w:val="nil"/>
              <w:left w:val="nil"/>
              <w:bottom w:val="nil"/>
              <w:right w:val="nil"/>
            </w:tcBorders>
            <w:vAlign w:val="center"/>
          </w:tcPr>
          <w:p w14:paraId="7F830538" w14:textId="33CE425D" w:rsidR="0075012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r≤2</m:t>
                </m:r>
              </m:oMath>
            </m:oMathPara>
          </w:p>
        </w:tc>
        <w:tc>
          <w:tcPr>
            <w:tcW w:w="2268" w:type="dxa"/>
            <w:tcBorders>
              <w:top w:val="nil"/>
              <w:left w:val="nil"/>
              <w:bottom w:val="nil"/>
              <w:right w:val="nil"/>
            </w:tcBorders>
            <w:vAlign w:val="center"/>
          </w:tcPr>
          <w:p w14:paraId="606C2489" w14:textId="4062FE5E" w:rsidR="0075012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0.049</m:t>
                </m:r>
              </m:oMath>
            </m:oMathPara>
          </w:p>
        </w:tc>
        <w:tc>
          <w:tcPr>
            <w:tcW w:w="2268" w:type="dxa"/>
            <w:tcBorders>
              <w:top w:val="nil"/>
              <w:left w:val="nil"/>
              <w:bottom w:val="nil"/>
              <w:right w:val="nil"/>
            </w:tcBorders>
            <w:vAlign w:val="center"/>
          </w:tcPr>
          <w:p w14:paraId="2FC28AE4" w14:textId="30C52521" w:rsidR="0075012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12.20</m:t>
                </m:r>
              </m:oMath>
            </m:oMathPara>
          </w:p>
          <w:p w14:paraId="55570E9D" w14:textId="162E39AF"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(20.20)</m:t>
                </m:r>
              </m:oMath>
            </m:oMathPara>
          </w:p>
        </w:tc>
        <w:tc>
          <w:tcPr>
            <w:tcW w:w="2268" w:type="dxa"/>
            <w:tcBorders>
              <w:top w:val="nil"/>
              <w:left w:val="nil"/>
              <w:bottom w:val="nil"/>
              <w:right w:val="nil"/>
            </w:tcBorders>
            <w:vAlign w:val="center"/>
          </w:tcPr>
          <w:p w14:paraId="07D8894F" w14:textId="0667A81F" w:rsidR="00750122" w:rsidRPr="009F1618" w:rsidRDefault="00357EF7" w:rsidP="009F1618">
            <w:pPr>
              <w:jc w:val="both"/>
              <w:rPr>
                <w:rFonts w:ascii="Cambria Math" w:hAnsi="Cambria Math" w:cs="Calibri"/>
                <w:sz w:val="22"/>
                <w:szCs w:val="22"/>
                <w:oMath/>
              </w:rPr>
            </w:pPr>
            <m:oMathPara>
              <m:oMath>
                <m:r>
                  <w:rPr>
                    <w:rFonts w:ascii="Cambria Math" w:hAnsi="Cambria Math" w:cs="Calibri"/>
                    <w:sz w:val="22"/>
                    <w:szCs w:val="22"/>
                  </w:rPr>
                  <m:t>22.20</m:t>
                </m:r>
              </m:oMath>
            </m:oMathPara>
          </w:p>
          <w:p w14:paraId="1918613C" w14:textId="51A973EB" w:rsidR="0075012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(24.60)</m:t>
                </m:r>
              </m:oMath>
            </m:oMathPara>
          </w:p>
        </w:tc>
      </w:tr>
      <w:tr w:rsidR="00750122" w:rsidRPr="009F1618" w14:paraId="6D9A3438" w14:textId="77777777" w:rsidTr="002166FB">
        <w:trPr>
          <w:cantSplit/>
          <w:trHeight w:val="587"/>
        </w:trPr>
        <w:tc>
          <w:tcPr>
            <w:tcW w:w="2268" w:type="dxa"/>
            <w:tcBorders>
              <w:top w:val="nil"/>
              <w:left w:val="nil"/>
              <w:bottom w:val="nil"/>
              <w:right w:val="nil"/>
            </w:tcBorders>
            <w:vAlign w:val="center"/>
          </w:tcPr>
          <w:p w14:paraId="403B9FDB" w14:textId="2A8176CE" w:rsidR="0075012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r≤3</m:t>
                </m:r>
              </m:oMath>
            </m:oMathPara>
          </w:p>
        </w:tc>
        <w:tc>
          <w:tcPr>
            <w:tcW w:w="2268" w:type="dxa"/>
            <w:tcBorders>
              <w:top w:val="nil"/>
              <w:left w:val="nil"/>
              <w:bottom w:val="nil"/>
              <w:right w:val="nil"/>
            </w:tcBorders>
            <w:vAlign w:val="center"/>
          </w:tcPr>
          <w:p w14:paraId="4A707058" w14:textId="6CD0E339" w:rsidR="00750122" w:rsidRPr="009F1618" w:rsidRDefault="00EB1FBC" w:rsidP="009F1618">
            <w:pPr>
              <w:jc w:val="both"/>
              <w:rPr>
                <w:rFonts w:ascii="Calibri" w:eastAsia="Aptos" w:hAnsi="Calibri" w:cs="Calibri"/>
                <w:sz w:val="22"/>
                <w:szCs w:val="22"/>
              </w:rPr>
            </w:pPr>
            <m:oMathPara>
              <m:oMath>
                <m:r>
                  <w:rPr>
                    <w:rFonts w:ascii="Cambria Math" w:eastAsia="Aptos" w:hAnsi="Cambria Math" w:cs="Calibri"/>
                    <w:sz w:val="22"/>
                    <w:szCs w:val="22"/>
                  </w:rPr>
                  <m:t>0.040</m:t>
                </m:r>
              </m:oMath>
            </m:oMathPara>
          </w:p>
        </w:tc>
        <w:tc>
          <w:tcPr>
            <w:tcW w:w="2268" w:type="dxa"/>
            <w:tcBorders>
              <w:top w:val="nil"/>
              <w:left w:val="nil"/>
              <w:bottom w:val="nil"/>
              <w:right w:val="nil"/>
            </w:tcBorders>
            <w:vAlign w:val="center"/>
          </w:tcPr>
          <w:p w14:paraId="5692CD5D" w14:textId="24A9EE48" w:rsidR="00750122" w:rsidRPr="009F1618" w:rsidRDefault="00BD6991"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10.00</m:t>
                </m:r>
              </m:oMath>
            </m:oMathPara>
          </w:p>
          <w:p w14:paraId="58DD4A1E" w14:textId="2626FB47" w:rsidR="00750122" w:rsidRPr="009F1618" w:rsidRDefault="00EB1FBC"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(12.97)</m:t>
                </m:r>
              </m:oMath>
            </m:oMathPara>
          </w:p>
        </w:tc>
        <w:tc>
          <w:tcPr>
            <w:tcW w:w="2268" w:type="dxa"/>
            <w:tcBorders>
              <w:top w:val="nil"/>
              <w:left w:val="nil"/>
              <w:bottom w:val="nil"/>
              <w:right w:val="nil"/>
            </w:tcBorders>
            <w:vAlign w:val="center"/>
          </w:tcPr>
          <w:p w14:paraId="3C7138DD" w14:textId="40829255" w:rsidR="00750122" w:rsidRPr="009F1618" w:rsidRDefault="004B6C0D"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10.00</m:t>
                </m:r>
              </m:oMath>
            </m:oMathPara>
          </w:p>
          <w:p w14:paraId="223BDD01" w14:textId="3A348272" w:rsidR="00750122" w:rsidRPr="009F1618" w:rsidRDefault="00EB1FBC"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(12.97)</m:t>
                </m:r>
              </m:oMath>
            </m:oMathPara>
          </w:p>
        </w:tc>
      </w:tr>
      <w:tr w:rsidR="00750122" w:rsidRPr="009F1618" w14:paraId="6F0B5CBF" w14:textId="77777777" w:rsidTr="008049B4">
        <w:trPr>
          <w:cantSplit/>
          <w:trHeight w:val="293"/>
        </w:trPr>
        <w:tc>
          <w:tcPr>
            <w:tcW w:w="2268" w:type="dxa"/>
            <w:tcBorders>
              <w:top w:val="nil"/>
              <w:left w:val="nil"/>
              <w:bottom w:val="nil"/>
              <w:right w:val="nil"/>
            </w:tcBorders>
            <w:vAlign w:val="center"/>
          </w:tcPr>
          <w:p w14:paraId="4FD245C6" w14:textId="77777777" w:rsidR="00750122" w:rsidRPr="009F1618" w:rsidRDefault="0075012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50CB9977" w14:textId="77777777" w:rsidR="00750122" w:rsidRPr="009F1618" w:rsidRDefault="0075012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2DCB5095" w14:textId="77777777" w:rsidR="00750122" w:rsidRPr="009F1618" w:rsidRDefault="0075012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6BDF429C" w14:textId="77777777" w:rsidR="00750122" w:rsidRPr="009F1618" w:rsidRDefault="00750122" w:rsidP="009F1618">
            <w:pPr>
              <w:jc w:val="both"/>
              <w:rPr>
                <w:rFonts w:ascii="Calibri" w:eastAsia="Aptos" w:hAnsi="Calibri" w:cs="Calibri"/>
                <w:sz w:val="22"/>
                <w:szCs w:val="22"/>
              </w:rPr>
            </w:pPr>
          </w:p>
        </w:tc>
      </w:tr>
      <w:tr w:rsidR="00750122" w:rsidRPr="009F1618" w14:paraId="59D69E17" w14:textId="77777777" w:rsidTr="008049B4">
        <w:trPr>
          <w:cantSplit/>
          <w:trHeight w:val="293"/>
        </w:trPr>
        <w:tc>
          <w:tcPr>
            <w:tcW w:w="9072" w:type="dxa"/>
            <w:gridSpan w:val="4"/>
            <w:tcBorders>
              <w:top w:val="nil"/>
              <w:left w:val="nil"/>
              <w:bottom w:val="single" w:sz="4" w:space="0" w:color="auto"/>
              <w:right w:val="nil"/>
            </w:tcBorders>
            <w:vAlign w:val="center"/>
          </w:tcPr>
          <w:p w14:paraId="21F1F1D1" w14:textId="5DB1EB6C" w:rsidR="00750122" w:rsidRPr="009F1618" w:rsidRDefault="00750122"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L</m:t>
                </m:r>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λ</m:t>
                    </m:r>
                  </m:sub>
                </m:sSub>
                <m:r>
                  <w:rPr>
                    <w:rFonts w:ascii="Cambria Math" w:hAnsi="Cambria Math" w:cs="Calibri"/>
                    <w:sz w:val="22"/>
                    <w:szCs w:val="22"/>
                  </w:rPr>
                  <m:t xml:space="preserve">=5.554&lt;11.345 </m:t>
                </m:r>
                <m:d>
                  <m:dPr>
                    <m:ctrlPr>
                      <w:rPr>
                        <w:rFonts w:ascii="Cambria Math" w:hAnsi="Cambria Math" w:cs="Calibri"/>
                        <w:i/>
                        <w:sz w:val="22"/>
                        <w:szCs w:val="22"/>
                      </w:rPr>
                    </m:ctrlPr>
                  </m:dPr>
                  <m:e>
                    <m:r>
                      <w:rPr>
                        <w:rFonts w:ascii="Cambria Math" w:hAnsi="Cambria Math" w:cs="Calibri"/>
                        <w:sz w:val="22"/>
                        <w:szCs w:val="22"/>
                      </w:rPr>
                      <m:t>df=3;α=1%</m:t>
                    </m:r>
                  </m:e>
                </m:d>
                <m:r>
                  <w:rPr>
                    <w:rFonts w:ascii="Cambria Math" w:hAnsi="Cambria Math" w:cs="Calibri"/>
                    <w:sz w:val="22"/>
                    <w:szCs w:val="22"/>
                  </w:rPr>
                  <m:t xml:space="preserve"> </m:t>
                </m:r>
              </m:oMath>
            </m:oMathPara>
          </w:p>
        </w:tc>
      </w:tr>
      <w:tr w:rsidR="00750122" w:rsidRPr="009F1618" w14:paraId="3A2511B0" w14:textId="77777777" w:rsidTr="008049B4">
        <w:trPr>
          <w:cantSplit/>
          <w:trHeight w:val="263"/>
        </w:trPr>
        <w:tc>
          <w:tcPr>
            <w:tcW w:w="9072" w:type="dxa"/>
            <w:gridSpan w:val="4"/>
            <w:tcBorders>
              <w:top w:val="single" w:sz="4" w:space="0" w:color="auto"/>
              <w:left w:val="nil"/>
              <w:bottom w:val="single" w:sz="4" w:space="0" w:color="auto"/>
              <w:right w:val="nil"/>
            </w:tcBorders>
            <w:vAlign w:val="center"/>
          </w:tcPr>
          <w:p w14:paraId="197BB6EB" w14:textId="77777777" w:rsidR="00750122" w:rsidRPr="009F1618" w:rsidRDefault="00750122" w:rsidP="009F1618">
            <w:pPr>
              <w:jc w:val="both"/>
              <w:rPr>
                <w:rFonts w:ascii="Calibri" w:eastAsia="Times New Roman" w:hAnsi="Calibri" w:cs="Calibri"/>
                <w:sz w:val="22"/>
                <w:szCs w:val="22"/>
              </w:rPr>
            </w:pPr>
            <w:r w:rsidRPr="009F1618">
              <w:rPr>
                <w:rFonts w:ascii="Calibri" w:eastAsia="Times New Roman" w:hAnsi="Calibri" w:cs="Calibri"/>
                <w:sz w:val="22"/>
                <w:szCs w:val="22"/>
              </w:rPr>
              <w:t>SMP</w:t>
            </w:r>
          </w:p>
        </w:tc>
      </w:tr>
      <w:tr w:rsidR="00750122" w:rsidRPr="009F1618" w14:paraId="5FCB1899" w14:textId="77777777" w:rsidTr="002166FB">
        <w:trPr>
          <w:cantSplit/>
          <w:trHeight w:val="295"/>
        </w:trPr>
        <w:tc>
          <w:tcPr>
            <w:tcW w:w="2268" w:type="dxa"/>
            <w:tcBorders>
              <w:top w:val="single" w:sz="4" w:space="0" w:color="auto"/>
              <w:left w:val="nil"/>
              <w:bottom w:val="single" w:sz="4" w:space="0" w:color="auto"/>
              <w:right w:val="nil"/>
            </w:tcBorders>
            <w:vAlign w:val="center"/>
          </w:tcPr>
          <w:p w14:paraId="3B246F3E" w14:textId="77777777" w:rsidR="00750122" w:rsidRPr="009F1618" w:rsidRDefault="00750122" w:rsidP="009F1618">
            <w:pPr>
              <w:jc w:val="both"/>
              <w:rPr>
                <w:rFonts w:ascii="Calibri" w:hAnsi="Calibri" w:cs="Calibri"/>
                <w:sz w:val="22"/>
                <w:szCs w:val="22"/>
              </w:rPr>
            </w:pPr>
          </w:p>
        </w:tc>
        <w:tc>
          <w:tcPr>
            <w:tcW w:w="2268" w:type="dxa"/>
            <w:tcBorders>
              <w:top w:val="single" w:sz="4" w:space="0" w:color="auto"/>
              <w:left w:val="nil"/>
              <w:bottom w:val="single" w:sz="4" w:space="0" w:color="auto"/>
              <w:right w:val="nil"/>
            </w:tcBorders>
            <w:vAlign w:val="center"/>
          </w:tcPr>
          <w:p w14:paraId="7FCC8359" w14:textId="77777777" w:rsidR="00750122" w:rsidRPr="009F1618" w:rsidRDefault="00750122" w:rsidP="009F1618">
            <w:pPr>
              <w:jc w:val="both"/>
              <w:rPr>
                <w:rFonts w:ascii="Calibri" w:eastAsiaTheme="minorEastAsia" w:hAnsi="Calibri" w:cs="Calibri"/>
                <w:sz w:val="22"/>
                <w:szCs w:val="22"/>
              </w:rPr>
            </w:pPr>
            <w:r w:rsidRPr="009F1618">
              <w:rPr>
                <w:rFonts w:ascii="Calibri" w:eastAsiaTheme="minorEastAsia" w:hAnsi="Calibri" w:cs="Calibri"/>
                <w:sz w:val="22"/>
                <w:szCs w:val="22"/>
              </w:rPr>
              <w:t xml:space="preserve">Estimated </w:t>
            </w:r>
            <m:oMath>
              <m:r>
                <w:rPr>
                  <w:rFonts w:ascii="Cambria Math" w:hAnsi="Cambria Math" w:cs="Calibri"/>
                  <w:sz w:val="22"/>
                  <w:szCs w:val="22"/>
                </w:rPr>
                <m:t>λ</m:t>
              </m:r>
            </m:oMath>
          </w:p>
        </w:tc>
        <w:tc>
          <w:tcPr>
            <w:tcW w:w="2268" w:type="dxa"/>
            <w:tcBorders>
              <w:top w:val="single" w:sz="4" w:space="0" w:color="auto"/>
              <w:left w:val="nil"/>
              <w:bottom w:val="single" w:sz="4" w:space="0" w:color="auto"/>
              <w:right w:val="nil"/>
            </w:tcBorders>
            <w:vAlign w:val="center"/>
          </w:tcPr>
          <w:p w14:paraId="63D7E7C3" w14:textId="77777777" w:rsidR="00750122" w:rsidRPr="009F1618" w:rsidRDefault="00E1356D" w:rsidP="009F1618">
            <w:pPr>
              <w:jc w:val="both"/>
              <w:rPr>
                <w:rFonts w:ascii="Calibri" w:eastAsiaTheme="minorEastAsia"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λ</m:t>
                    </m:r>
                  </m:e>
                  <m:sub>
                    <m:r>
                      <w:rPr>
                        <w:rFonts w:ascii="Cambria Math" w:hAnsi="Cambria Math" w:cs="Calibri"/>
                        <w:sz w:val="22"/>
                        <w:szCs w:val="22"/>
                      </w:rPr>
                      <m:t>max</m:t>
                    </m:r>
                  </m:sub>
                </m:sSub>
              </m:oMath>
            </m:oMathPara>
          </w:p>
        </w:tc>
        <w:tc>
          <w:tcPr>
            <w:tcW w:w="2268" w:type="dxa"/>
            <w:tcBorders>
              <w:top w:val="single" w:sz="4" w:space="0" w:color="auto"/>
              <w:left w:val="nil"/>
              <w:bottom w:val="single" w:sz="4" w:space="0" w:color="auto"/>
              <w:right w:val="nil"/>
            </w:tcBorders>
            <w:vAlign w:val="center"/>
          </w:tcPr>
          <w:p w14:paraId="6CE31C8C" w14:textId="77777777" w:rsidR="00750122" w:rsidRPr="009F1618" w:rsidRDefault="00E1356D" w:rsidP="009F1618">
            <w:pPr>
              <w:jc w:val="both"/>
              <w:rPr>
                <w:rFonts w:ascii="Calibri" w:eastAsiaTheme="minorEastAsia"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λ</m:t>
                    </m:r>
                  </m:e>
                  <m:sub>
                    <m:r>
                      <w:rPr>
                        <w:rFonts w:ascii="Cambria Math" w:hAnsi="Cambria Math" w:cs="Calibri"/>
                        <w:sz w:val="22"/>
                        <w:szCs w:val="22"/>
                      </w:rPr>
                      <m:t>trace</m:t>
                    </m:r>
                  </m:sub>
                </m:sSub>
              </m:oMath>
            </m:oMathPara>
          </w:p>
        </w:tc>
      </w:tr>
      <w:tr w:rsidR="00750122" w:rsidRPr="009F1618" w14:paraId="5A0CF347" w14:textId="77777777" w:rsidTr="002166FB">
        <w:trPr>
          <w:cantSplit/>
          <w:trHeight w:val="422"/>
        </w:trPr>
        <w:tc>
          <w:tcPr>
            <w:tcW w:w="9072" w:type="dxa"/>
            <w:gridSpan w:val="4"/>
            <w:tcBorders>
              <w:top w:val="single" w:sz="4" w:space="0" w:color="auto"/>
              <w:left w:val="nil"/>
              <w:bottom w:val="nil"/>
              <w:right w:val="nil"/>
            </w:tcBorders>
            <w:vAlign w:val="center"/>
          </w:tcPr>
          <w:p w14:paraId="0D7B9B99" w14:textId="464A695F" w:rsidR="00750122" w:rsidRPr="009F1618" w:rsidRDefault="00A94679" w:rsidP="009F1618">
            <w:pPr>
              <w:jc w:val="both"/>
              <w:rPr>
                <w:rFonts w:ascii="Calibri" w:eastAsiaTheme="minorEastAsia" w:hAnsi="Calibri" w:cs="Calibri"/>
                <w:sz w:val="22"/>
                <w:szCs w:val="22"/>
              </w:rPr>
            </w:pPr>
            <w:r w:rsidRPr="009F1618">
              <w:rPr>
                <w:rFonts w:ascii="Calibri" w:hAnsi="Calibri" w:cs="Calibri"/>
                <w:sz w:val="22"/>
                <w:szCs w:val="22"/>
              </w:rPr>
              <w:t xml:space="preserve">Model A </w:t>
            </w:r>
            <w:r w:rsidR="00AA6025" w:rsidRPr="009F1618">
              <w:rPr>
                <w:rFonts w:ascii="Calibri" w:hAnsi="Calibri" w:cs="Calibri"/>
                <w:sz w:val="22"/>
                <w:szCs w:val="22"/>
              </w:rPr>
              <w:t>with</w:t>
            </w:r>
            <w:r w:rsidRPr="009F1618">
              <w:rPr>
                <w:rFonts w:ascii="Calibri" w:hAnsi="Calibri" w:cs="Calibri"/>
                <w:sz w:val="22"/>
                <w:szCs w:val="22"/>
              </w:rPr>
              <w:t xml:space="preserve"> a linear trend in cointegration</w:t>
            </w:r>
            <w:r w:rsidR="00750122" w:rsidRPr="009F1618">
              <w:rPr>
                <w:rFonts w:ascii="Calibri" w:hAnsi="Calibri" w:cs="Calibri"/>
                <w:sz w:val="22"/>
                <w:szCs w:val="22"/>
              </w:rPr>
              <w:t xml:space="preserve">, </w:t>
            </w:r>
            <m:oMath>
              <m:r>
                <w:rPr>
                  <w:rFonts w:ascii="Cambria Math" w:hAnsi="Cambria Math" w:cs="Calibri"/>
                  <w:sz w:val="22"/>
                  <w:szCs w:val="22"/>
                </w:rPr>
                <m:t>r=1</m:t>
              </m:r>
            </m:oMath>
          </w:p>
        </w:tc>
      </w:tr>
      <w:tr w:rsidR="00684F82" w:rsidRPr="009F1618" w14:paraId="03A787C4" w14:textId="77777777" w:rsidTr="002166FB">
        <w:trPr>
          <w:cantSplit/>
          <w:trHeight w:val="352"/>
        </w:trPr>
        <w:tc>
          <w:tcPr>
            <w:tcW w:w="2268" w:type="dxa"/>
            <w:tcBorders>
              <w:top w:val="nil"/>
              <w:left w:val="nil"/>
              <w:bottom w:val="nil"/>
              <w:right w:val="nil"/>
            </w:tcBorders>
            <w:vAlign w:val="center"/>
          </w:tcPr>
          <w:p w14:paraId="3DDDDB8F" w14:textId="6031A124" w:rsidR="00684F82" w:rsidRPr="009F1618" w:rsidRDefault="00EB1FBC" w:rsidP="009F1618">
            <w:pPr>
              <w:jc w:val="both"/>
              <w:rPr>
                <w:rFonts w:ascii="Calibri" w:eastAsiaTheme="minorEastAsia" w:hAnsi="Calibri" w:cs="Calibri"/>
                <w:sz w:val="22"/>
                <w:szCs w:val="22"/>
              </w:rPr>
            </w:pPr>
            <m:oMathPara>
              <m:oMathParaPr>
                <m:jc m:val="left"/>
              </m:oMathParaPr>
              <m:oMath>
                <m:r>
                  <w:rPr>
                    <w:rFonts w:ascii="Cambria Math" w:hAnsi="Cambria Math" w:cs="Calibri"/>
                    <w:sz w:val="22"/>
                    <w:szCs w:val="22"/>
                  </w:rPr>
                  <m:t>r=0</m:t>
                </m:r>
              </m:oMath>
            </m:oMathPara>
          </w:p>
        </w:tc>
        <w:tc>
          <w:tcPr>
            <w:tcW w:w="2268" w:type="dxa"/>
            <w:tcBorders>
              <w:top w:val="nil"/>
              <w:left w:val="nil"/>
              <w:bottom w:val="nil"/>
              <w:right w:val="nil"/>
            </w:tcBorders>
            <w:vAlign w:val="center"/>
          </w:tcPr>
          <w:p w14:paraId="033CE4F4" w14:textId="06AEF539" w:rsidR="00684F82" w:rsidRPr="009F1618" w:rsidRDefault="00EB1FBC" w:rsidP="009F1618">
            <w:pPr>
              <w:jc w:val="both"/>
              <w:rPr>
                <w:rFonts w:ascii="Calibri" w:hAnsi="Calibri" w:cs="Calibri"/>
                <w:sz w:val="22"/>
                <w:szCs w:val="22"/>
              </w:rPr>
            </w:pPr>
            <m:oMathPara>
              <m:oMath>
                <m:r>
                  <w:rPr>
                    <w:rFonts w:ascii="Cambria Math" w:hAnsi="Cambria Math" w:cs="Calibri"/>
                    <w:sz w:val="22"/>
                    <w:szCs w:val="22"/>
                  </w:rPr>
                  <m:t>0.134</m:t>
                </m:r>
              </m:oMath>
            </m:oMathPara>
          </w:p>
        </w:tc>
        <w:tc>
          <w:tcPr>
            <w:tcW w:w="2268" w:type="dxa"/>
            <w:tcBorders>
              <w:top w:val="nil"/>
              <w:left w:val="nil"/>
              <w:bottom w:val="nil"/>
              <w:right w:val="nil"/>
            </w:tcBorders>
            <w:vAlign w:val="center"/>
          </w:tcPr>
          <w:p w14:paraId="52281C9C" w14:textId="01022FFA"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35.06</m:t>
                </m:r>
              </m:oMath>
            </m:oMathPara>
          </w:p>
          <w:p w14:paraId="67DE80D0" w14:textId="4BF73A00"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(36.65)</m:t>
                </m:r>
              </m:oMath>
            </m:oMathPara>
          </w:p>
        </w:tc>
        <w:tc>
          <w:tcPr>
            <w:tcW w:w="2268" w:type="dxa"/>
            <w:tcBorders>
              <w:top w:val="nil"/>
              <w:left w:val="nil"/>
              <w:bottom w:val="nil"/>
              <w:right w:val="nil"/>
            </w:tcBorders>
            <w:vAlign w:val="center"/>
          </w:tcPr>
          <w:p w14:paraId="5E008ADF" w14:textId="6678E3F8" w:rsidR="00684F82" w:rsidRPr="009F1618" w:rsidRDefault="00DB07B7" w:rsidP="009F1618">
            <w:pPr>
              <w:jc w:val="both"/>
              <w:rPr>
                <w:rFonts w:ascii="Cambria Math" w:hAnsi="Cambria Math" w:cs="Calibri"/>
                <w:sz w:val="22"/>
                <w:szCs w:val="22"/>
                <w:oMath/>
              </w:rPr>
            </w:pPr>
            <m:oMathPara>
              <m:oMath>
                <m:r>
                  <w:rPr>
                    <w:rFonts w:ascii="Cambria Math" w:hAnsi="Cambria Math" w:cs="Calibri"/>
                    <w:sz w:val="22"/>
                    <w:szCs w:val="22"/>
                  </w:rPr>
                  <m:t>80.45</m:t>
                </m:r>
              </m:oMath>
            </m:oMathPara>
          </w:p>
          <w:p w14:paraId="55DC68A6" w14:textId="46CEA1D2"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(70.05)</m:t>
                </m:r>
              </m:oMath>
            </m:oMathPara>
          </w:p>
        </w:tc>
      </w:tr>
      <w:tr w:rsidR="00684F82" w:rsidRPr="009F1618" w14:paraId="3D0437F2" w14:textId="77777777" w:rsidTr="002166FB">
        <w:trPr>
          <w:cantSplit/>
          <w:trHeight w:val="352"/>
        </w:trPr>
        <w:tc>
          <w:tcPr>
            <w:tcW w:w="2268" w:type="dxa"/>
            <w:tcBorders>
              <w:top w:val="nil"/>
              <w:left w:val="nil"/>
              <w:bottom w:val="nil"/>
              <w:right w:val="nil"/>
            </w:tcBorders>
            <w:vAlign w:val="center"/>
          </w:tcPr>
          <w:p w14:paraId="4D102D6A" w14:textId="739215F5" w:rsidR="00684F82" w:rsidRPr="009F1618" w:rsidRDefault="00EB1FBC" w:rsidP="009F1618">
            <w:pPr>
              <w:jc w:val="both"/>
              <w:rPr>
                <w:rFonts w:ascii="Calibri" w:hAnsi="Calibri" w:cs="Calibri"/>
                <w:sz w:val="22"/>
                <w:szCs w:val="22"/>
              </w:rPr>
            </w:pPr>
            <m:oMathPara>
              <m:oMathParaPr>
                <m:jc m:val="left"/>
              </m:oMathParaPr>
              <m:oMath>
                <m:r>
                  <w:rPr>
                    <w:rFonts w:ascii="Cambria Math" w:hAnsi="Cambria Math" w:cs="Calibri"/>
                    <w:sz w:val="22"/>
                    <w:szCs w:val="22"/>
                  </w:rPr>
                  <m:t>r≤1</m:t>
                </m:r>
              </m:oMath>
            </m:oMathPara>
          </w:p>
        </w:tc>
        <w:tc>
          <w:tcPr>
            <w:tcW w:w="2268" w:type="dxa"/>
            <w:tcBorders>
              <w:top w:val="nil"/>
              <w:left w:val="nil"/>
              <w:bottom w:val="nil"/>
              <w:right w:val="nil"/>
            </w:tcBorders>
            <w:vAlign w:val="center"/>
          </w:tcPr>
          <w:p w14:paraId="00AB12BB" w14:textId="0022D161" w:rsidR="00684F82" w:rsidRPr="009F1618" w:rsidRDefault="00EB1FBC" w:rsidP="009F1618">
            <w:pPr>
              <w:jc w:val="both"/>
              <w:rPr>
                <w:rFonts w:ascii="Calibri" w:hAnsi="Calibri" w:cs="Calibri"/>
                <w:sz w:val="22"/>
                <w:szCs w:val="22"/>
              </w:rPr>
            </w:pPr>
            <m:oMathPara>
              <m:oMath>
                <m:r>
                  <w:rPr>
                    <w:rFonts w:ascii="Cambria Math" w:hAnsi="Cambria Math" w:cs="Calibri"/>
                    <w:sz w:val="22"/>
                    <w:szCs w:val="22"/>
                  </w:rPr>
                  <m:t>0.098</m:t>
                </m:r>
              </m:oMath>
            </m:oMathPara>
          </w:p>
        </w:tc>
        <w:tc>
          <w:tcPr>
            <w:tcW w:w="2268" w:type="dxa"/>
            <w:tcBorders>
              <w:top w:val="nil"/>
              <w:left w:val="nil"/>
              <w:bottom w:val="nil"/>
              <w:right w:val="nil"/>
            </w:tcBorders>
            <w:vAlign w:val="center"/>
          </w:tcPr>
          <w:p w14:paraId="3DFA2D88" w14:textId="52C732C8"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25.06</m:t>
                </m:r>
              </m:oMath>
            </m:oMathPara>
          </w:p>
          <w:p w14:paraId="41B18A95" w14:textId="3EF3F381"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(30.34)</m:t>
                </m:r>
              </m:oMath>
            </m:oMathPara>
          </w:p>
        </w:tc>
        <w:tc>
          <w:tcPr>
            <w:tcW w:w="2268" w:type="dxa"/>
            <w:tcBorders>
              <w:top w:val="nil"/>
              <w:left w:val="nil"/>
              <w:bottom w:val="nil"/>
              <w:right w:val="nil"/>
            </w:tcBorders>
            <w:vAlign w:val="center"/>
          </w:tcPr>
          <w:p w14:paraId="531E42B4" w14:textId="2FD183B7"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45.40</m:t>
                </m:r>
              </m:oMath>
            </m:oMathPara>
          </w:p>
          <w:p w14:paraId="4AF1E5A8" w14:textId="13B6D3E2"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(48.45)</m:t>
                </m:r>
              </m:oMath>
            </m:oMathPara>
          </w:p>
        </w:tc>
      </w:tr>
      <w:tr w:rsidR="00684F82" w:rsidRPr="009F1618" w14:paraId="1A19207F" w14:textId="77777777" w:rsidTr="002166FB">
        <w:trPr>
          <w:cantSplit/>
          <w:trHeight w:val="369"/>
        </w:trPr>
        <w:tc>
          <w:tcPr>
            <w:tcW w:w="2268" w:type="dxa"/>
            <w:tcBorders>
              <w:top w:val="nil"/>
              <w:left w:val="nil"/>
              <w:bottom w:val="nil"/>
              <w:right w:val="nil"/>
            </w:tcBorders>
            <w:vAlign w:val="center"/>
          </w:tcPr>
          <w:p w14:paraId="65E3178D" w14:textId="25B07151" w:rsidR="00684F82" w:rsidRPr="009F1618" w:rsidRDefault="00EB1FBC" w:rsidP="009F1618">
            <w:pPr>
              <w:jc w:val="both"/>
              <w:rPr>
                <w:rFonts w:ascii="Calibri" w:hAnsi="Calibri" w:cs="Calibri"/>
                <w:sz w:val="22"/>
                <w:szCs w:val="22"/>
              </w:rPr>
            </w:pPr>
            <m:oMathPara>
              <m:oMathParaPr>
                <m:jc m:val="left"/>
              </m:oMathParaPr>
              <m:oMath>
                <m:r>
                  <w:rPr>
                    <w:rFonts w:ascii="Cambria Math" w:hAnsi="Cambria Math" w:cs="Calibri"/>
                    <w:sz w:val="22"/>
                    <w:szCs w:val="22"/>
                  </w:rPr>
                  <m:t>r≤2</m:t>
                </m:r>
              </m:oMath>
            </m:oMathPara>
          </w:p>
        </w:tc>
        <w:tc>
          <w:tcPr>
            <w:tcW w:w="2268" w:type="dxa"/>
            <w:tcBorders>
              <w:top w:val="nil"/>
              <w:left w:val="nil"/>
              <w:bottom w:val="nil"/>
              <w:right w:val="nil"/>
            </w:tcBorders>
            <w:vAlign w:val="center"/>
          </w:tcPr>
          <w:p w14:paraId="540B77DA" w14:textId="67EB34C1" w:rsidR="00684F82" w:rsidRPr="009F1618" w:rsidRDefault="00EB1FBC" w:rsidP="009F1618">
            <w:pPr>
              <w:jc w:val="both"/>
              <w:rPr>
                <w:rFonts w:ascii="Calibri" w:hAnsi="Calibri" w:cs="Calibri"/>
                <w:sz w:val="22"/>
                <w:szCs w:val="22"/>
              </w:rPr>
            </w:pPr>
            <m:oMathPara>
              <m:oMath>
                <m:r>
                  <w:rPr>
                    <w:rFonts w:ascii="Cambria Math" w:hAnsi="Cambria Math" w:cs="Calibri"/>
                    <w:sz w:val="22"/>
                    <w:szCs w:val="22"/>
                  </w:rPr>
                  <m:t>0.056</m:t>
                </m:r>
              </m:oMath>
            </m:oMathPara>
          </w:p>
        </w:tc>
        <w:tc>
          <w:tcPr>
            <w:tcW w:w="2268" w:type="dxa"/>
            <w:tcBorders>
              <w:top w:val="nil"/>
              <w:left w:val="nil"/>
              <w:bottom w:val="nil"/>
              <w:right w:val="nil"/>
            </w:tcBorders>
            <w:vAlign w:val="center"/>
          </w:tcPr>
          <w:p w14:paraId="5701DB28" w14:textId="4553BE08" w:rsidR="00684F82" w:rsidRPr="009F1618" w:rsidRDefault="00C64A64" w:rsidP="009F1618">
            <w:pPr>
              <w:jc w:val="both"/>
              <w:rPr>
                <w:rFonts w:ascii="Cambria Math" w:hAnsi="Cambria Math" w:cs="Calibri"/>
                <w:sz w:val="22"/>
                <w:szCs w:val="22"/>
                <w:oMath/>
              </w:rPr>
            </w:pPr>
            <m:oMathPara>
              <m:oMath>
                <m:r>
                  <w:rPr>
                    <w:rFonts w:ascii="Cambria Math" w:hAnsi="Cambria Math" w:cs="Calibri"/>
                    <w:sz w:val="22"/>
                    <w:szCs w:val="22"/>
                  </w:rPr>
                  <m:t>13.96</m:t>
                </m:r>
              </m:oMath>
            </m:oMathPara>
          </w:p>
          <w:p w14:paraId="7D417C1F" w14:textId="38AE24A7"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(23.65)</m:t>
                </m:r>
              </m:oMath>
            </m:oMathPara>
          </w:p>
        </w:tc>
        <w:tc>
          <w:tcPr>
            <w:tcW w:w="2268" w:type="dxa"/>
            <w:tcBorders>
              <w:top w:val="nil"/>
              <w:left w:val="nil"/>
              <w:bottom w:val="nil"/>
              <w:right w:val="nil"/>
            </w:tcBorders>
            <w:vAlign w:val="center"/>
          </w:tcPr>
          <w:p w14:paraId="5443B55C" w14:textId="0BC0FC27" w:rsidR="00684F82" w:rsidRPr="009F1618" w:rsidRDefault="0042681F" w:rsidP="009F1618">
            <w:pPr>
              <w:jc w:val="both"/>
              <w:rPr>
                <w:rFonts w:ascii="Cambria Math" w:hAnsi="Cambria Math" w:cs="Calibri"/>
                <w:sz w:val="22"/>
                <w:szCs w:val="22"/>
                <w:oMath/>
              </w:rPr>
            </w:pPr>
            <m:oMathPara>
              <m:oMath>
                <m:r>
                  <w:rPr>
                    <w:rFonts w:ascii="Cambria Math" w:hAnsi="Cambria Math" w:cs="Calibri"/>
                    <w:sz w:val="22"/>
                    <w:szCs w:val="22"/>
                  </w:rPr>
                  <m:t>20.34</m:t>
                </m:r>
              </m:oMath>
            </m:oMathPara>
          </w:p>
          <w:p w14:paraId="44916D41" w14:textId="059623B6"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(30.45)</m:t>
                </m:r>
              </m:oMath>
            </m:oMathPara>
          </w:p>
        </w:tc>
      </w:tr>
      <w:tr w:rsidR="00684F82" w:rsidRPr="009F1618" w14:paraId="1DEA124E" w14:textId="77777777" w:rsidTr="002166FB">
        <w:trPr>
          <w:cantSplit/>
          <w:trHeight w:val="369"/>
        </w:trPr>
        <w:tc>
          <w:tcPr>
            <w:tcW w:w="2268" w:type="dxa"/>
            <w:tcBorders>
              <w:top w:val="nil"/>
              <w:left w:val="nil"/>
              <w:bottom w:val="nil"/>
              <w:right w:val="nil"/>
            </w:tcBorders>
            <w:vAlign w:val="center"/>
          </w:tcPr>
          <w:p w14:paraId="51005F5C" w14:textId="739DEDB8"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r≤3</m:t>
                </m:r>
              </m:oMath>
            </m:oMathPara>
          </w:p>
        </w:tc>
        <w:tc>
          <w:tcPr>
            <w:tcW w:w="2268" w:type="dxa"/>
            <w:tcBorders>
              <w:top w:val="nil"/>
              <w:left w:val="nil"/>
              <w:bottom w:val="nil"/>
              <w:right w:val="nil"/>
            </w:tcBorders>
            <w:vAlign w:val="center"/>
          </w:tcPr>
          <w:p w14:paraId="1657213E" w14:textId="6BE4B1CA" w:rsidR="00684F82" w:rsidRPr="009F1618" w:rsidRDefault="00EB1FBC" w:rsidP="009F1618">
            <w:pPr>
              <w:jc w:val="both"/>
              <w:rPr>
                <w:rFonts w:ascii="Calibri" w:hAnsi="Calibri" w:cs="Calibri"/>
                <w:sz w:val="22"/>
                <w:szCs w:val="22"/>
              </w:rPr>
            </w:pPr>
            <m:oMathPara>
              <m:oMath>
                <m:r>
                  <w:rPr>
                    <w:rFonts w:ascii="Cambria Math" w:hAnsi="Cambria Math" w:cs="Calibri"/>
                    <w:sz w:val="22"/>
                    <w:szCs w:val="22"/>
                  </w:rPr>
                  <m:t>0.026</m:t>
                </m:r>
              </m:oMath>
            </m:oMathPara>
          </w:p>
        </w:tc>
        <w:tc>
          <w:tcPr>
            <w:tcW w:w="2268" w:type="dxa"/>
            <w:tcBorders>
              <w:top w:val="nil"/>
              <w:left w:val="nil"/>
              <w:bottom w:val="nil"/>
              <w:right w:val="nil"/>
            </w:tcBorders>
            <w:vAlign w:val="center"/>
          </w:tcPr>
          <w:p w14:paraId="27A312AE" w14:textId="3F8586D2"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6.</m:t>
                </m:r>
                <m:r>
                  <w:rPr>
                    <w:rFonts w:ascii="Cambria Math" w:eastAsiaTheme="minorEastAsia" w:hAnsi="Cambria Math" w:cs="Calibri"/>
                    <w:sz w:val="22"/>
                    <w:szCs w:val="22"/>
                  </w:rPr>
                  <m:t>38</m:t>
                </m:r>
              </m:oMath>
            </m:oMathPara>
          </w:p>
          <w:p w14:paraId="361057CE" w14:textId="00920A9F"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(16.26)</m:t>
                </m:r>
              </m:oMath>
            </m:oMathPara>
          </w:p>
        </w:tc>
        <w:tc>
          <w:tcPr>
            <w:tcW w:w="2268" w:type="dxa"/>
            <w:tcBorders>
              <w:top w:val="nil"/>
              <w:left w:val="nil"/>
              <w:bottom w:val="nil"/>
              <w:right w:val="nil"/>
            </w:tcBorders>
            <w:vAlign w:val="center"/>
          </w:tcPr>
          <w:p w14:paraId="2C055553" w14:textId="7DAE318D"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6.</m:t>
                </m:r>
                <m:r>
                  <w:rPr>
                    <w:rFonts w:ascii="Cambria Math" w:eastAsiaTheme="minorEastAsia" w:hAnsi="Cambria Math" w:cs="Calibri"/>
                    <w:sz w:val="22"/>
                    <w:szCs w:val="22"/>
                  </w:rPr>
                  <m:t>38</m:t>
                </m:r>
              </m:oMath>
            </m:oMathPara>
          </w:p>
          <w:p w14:paraId="63A722AC" w14:textId="1EAFEC7B"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(16.26)</m:t>
                </m:r>
              </m:oMath>
            </m:oMathPara>
          </w:p>
        </w:tc>
      </w:tr>
      <w:tr w:rsidR="00684F82" w:rsidRPr="009F1618" w14:paraId="1A0B49E8" w14:textId="77777777" w:rsidTr="002166FB">
        <w:trPr>
          <w:cantSplit/>
          <w:trHeight w:val="369"/>
        </w:trPr>
        <w:tc>
          <w:tcPr>
            <w:tcW w:w="2268" w:type="dxa"/>
            <w:tcBorders>
              <w:top w:val="nil"/>
              <w:left w:val="nil"/>
              <w:bottom w:val="nil"/>
              <w:right w:val="nil"/>
            </w:tcBorders>
            <w:vAlign w:val="center"/>
          </w:tcPr>
          <w:p w14:paraId="37CCEA71" w14:textId="77777777" w:rsidR="00684F82" w:rsidRPr="009F1618" w:rsidRDefault="00684F8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4B4ABC0E" w14:textId="77777777" w:rsidR="00684F82" w:rsidRPr="009F1618" w:rsidRDefault="00684F82" w:rsidP="009F1618">
            <w:pPr>
              <w:jc w:val="both"/>
              <w:rPr>
                <w:rFonts w:ascii="Calibri" w:hAnsi="Calibri" w:cs="Calibri"/>
                <w:sz w:val="22"/>
                <w:szCs w:val="22"/>
              </w:rPr>
            </w:pPr>
          </w:p>
        </w:tc>
        <w:tc>
          <w:tcPr>
            <w:tcW w:w="2268" w:type="dxa"/>
            <w:tcBorders>
              <w:top w:val="nil"/>
              <w:left w:val="nil"/>
              <w:bottom w:val="nil"/>
              <w:right w:val="nil"/>
            </w:tcBorders>
            <w:vAlign w:val="center"/>
          </w:tcPr>
          <w:p w14:paraId="0D1D381C" w14:textId="77777777" w:rsidR="00684F82" w:rsidRPr="009F1618" w:rsidRDefault="00684F82" w:rsidP="009F1618">
            <w:pPr>
              <w:jc w:val="both"/>
              <w:rPr>
                <w:rFonts w:ascii="Calibri" w:hAnsi="Calibri" w:cs="Calibri"/>
                <w:sz w:val="22"/>
                <w:szCs w:val="22"/>
              </w:rPr>
            </w:pPr>
          </w:p>
        </w:tc>
        <w:tc>
          <w:tcPr>
            <w:tcW w:w="2268" w:type="dxa"/>
            <w:tcBorders>
              <w:top w:val="nil"/>
              <w:left w:val="nil"/>
              <w:bottom w:val="nil"/>
              <w:right w:val="nil"/>
            </w:tcBorders>
            <w:vAlign w:val="center"/>
          </w:tcPr>
          <w:p w14:paraId="34FE478A" w14:textId="77777777" w:rsidR="00684F82" w:rsidRPr="009F1618" w:rsidRDefault="00684F82" w:rsidP="009F1618">
            <w:pPr>
              <w:jc w:val="both"/>
              <w:rPr>
                <w:rFonts w:ascii="Calibri" w:hAnsi="Calibri" w:cs="Calibri"/>
                <w:sz w:val="22"/>
                <w:szCs w:val="22"/>
              </w:rPr>
            </w:pPr>
          </w:p>
        </w:tc>
      </w:tr>
      <w:tr w:rsidR="00684F82" w:rsidRPr="009F1618" w14:paraId="4A797A9B" w14:textId="77777777" w:rsidTr="002166FB">
        <w:trPr>
          <w:cantSplit/>
          <w:trHeight w:val="352"/>
        </w:trPr>
        <w:tc>
          <w:tcPr>
            <w:tcW w:w="9072" w:type="dxa"/>
            <w:gridSpan w:val="4"/>
            <w:tcBorders>
              <w:top w:val="nil"/>
              <w:left w:val="nil"/>
              <w:bottom w:val="nil"/>
              <w:right w:val="nil"/>
            </w:tcBorders>
            <w:vAlign w:val="center"/>
          </w:tcPr>
          <w:p w14:paraId="3E1F1BC7" w14:textId="5E0FEC3F" w:rsidR="00684F82" w:rsidRPr="009F1618" w:rsidRDefault="00AA6025" w:rsidP="009F1618">
            <w:pPr>
              <w:jc w:val="both"/>
              <w:rPr>
                <w:rFonts w:ascii="Calibri" w:eastAsiaTheme="minorEastAsia" w:hAnsi="Calibri" w:cs="Calibri"/>
                <w:sz w:val="22"/>
                <w:szCs w:val="22"/>
              </w:rPr>
            </w:pPr>
            <w:r w:rsidRPr="009F1618">
              <w:rPr>
                <w:rFonts w:ascii="Calibri" w:hAnsi="Calibri" w:cs="Calibri"/>
                <w:sz w:val="22"/>
                <w:szCs w:val="22"/>
              </w:rPr>
              <w:t xml:space="preserve">Model B without linear trend and constant in cointegration, </w:t>
            </w:r>
            <m:oMath>
              <m:r>
                <w:rPr>
                  <w:rFonts w:ascii="Cambria Math" w:hAnsi="Cambria Math" w:cs="Calibri"/>
                  <w:sz w:val="22"/>
                  <w:szCs w:val="22"/>
                </w:rPr>
                <m:t>r=2</m:t>
              </m:r>
            </m:oMath>
          </w:p>
        </w:tc>
      </w:tr>
      <w:tr w:rsidR="00684F82" w:rsidRPr="009F1618" w14:paraId="68790ABB" w14:textId="77777777" w:rsidTr="002166FB">
        <w:trPr>
          <w:cantSplit/>
          <w:trHeight w:val="352"/>
        </w:trPr>
        <w:tc>
          <w:tcPr>
            <w:tcW w:w="2268" w:type="dxa"/>
            <w:tcBorders>
              <w:top w:val="nil"/>
              <w:left w:val="nil"/>
              <w:bottom w:val="nil"/>
              <w:right w:val="nil"/>
            </w:tcBorders>
            <w:vAlign w:val="center"/>
          </w:tcPr>
          <w:p w14:paraId="316179EE" w14:textId="19CB8898" w:rsidR="00684F82" w:rsidRPr="009F1618" w:rsidRDefault="00EB1FBC" w:rsidP="009F1618">
            <w:pPr>
              <w:jc w:val="both"/>
              <w:rPr>
                <w:rFonts w:ascii="Calibri" w:hAnsi="Calibri" w:cs="Calibri"/>
                <w:sz w:val="22"/>
                <w:szCs w:val="22"/>
              </w:rPr>
            </w:pPr>
            <m:oMathPara>
              <m:oMathParaPr>
                <m:jc m:val="left"/>
              </m:oMathParaPr>
              <m:oMath>
                <m:r>
                  <w:rPr>
                    <w:rFonts w:ascii="Cambria Math" w:hAnsi="Cambria Math" w:cs="Calibri"/>
                    <w:sz w:val="22"/>
                    <w:szCs w:val="22"/>
                  </w:rPr>
                  <m:t>r=0</m:t>
                </m:r>
              </m:oMath>
            </m:oMathPara>
          </w:p>
        </w:tc>
        <w:tc>
          <w:tcPr>
            <w:tcW w:w="2268" w:type="dxa"/>
            <w:tcBorders>
              <w:top w:val="nil"/>
              <w:left w:val="nil"/>
              <w:bottom w:val="nil"/>
              <w:right w:val="nil"/>
            </w:tcBorders>
            <w:vAlign w:val="center"/>
          </w:tcPr>
          <w:p w14:paraId="038F6F57" w14:textId="709B0382" w:rsidR="00684F82" w:rsidRPr="009F1618" w:rsidRDefault="00EB1FBC" w:rsidP="009F1618">
            <w:pPr>
              <w:jc w:val="both"/>
              <w:rPr>
                <w:rFonts w:ascii="Calibri" w:hAnsi="Calibri" w:cs="Calibri"/>
                <w:sz w:val="22"/>
                <w:szCs w:val="22"/>
              </w:rPr>
            </w:pPr>
            <m:oMathPara>
              <m:oMath>
                <m:r>
                  <w:rPr>
                    <w:rFonts w:ascii="Cambria Math" w:hAnsi="Cambria Math" w:cs="Calibri"/>
                    <w:sz w:val="22"/>
                    <w:szCs w:val="22"/>
                  </w:rPr>
                  <m:t>0.128</m:t>
                </m:r>
              </m:oMath>
            </m:oMathPara>
          </w:p>
        </w:tc>
        <w:tc>
          <w:tcPr>
            <w:tcW w:w="2268" w:type="dxa"/>
            <w:tcBorders>
              <w:top w:val="nil"/>
              <w:left w:val="nil"/>
              <w:bottom w:val="nil"/>
              <w:right w:val="nil"/>
            </w:tcBorders>
            <w:vAlign w:val="center"/>
          </w:tcPr>
          <w:p w14:paraId="30AF01D9" w14:textId="05E28086"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33.42</m:t>
                </m:r>
              </m:oMath>
            </m:oMathPara>
          </w:p>
          <w:p w14:paraId="44E69FDF" w14:textId="5D69568A"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(33.24)</m:t>
                </m:r>
              </m:oMath>
            </m:oMathPara>
          </w:p>
        </w:tc>
        <w:tc>
          <w:tcPr>
            <w:tcW w:w="2268" w:type="dxa"/>
            <w:tcBorders>
              <w:top w:val="nil"/>
              <w:left w:val="nil"/>
              <w:bottom w:val="nil"/>
              <w:right w:val="nil"/>
            </w:tcBorders>
            <w:vAlign w:val="center"/>
          </w:tcPr>
          <w:p w14:paraId="5E901722" w14:textId="2D29DF60" w:rsidR="00684F82" w:rsidRPr="009F1618" w:rsidRDefault="006B183B" w:rsidP="009F1618">
            <w:pPr>
              <w:jc w:val="both"/>
              <w:rPr>
                <w:rFonts w:ascii="Cambria Math" w:hAnsi="Cambria Math" w:cs="Calibri"/>
                <w:sz w:val="22"/>
                <w:szCs w:val="22"/>
                <w:oMath/>
              </w:rPr>
            </w:pPr>
            <m:oMathPara>
              <m:oMath>
                <m:r>
                  <w:rPr>
                    <w:rFonts w:ascii="Cambria Math" w:hAnsi="Cambria Math" w:cs="Calibri"/>
                    <w:sz w:val="22"/>
                    <w:szCs w:val="22"/>
                  </w:rPr>
                  <m:t>74.71</m:t>
                </m:r>
              </m:oMath>
            </m:oMathPara>
          </w:p>
          <w:p w14:paraId="58D46D7C" w14:textId="3A6B274A"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(60.16)</m:t>
                </m:r>
              </m:oMath>
            </m:oMathPara>
          </w:p>
        </w:tc>
      </w:tr>
      <w:tr w:rsidR="00684F82" w:rsidRPr="009F1618" w14:paraId="36208B1B" w14:textId="77777777" w:rsidTr="002166FB">
        <w:trPr>
          <w:cantSplit/>
          <w:trHeight w:val="352"/>
        </w:trPr>
        <w:tc>
          <w:tcPr>
            <w:tcW w:w="2268" w:type="dxa"/>
            <w:tcBorders>
              <w:top w:val="nil"/>
              <w:left w:val="nil"/>
              <w:bottom w:val="nil"/>
              <w:right w:val="nil"/>
            </w:tcBorders>
            <w:vAlign w:val="center"/>
          </w:tcPr>
          <w:p w14:paraId="069D9C3A" w14:textId="2310090D"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r≤1</m:t>
                </m:r>
              </m:oMath>
            </m:oMathPara>
          </w:p>
        </w:tc>
        <w:tc>
          <w:tcPr>
            <w:tcW w:w="2268" w:type="dxa"/>
            <w:tcBorders>
              <w:top w:val="nil"/>
              <w:left w:val="nil"/>
              <w:bottom w:val="nil"/>
              <w:right w:val="nil"/>
            </w:tcBorders>
            <w:vAlign w:val="center"/>
          </w:tcPr>
          <w:p w14:paraId="677F0CF3" w14:textId="3BCF0B50" w:rsidR="00684F82" w:rsidRPr="009F1618" w:rsidRDefault="00EB1FBC" w:rsidP="009F1618">
            <w:pPr>
              <w:jc w:val="both"/>
              <w:rPr>
                <w:rFonts w:ascii="Calibri" w:hAnsi="Calibri" w:cs="Calibri"/>
                <w:sz w:val="22"/>
                <w:szCs w:val="22"/>
              </w:rPr>
            </w:pPr>
            <m:oMathPara>
              <m:oMath>
                <m:r>
                  <w:rPr>
                    <w:rFonts w:ascii="Cambria Math" w:hAnsi="Cambria Math" w:cs="Calibri"/>
                    <w:sz w:val="22"/>
                    <w:szCs w:val="22"/>
                  </w:rPr>
                  <m:t>0.093</m:t>
                </m:r>
              </m:oMath>
            </m:oMathPara>
          </w:p>
        </w:tc>
        <w:tc>
          <w:tcPr>
            <w:tcW w:w="2268" w:type="dxa"/>
            <w:tcBorders>
              <w:top w:val="nil"/>
              <w:left w:val="nil"/>
              <w:bottom w:val="nil"/>
              <w:right w:val="nil"/>
            </w:tcBorders>
            <w:vAlign w:val="center"/>
          </w:tcPr>
          <w:p w14:paraId="1020A2BE" w14:textId="10F1D634" w:rsidR="00684F82" w:rsidRPr="009F1618" w:rsidRDefault="005277B6" w:rsidP="009F1618">
            <w:pPr>
              <w:jc w:val="both"/>
              <w:rPr>
                <w:rFonts w:ascii="Cambria Math" w:hAnsi="Cambria Math" w:cs="Calibri"/>
                <w:sz w:val="22"/>
                <w:szCs w:val="22"/>
                <w:oMath/>
              </w:rPr>
            </w:pPr>
            <m:oMathPara>
              <m:oMath>
                <m:r>
                  <w:rPr>
                    <w:rFonts w:ascii="Cambria Math" w:hAnsi="Cambria Math" w:cs="Calibri"/>
                    <w:sz w:val="22"/>
                    <w:szCs w:val="22"/>
                  </w:rPr>
                  <m:t>23.72</m:t>
                </m:r>
              </m:oMath>
            </m:oMathPara>
          </w:p>
          <w:p w14:paraId="4F100C0B" w14:textId="28B35013"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(26.81)</m:t>
                </m:r>
              </m:oMath>
            </m:oMathPara>
          </w:p>
        </w:tc>
        <w:tc>
          <w:tcPr>
            <w:tcW w:w="2268" w:type="dxa"/>
            <w:tcBorders>
              <w:top w:val="nil"/>
              <w:left w:val="nil"/>
              <w:bottom w:val="nil"/>
              <w:right w:val="nil"/>
            </w:tcBorders>
            <w:vAlign w:val="center"/>
          </w:tcPr>
          <w:p w14:paraId="35AAE49A" w14:textId="489921EC" w:rsidR="00684F82" w:rsidRPr="009F1618" w:rsidRDefault="006B183B" w:rsidP="009F1618">
            <w:pPr>
              <w:jc w:val="both"/>
              <w:rPr>
                <w:rFonts w:ascii="Cambria Math" w:hAnsi="Cambria Math" w:cs="Calibri"/>
                <w:sz w:val="22"/>
                <w:szCs w:val="22"/>
                <w:oMath/>
              </w:rPr>
            </w:pPr>
            <m:oMathPara>
              <m:oMath>
                <m:r>
                  <w:rPr>
                    <w:rFonts w:ascii="Cambria Math" w:hAnsi="Cambria Math" w:cs="Calibri"/>
                    <w:sz w:val="22"/>
                    <w:szCs w:val="22"/>
                  </w:rPr>
                  <m:t>41.29</m:t>
                </m:r>
              </m:oMath>
            </m:oMathPara>
          </w:p>
          <w:p w14:paraId="7810C348" w14:textId="35B73EC4"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(41.07)</m:t>
                </m:r>
              </m:oMath>
            </m:oMathPara>
          </w:p>
        </w:tc>
      </w:tr>
      <w:tr w:rsidR="00684F82" w:rsidRPr="009F1618" w14:paraId="2762B01A" w14:textId="77777777" w:rsidTr="002166FB">
        <w:trPr>
          <w:cantSplit/>
          <w:trHeight w:val="352"/>
        </w:trPr>
        <w:tc>
          <w:tcPr>
            <w:tcW w:w="2268" w:type="dxa"/>
            <w:tcBorders>
              <w:top w:val="nil"/>
              <w:left w:val="nil"/>
              <w:bottom w:val="nil"/>
              <w:right w:val="nil"/>
            </w:tcBorders>
            <w:vAlign w:val="center"/>
          </w:tcPr>
          <w:p w14:paraId="19855EA8" w14:textId="6EEF1884"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r≤2</m:t>
                </m:r>
              </m:oMath>
            </m:oMathPara>
          </w:p>
        </w:tc>
        <w:tc>
          <w:tcPr>
            <w:tcW w:w="2268" w:type="dxa"/>
            <w:tcBorders>
              <w:top w:val="nil"/>
              <w:left w:val="nil"/>
              <w:bottom w:val="nil"/>
              <w:right w:val="nil"/>
            </w:tcBorders>
            <w:vAlign w:val="center"/>
          </w:tcPr>
          <w:p w14:paraId="2C8D1053" w14:textId="51EFC27D" w:rsidR="00684F82" w:rsidRPr="009F1618" w:rsidRDefault="00EB1FBC" w:rsidP="009F1618">
            <w:pPr>
              <w:jc w:val="both"/>
              <w:rPr>
                <w:rFonts w:ascii="Calibri" w:hAnsi="Calibri" w:cs="Calibri"/>
                <w:sz w:val="22"/>
                <w:szCs w:val="22"/>
              </w:rPr>
            </w:pPr>
            <m:oMathPara>
              <m:oMath>
                <m:r>
                  <w:rPr>
                    <w:rFonts w:ascii="Cambria Math" w:hAnsi="Cambria Math" w:cs="Calibri"/>
                    <w:sz w:val="22"/>
                    <w:szCs w:val="22"/>
                  </w:rPr>
                  <m:t>0.047</m:t>
                </m:r>
              </m:oMath>
            </m:oMathPara>
          </w:p>
        </w:tc>
        <w:tc>
          <w:tcPr>
            <w:tcW w:w="2268" w:type="dxa"/>
            <w:tcBorders>
              <w:top w:val="nil"/>
              <w:left w:val="nil"/>
              <w:bottom w:val="nil"/>
              <w:right w:val="nil"/>
            </w:tcBorders>
            <w:vAlign w:val="center"/>
          </w:tcPr>
          <w:p w14:paraId="3AB809F5" w14:textId="760514B7" w:rsidR="00684F82" w:rsidRPr="009F1618" w:rsidRDefault="005277B6" w:rsidP="009F1618">
            <w:pPr>
              <w:jc w:val="both"/>
              <w:rPr>
                <w:rFonts w:ascii="Cambria Math" w:hAnsi="Cambria Math" w:cs="Calibri"/>
                <w:sz w:val="22"/>
                <w:szCs w:val="22"/>
                <w:oMath/>
              </w:rPr>
            </w:pPr>
            <m:oMathPara>
              <m:oMath>
                <m:r>
                  <w:rPr>
                    <w:rFonts w:ascii="Cambria Math" w:eastAsiaTheme="minorEastAsia" w:hAnsi="Cambria Math" w:cs="Calibri"/>
                    <w:sz w:val="22"/>
                    <w:szCs w:val="22"/>
                  </w:rPr>
                  <m:t>11.77</m:t>
                </m:r>
              </m:oMath>
            </m:oMathPara>
          </w:p>
          <w:p w14:paraId="4162D29F" w14:textId="3BF8B27B"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(20.20)</m:t>
                </m:r>
              </m:oMath>
            </m:oMathPara>
          </w:p>
        </w:tc>
        <w:tc>
          <w:tcPr>
            <w:tcW w:w="2268" w:type="dxa"/>
            <w:tcBorders>
              <w:top w:val="nil"/>
              <w:left w:val="nil"/>
              <w:bottom w:val="nil"/>
              <w:right w:val="nil"/>
            </w:tcBorders>
            <w:vAlign w:val="center"/>
          </w:tcPr>
          <w:p w14:paraId="0736F6B5" w14:textId="4EE3F837"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17.57</m:t>
                </m:r>
              </m:oMath>
            </m:oMathPara>
          </w:p>
          <w:p w14:paraId="62A3222B" w14:textId="1AB64686"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(24.60)</m:t>
                </m:r>
              </m:oMath>
            </m:oMathPara>
          </w:p>
        </w:tc>
      </w:tr>
      <w:tr w:rsidR="00CE077E" w:rsidRPr="009F1618" w14:paraId="44FEC92E" w14:textId="77777777" w:rsidTr="002166FB">
        <w:trPr>
          <w:cantSplit/>
          <w:trHeight w:val="352"/>
        </w:trPr>
        <w:tc>
          <w:tcPr>
            <w:tcW w:w="2268" w:type="dxa"/>
            <w:tcBorders>
              <w:top w:val="nil"/>
              <w:left w:val="nil"/>
              <w:bottom w:val="nil"/>
              <w:right w:val="nil"/>
            </w:tcBorders>
            <w:vAlign w:val="center"/>
          </w:tcPr>
          <w:p w14:paraId="0358A669" w14:textId="23FD41DF" w:rsidR="00CE077E" w:rsidRPr="009F1618" w:rsidRDefault="00CE077E" w:rsidP="009F1618">
            <w:pPr>
              <w:jc w:val="both"/>
              <w:rPr>
                <w:rFonts w:ascii="Calibri" w:eastAsia="Aptos" w:hAnsi="Calibri" w:cs="Calibri"/>
                <w:sz w:val="22"/>
                <w:szCs w:val="22"/>
              </w:rPr>
            </w:pPr>
            <m:oMathPara>
              <m:oMathParaPr>
                <m:jc m:val="left"/>
              </m:oMathParaPr>
              <m:oMath>
                <m:r>
                  <w:rPr>
                    <w:rFonts w:ascii="Cambria Math" w:eastAsia="Aptos" w:hAnsi="Cambria Math" w:cs="Calibri"/>
                    <w:sz w:val="22"/>
                    <w:szCs w:val="22"/>
                  </w:rPr>
                  <m:t>r≤3</m:t>
                </m:r>
              </m:oMath>
            </m:oMathPara>
          </w:p>
        </w:tc>
        <w:tc>
          <w:tcPr>
            <w:tcW w:w="2268" w:type="dxa"/>
            <w:tcBorders>
              <w:top w:val="nil"/>
              <w:left w:val="nil"/>
              <w:bottom w:val="nil"/>
              <w:right w:val="nil"/>
            </w:tcBorders>
            <w:vAlign w:val="center"/>
          </w:tcPr>
          <w:p w14:paraId="7AF4B84C" w14:textId="61DC8C67" w:rsidR="00CE077E" w:rsidRPr="009F1618" w:rsidRDefault="00F70108" w:rsidP="009F1618">
            <w:pPr>
              <w:jc w:val="both"/>
              <w:rPr>
                <w:rFonts w:ascii="Calibri" w:eastAsia="Aptos" w:hAnsi="Calibri" w:cs="Calibri"/>
                <w:sz w:val="22"/>
                <w:szCs w:val="22"/>
              </w:rPr>
            </w:pPr>
            <m:oMathPara>
              <m:oMath>
                <m:r>
                  <w:rPr>
                    <w:rFonts w:ascii="Cambria Math" w:eastAsia="Aptos" w:hAnsi="Cambria Math" w:cs="Calibri"/>
                    <w:sz w:val="22"/>
                    <w:szCs w:val="22"/>
                  </w:rPr>
                  <m:t>0.024</m:t>
                </m:r>
              </m:oMath>
            </m:oMathPara>
          </w:p>
        </w:tc>
        <w:tc>
          <w:tcPr>
            <w:tcW w:w="2268" w:type="dxa"/>
            <w:tcBorders>
              <w:top w:val="nil"/>
              <w:left w:val="nil"/>
              <w:bottom w:val="nil"/>
              <w:right w:val="nil"/>
            </w:tcBorders>
            <w:vAlign w:val="center"/>
          </w:tcPr>
          <w:p w14:paraId="3AA03A1F" w14:textId="77777777" w:rsidR="00CE077E" w:rsidRPr="009F1618" w:rsidRDefault="000F3CDB" w:rsidP="009F1618">
            <w:pPr>
              <w:jc w:val="both"/>
              <w:rPr>
                <w:rFonts w:ascii="Calibri" w:eastAsia="Aptos" w:hAnsi="Calibri" w:cs="Calibri"/>
                <w:sz w:val="22"/>
                <w:szCs w:val="22"/>
              </w:rPr>
            </w:pPr>
            <m:oMathPara>
              <m:oMath>
                <m:r>
                  <w:rPr>
                    <w:rFonts w:ascii="Cambria Math" w:eastAsia="Aptos" w:hAnsi="Cambria Math" w:cs="Calibri"/>
                    <w:sz w:val="22"/>
                    <w:szCs w:val="22"/>
                  </w:rPr>
                  <m:t>5.81</m:t>
                </m:r>
              </m:oMath>
            </m:oMathPara>
          </w:p>
          <w:p w14:paraId="194F379E" w14:textId="6359EEFE" w:rsidR="000F3CDB" w:rsidRPr="009F1618" w:rsidRDefault="000F3CDB" w:rsidP="009F1618">
            <w:pPr>
              <w:jc w:val="both"/>
              <w:rPr>
                <w:rFonts w:ascii="Calibri" w:eastAsia="Aptos" w:hAnsi="Calibri" w:cs="Calibri"/>
                <w:sz w:val="22"/>
                <w:szCs w:val="22"/>
              </w:rPr>
            </w:pPr>
            <m:oMathPara>
              <m:oMath>
                <m:r>
                  <w:rPr>
                    <w:rFonts w:ascii="Cambria Math" w:eastAsia="Aptos" w:hAnsi="Cambria Math" w:cs="Calibri"/>
                    <w:sz w:val="22"/>
                    <w:szCs w:val="22"/>
                  </w:rPr>
                  <m:t>(12.97)</m:t>
                </m:r>
              </m:oMath>
            </m:oMathPara>
          </w:p>
        </w:tc>
        <w:tc>
          <w:tcPr>
            <w:tcW w:w="2268" w:type="dxa"/>
            <w:tcBorders>
              <w:top w:val="nil"/>
              <w:left w:val="nil"/>
              <w:bottom w:val="nil"/>
              <w:right w:val="nil"/>
            </w:tcBorders>
            <w:vAlign w:val="center"/>
          </w:tcPr>
          <w:p w14:paraId="7B643965" w14:textId="77777777" w:rsidR="00CE077E" w:rsidRPr="009F1618" w:rsidRDefault="00A23273" w:rsidP="009F1618">
            <w:pPr>
              <w:jc w:val="both"/>
              <w:rPr>
                <w:rFonts w:ascii="Calibri" w:eastAsia="Aptos" w:hAnsi="Calibri" w:cs="Calibri"/>
                <w:sz w:val="22"/>
                <w:szCs w:val="22"/>
              </w:rPr>
            </w:pPr>
            <m:oMathPara>
              <m:oMath>
                <m:r>
                  <w:rPr>
                    <w:rFonts w:ascii="Cambria Math" w:eastAsia="Aptos" w:hAnsi="Cambria Math" w:cs="Calibri"/>
                    <w:sz w:val="22"/>
                    <w:szCs w:val="22"/>
                  </w:rPr>
                  <m:t>5.81</m:t>
                </m:r>
              </m:oMath>
            </m:oMathPara>
          </w:p>
          <w:p w14:paraId="0F15738E" w14:textId="6F818ED0" w:rsidR="00A23273" w:rsidRPr="009F1618" w:rsidRDefault="00A23273" w:rsidP="009F1618">
            <w:pPr>
              <w:jc w:val="both"/>
              <w:rPr>
                <w:rFonts w:ascii="Calibri" w:eastAsia="Aptos" w:hAnsi="Calibri" w:cs="Calibri"/>
                <w:sz w:val="22"/>
                <w:szCs w:val="22"/>
              </w:rPr>
            </w:pPr>
            <m:oMathPara>
              <m:oMath>
                <m:r>
                  <w:rPr>
                    <w:rFonts w:ascii="Cambria Math" w:eastAsia="Aptos" w:hAnsi="Cambria Math" w:cs="Calibri"/>
                    <w:sz w:val="22"/>
                    <w:szCs w:val="22"/>
                  </w:rPr>
                  <m:t>(12.97)</m:t>
                </m:r>
              </m:oMath>
            </m:oMathPara>
          </w:p>
        </w:tc>
      </w:tr>
      <w:tr w:rsidR="00684F82" w:rsidRPr="009F1618" w14:paraId="2ADF34FB" w14:textId="77777777" w:rsidTr="002166FB">
        <w:trPr>
          <w:cantSplit/>
          <w:trHeight w:val="293"/>
        </w:trPr>
        <w:tc>
          <w:tcPr>
            <w:tcW w:w="2268" w:type="dxa"/>
            <w:tcBorders>
              <w:top w:val="nil"/>
              <w:left w:val="nil"/>
              <w:bottom w:val="nil"/>
              <w:right w:val="nil"/>
            </w:tcBorders>
            <w:vAlign w:val="center"/>
          </w:tcPr>
          <w:p w14:paraId="4CE9C0F4" w14:textId="77777777" w:rsidR="00684F82" w:rsidRPr="009F1618" w:rsidRDefault="00684F82" w:rsidP="009F1618">
            <w:pPr>
              <w:jc w:val="both"/>
              <w:rPr>
                <w:rFonts w:ascii="Calibri" w:eastAsia="Aptos" w:hAnsi="Calibri" w:cs="Calibri"/>
                <w:iCs/>
                <w:sz w:val="22"/>
                <w:szCs w:val="22"/>
              </w:rPr>
            </w:pPr>
          </w:p>
        </w:tc>
        <w:tc>
          <w:tcPr>
            <w:tcW w:w="2268" w:type="dxa"/>
            <w:tcBorders>
              <w:top w:val="nil"/>
              <w:left w:val="nil"/>
              <w:bottom w:val="nil"/>
              <w:right w:val="nil"/>
            </w:tcBorders>
            <w:vAlign w:val="center"/>
          </w:tcPr>
          <w:p w14:paraId="3E9C2F47" w14:textId="77777777" w:rsidR="00684F82" w:rsidRPr="009F1618" w:rsidRDefault="00684F8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08CE7A15" w14:textId="77777777" w:rsidR="00684F82" w:rsidRPr="009F1618" w:rsidRDefault="00684F8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742E2F73" w14:textId="77777777" w:rsidR="00684F82" w:rsidRPr="009F1618" w:rsidRDefault="00684F82" w:rsidP="009F1618">
            <w:pPr>
              <w:jc w:val="both"/>
              <w:rPr>
                <w:rFonts w:ascii="Calibri" w:eastAsia="Aptos" w:hAnsi="Calibri" w:cs="Calibri"/>
                <w:sz w:val="22"/>
                <w:szCs w:val="22"/>
              </w:rPr>
            </w:pPr>
          </w:p>
        </w:tc>
      </w:tr>
      <w:tr w:rsidR="00684F82" w:rsidRPr="009F1618" w14:paraId="374C56E4" w14:textId="77777777" w:rsidTr="002166FB">
        <w:trPr>
          <w:cantSplit/>
          <w:trHeight w:val="293"/>
        </w:trPr>
        <w:tc>
          <w:tcPr>
            <w:tcW w:w="9072" w:type="dxa"/>
            <w:gridSpan w:val="4"/>
            <w:tcBorders>
              <w:top w:val="nil"/>
              <w:left w:val="nil"/>
              <w:bottom w:val="single" w:sz="4" w:space="0" w:color="auto"/>
              <w:right w:val="nil"/>
            </w:tcBorders>
            <w:vAlign w:val="center"/>
          </w:tcPr>
          <w:p w14:paraId="500051BB" w14:textId="1A8DD8E2" w:rsidR="00684F82" w:rsidRPr="009F1618" w:rsidRDefault="00684F82" w:rsidP="009F1618">
            <w:pPr>
              <w:jc w:val="both"/>
              <w:rPr>
                <w:rFonts w:ascii="Calibri" w:eastAsiaTheme="minorEastAsia" w:hAnsi="Calibri" w:cs="Calibri"/>
                <w:sz w:val="22"/>
                <w:szCs w:val="22"/>
              </w:rPr>
            </w:pPr>
            <m:oMathPara>
              <m:oMathParaPr>
                <m:jc m:val="left"/>
              </m:oMathParaPr>
              <m:oMath>
                <m:r>
                  <w:rPr>
                    <w:rFonts w:ascii="Cambria Math" w:hAnsi="Cambria Math" w:cs="Calibri"/>
                    <w:sz w:val="22"/>
                    <w:szCs w:val="22"/>
                  </w:rPr>
                  <m:t>L</m:t>
                </m:r>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λ</m:t>
                    </m:r>
                  </m:sub>
                </m:sSub>
                <m:r>
                  <w:rPr>
                    <w:rFonts w:ascii="Cambria Math" w:hAnsi="Cambria Math" w:cs="Calibri"/>
                    <w:sz w:val="22"/>
                    <w:szCs w:val="22"/>
                  </w:rPr>
                  <m:t xml:space="preserve">=4.155&gt;11.345 </m:t>
                </m:r>
                <m:d>
                  <m:dPr>
                    <m:ctrlPr>
                      <w:rPr>
                        <w:rFonts w:ascii="Cambria Math" w:hAnsi="Cambria Math" w:cs="Calibri"/>
                        <w:i/>
                        <w:sz w:val="22"/>
                        <w:szCs w:val="22"/>
                      </w:rPr>
                    </m:ctrlPr>
                  </m:dPr>
                  <m:e>
                    <m:r>
                      <w:rPr>
                        <w:rFonts w:ascii="Cambria Math" w:hAnsi="Cambria Math" w:cs="Calibri"/>
                        <w:sz w:val="22"/>
                        <w:szCs w:val="22"/>
                      </w:rPr>
                      <m:t>df=3;α=1%</m:t>
                    </m:r>
                  </m:e>
                </m:d>
                <m:r>
                  <w:rPr>
                    <w:rFonts w:ascii="Cambria Math" w:hAnsi="Cambria Math" w:cs="Calibri"/>
                    <w:sz w:val="22"/>
                    <w:szCs w:val="22"/>
                  </w:rPr>
                  <m:t xml:space="preserve"> </m:t>
                </m:r>
              </m:oMath>
            </m:oMathPara>
          </w:p>
        </w:tc>
      </w:tr>
      <w:tr w:rsidR="00684F82" w:rsidRPr="009F1618" w14:paraId="6246D993" w14:textId="77777777" w:rsidTr="002166FB">
        <w:trPr>
          <w:cantSplit/>
          <w:trHeight w:val="293"/>
        </w:trPr>
        <w:tc>
          <w:tcPr>
            <w:tcW w:w="9072" w:type="dxa"/>
            <w:gridSpan w:val="4"/>
            <w:tcBorders>
              <w:top w:val="single" w:sz="4" w:space="0" w:color="auto"/>
              <w:left w:val="nil"/>
              <w:bottom w:val="single" w:sz="4" w:space="0" w:color="auto"/>
              <w:right w:val="nil"/>
            </w:tcBorders>
            <w:vAlign w:val="center"/>
          </w:tcPr>
          <w:p w14:paraId="06AE2825" w14:textId="77777777" w:rsidR="00684F82" w:rsidRPr="009F1618" w:rsidRDefault="00684F82" w:rsidP="009F1618">
            <w:pPr>
              <w:jc w:val="both"/>
              <w:rPr>
                <w:rFonts w:ascii="Calibri" w:eastAsia="Aptos" w:hAnsi="Calibri" w:cs="Calibri"/>
                <w:sz w:val="22"/>
                <w:szCs w:val="22"/>
              </w:rPr>
            </w:pPr>
            <w:r w:rsidRPr="009F1618">
              <w:rPr>
                <w:rFonts w:ascii="Calibri" w:eastAsia="Times New Roman" w:hAnsi="Calibri" w:cs="Calibri"/>
                <w:sz w:val="22"/>
                <w:szCs w:val="22"/>
              </w:rPr>
              <w:t>WMP</w:t>
            </w:r>
          </w:p>
        </w:tc>
      </w:tr>
      <w:tr w:rsidR="00684F82" w:rsidRPr="009F1618" w14:paraId="1D27DB46" w14:textId="77777777" w:rsidTr="002166FB">
        <w:trPr>
          <w:cantSplit/>
          <w:trHeight w:val="293"/>
        </w:trPr>
        <w:tc>
          <w:tcPr>
            <w:tcW w:w="2268" w:type="dxa"/>
            <w:tcBorders>
              <w:top w:val="single" w:sz="4" w:space="0" w:color="auto"/>
              <w:left w:val="nil"/>
              <w:bottom w:val="single" w:sz="4" w:space="0" w:color="auto"/>
              <w:right w:val="nil"/>
            </w:tcBorders>
            <w:vAlign w:val="center"/>
          </w:tcPr>
          <w:p w14:paraId="5315B6D7" w14:textId="77777777" w:rsidR="00684F82" w:rsidRPr="009F1618" w:rsidRDefault="00684F82" w:rsidP="009F1618">
            <w:pPr>
              <w:jc w:val="both"/>
              <w:rPr>
                <w:rFonts w:ascii="Calibri" w:eastAsia="Aptos" w:hAnsi="Calibri" w:cs="Calibri"/>
                <w:sz w:val="22"/>
                <w:szCs w:val="22"/>
              </w:rPr>
            </w:pPr>
          </w:p>
        </w:tc>
        <w:tc>
          <w:tcPr>
            <w:tcW w:w="2268" w:type="dxa"/>
            <w:tcBorders>
              <w:top w:val="single" w:sz="4" w:space="0" w:color="auto"/>
              <w:left w:val="nil"/>
              <w:bottom w:val="single" w:sz="4" w:space="0" w:color="auto"/>
              <w:right w:val="nil"/>
            </w:tcBorders>
            <w:vAlign w:val="center"/>
          </w:tcPr>
          <w:p w14:paraId="0314392A" w14:textId="77777777" w:rsidR="00684F82" w:rsidRPr="009F1618" w:rsidRDefault="00684F82" w:rsidP="009F1618">
            <w:pPr>
              <w:jc w:val="both"/>
              <w:rPr>
                <w:rFonts w:ascii="Calibri" w:eastAsia="Aptos" w:hAnsi="Calibri" w:cs="Calibri"/>
                <w:sz w:val="22"/>
                <w:szCs w:val="22"/>
              </w:rPr>
            </w:pPr>
            <w:r w:rsidRPr="009F1618">
              <w:rPr>
                <w:rFonts w:ascii="Calibri" w:eastAsiaTheme="minorEastAsia" w:hAnsi="Calibri" w:cs="Calibri"/>
                <w:sz w:val="22"/>
                <w:szCs w:val="22"/>
              </w:rPr>
              <w:t xml:space="preserve">Estimated </w:t>
            </w:r>
            <m:oMath>
              <m:r>
                <w:rPr>
                  <w:rFonts w:ascii="Cambria Math" w:hAnsi="Cambria Math" w:cs="Calibri"/>
                  <w:sz w:val="22"/>
                  <w:szCs w:val="22"/>
                </w:rPr>
                <m:t>λ</m:t>
              </m:r>
            </m:oMath>
          </w:p>
        </w:tc>
        <w:tc>
          <w:tcPr>
            <w:tcW w:w="2268" w:type="dxa"/>
            <w:tcBorders>
              <w:top w:val="single" w:sz="4" w:space="0" w:color="auto"/>
              <w:left w:val="nil"/>
              <w:bottom w:val="single" w:sz="4" w:space="0" w:color="auto"/>
              <w:right w:val="nil"/>
            </w:tcBorders>
            <w:vAlign w:val="center"/>
          </w:tcPr>
          <w:p w14:paraId="39E1B8AE" w14:textId="77777777" w:rsidR="00684F82" w:rsidRPr="009F1618" w:rsidRDefault="00E1356D" w:rsidP="009F1618">
            <w:pPr>
              <w:jc w:val="both"/>
              <w:rPr>
                <w:rFonts w:ascii="Calibri" w:eastAsia="Aptos"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λ</m:t>
                    </m:r>
                  </m:e>
                  <m:sub>
                    <m:r>
                      <w:rPr>
                        <w:rFonts w:ascii="Cambria Math" w:hAnsi="Cambria Math" w:cs="Calibri"/>
                        <w:sz w:val="22"/>
                        <w:szCs w:val="22"/>
                      </w:rPr>
                      <m:t>max</m:t>
                    </m:r>
                  </m:sub>
                </m:sSub>
              </m:oMath>
            </m:oMathPara>
          </w:p>
        </w:tc>
        <w:tc>
          <w:tcPr>
            <w:tcW w:w="2268" w:type="dxa"/>
            <w:tcBorders>
              <w:top w:val="single" w:sz="4" w:space="0" w:color="auto"/>
              <w:left w:val="nil"/>
              <w:bottom w:val="single" w:sz="4" w:space="0" w:color="auto"/>
              <w:right w:val="nil"/>
            </w:tcBorders>
            <w:vAlign w:val="center"/>
          </w:tcPr>
          <w:p w14:paraId="2376BC70" w14:textId="77777777" w:rsidR="00684F82" w:rsidRPr="009F1618" w:rsidRDefault="00E1356D" w:rsidP="009F1618">
            <w:pPr>
              <w:jc w:val="both"/>
              <w:rPr>
                <w:rFonts w:ascii="Calibri" w:eastAsia="Aptos"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λ</m:t>
                    </m:r>
                  </m:e>
                  <m:sub>
                    <m:r>
                      <w:rPr>
                        <w:rFonts w:ascii="Cambria Math" w:hAnsi="Cambria Math" w:cs="Calibri"/>
                        <w:sz w:val="22"/>
                        <w:szCs w:val="22"/>
                      </w:rPr>
                      <m:t>trace</m:t>
                    </m:r>
                  </m:sub>
                </m:sSub>
              </m:oMath>
            </m:oMathPara>
          </w:p>
        </w:tc>
      </w:tr>
      <w:tr w:rsidR="00684F82" w:rsidRPr="009F1618" w14:paraId="1A5131F9" w14:textId="77777777" w:rsidTr="002166FB">
        <w:trPr>
          <w:cantSplit/>
          <w:trHeight w:val="293"/>
        </w:trPr>
        <w:tc>
          <w:tcPr>
            <w:tcW w:w="9072" w:type="dxa"/>
            <w:gridSpan w:val="4"/>
            <w:tcBorders>
              <w:top w:val="single" w:sz="4" w:space="0" w:color="auto"/>
              <w:left w:val="nil"/>
              <w:bottom w:val="nil"/>
              <w:right w:val="nil"/>
            </w:tcBorders>
            <w:vAlign w:val="center"/>
          </w:tcPr>
          <w:p w14:paraId="1D13C3F4" w14:textId="3924E9AC" w:rsidR="00684F82" w:rsidRPr="009F1618" w:rsidRDefault="00A94679" w:rsidP="009F1618">
            <w:pPr>
              <w:jc w:val="both"/>
              <w:rPr>
                <w:rFonts w:ascii="Calibri" w:eastAsia="Aptos" w:hAnsi="Calibri" w:cs="Calibri"/>
                <w:sz w:val="22"/>
                <w:szCs w:val="22"/>
              </w:rPr>
            </w:pPr>
            <w:r w:rsidRPr="009F1618">
              <w:rPr>
                <w:rFonts w:ascii="Calibri" w:hAnsi="Calibri" w:cs="Calibri"/>
                <w:sz w:val="22"/>
                <w:szCs w:val="22"/>
              </w:rPr>
              <w:t xml:space="preserve">Model A </w:t>
            </w:r>
            <w:r w:rsidR="00AA6025" w:rsidRPr="009F1618">
              <w:rPr>
                <w:rFonts w:ascii="Calibri" w:hAnsi="Calibri" w:cs="Calibri"/>
                <w:sz w:val="22"/>
                <w:szCs w:val="22"/>
              </w:rPr>
              <w:t>with</w:t>
            </w:r>
            <w:r w:rsidRPr="009F1618">
              <w:rPr>
                <w:rFonts w:ascii="Calibri" w:hAnsi="Calibri" w:cs="Calibri"/>
                <w:sz w:val="22"/>
                <w:szCs w:val="22"/>
              </w:rPr>
              <w:t xml:space="preserve"> a linear trend in cointegration</w:t>
            </w:r>
            <w:r w:rsidR="00684F82" w:rsidRPr="009F1618">
              <w:rPr>
                <w:rFonts w:ascii="Calibri" w:hAnsi="Calibri" w:cs="Calibri"/>
                <w:sz w:val="22"/>
                <w:szCs w:val="22"/>
              </w:rPr>
              <w:t xml:space="preserve">, </w:t>
            </w:r>
            <m:oMath>
              <m:r>
                <w:rPr>
                  <w:rFonts w:ascii="Cambria Math" w:hAnsi="Cambria Math" w:cs="Calibri"/>
                  <w:sz w:val="22"/>
                  <w:szCs w:val="22"/>
                </w:rPr>
                <m:t>r=3</m:t>
              </m:r>
            </m:oMath>
          </w:p>
        </w:tc>
      </w:tr>
      <w:tr w:rsidR="00684F82" w:rsidRPr="009F1618" w14:paraId="54A2AE6A" w14:textId="77777777" w:rsidTr="002166FB">
        <w:trPr>
          <w:cantSplit/>
          <w:trHeight w:val="293"/>
        </w:trPr>
        <w:tc>
          <w:tcPr>
            <w:tcW w:w="2268" w:type="dxa"/>
            <w:tcBorders>
              <w:top w:val="nil"/>
              <w:left w:val="nil"/>
              <w:bottom w:val="nil"/>
              <w:right w:val="nil"/>
            </w:tcBorders>
            <w:vAlign w:val="center"/>
          </w:tcPr>
          <w:p w14:paraId="37F6D820" w14:textId="609FF2D1"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r=0</m:t>
                </m:r>
              </m:oMath>
            </m:oMathPara>
          </w:p>
        </w:tc>
        <w:tc>
          <w:tcPr>
            <w:tcW w:w="2268" w:type="dxa"/>
            <w:tcBorders>
              <w:top w:val="nil"/>
              <w:left w:val="nil"/>
              <w:bottom w:val="nil"/>
              <w:right w:val="nil"/>
            </w:tcBorders>
            <w:vAlign w:val="center"/>
          </w:tcPr>
          <w:p w14:paraId="13CE2615" w14:textId="4EC60861" w:rsidR="00684F8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0.155</m:t>
                </m:r>
              </m:oMath>
            </m:oMathPara>
          </w:p>
        </w:tc>
        <w:tc>
          <w:tcPr>
            <w:tcW w:w="2268" w:type="dxa"/>
            <w:tcBorders>
              <w:top w:val="nil"/>
              <w:left w:val="nil"/>
              <w:bottom w:val="nil"/>
              <w:right w:val="nil"/>
            </w:tcBorders>
            <w:vAlign w:val="center"/>
          </w:tcPr>
          <w:p w14:paraId="6697C107" w14:textId="1E3C4682"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41.17</m:t>
                </m:r>
              </m:oMath>
            </m:oMathPara>
          </w:p>
          <w:p w14:paraId="66D51BBB" w14:textId="37BE083F"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(36.65)</m:t>
                </m:r>
              </m:oMath>
            </m:oMathPara>
          </w:p>
        </w:tc>
        <w:tc>
          <w:tcPr>
            <w:tcW w:w="2268" w:type="dxa"/>
            <w:tcBorders>
              <w:top w:val="nil"/>
              <w:left w:val="nil"/>
              <w:bottom w:val="nil"/>
              <w:right w:val="nil"/>
            </w:tcBorders>
            <w:vAlign w:val="center"/>
          </w:tcPr>
          <w:p w14:paraId="1895CE3F" w14:textId="49EF5484"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95.40</m:t>
                </m:r>
              </m:oMath>
            </m:oMathPara>
          </w:p>
          <w:p w14:paraId="4615FD49" w14:textId="7D8A3539"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(70.05)</m:t>
                </m:r>
              </m:oMath>
            </m:oMathPara>
          </w:p>
        </w:tc>
      </w:tr>
      <w:tr w:rsidR="00684F82" w:rsidRPr="009F1618" w14:paraId="6E1A3182" w14:textId="77777777" w:rsidTr="002166FB">
        <w:trPr>
          <w:cantSplit/>
          <w:trHeight w:val="293"/>
        </w:trPr>
        <w:tc>
          <w:tcPr>
            <w:tcW w:w="2268" w:type="dxa"/>
            <w:tcBorders>
              <w:top w:val="nil"/>
              <w:left w:val="nil"/>
              <w:bottom w:val="nil"/>
              <w:right w:val="nil"/>
            </w:tcBorders>
            <w:vAlign w:val="center"/>
          </w:tcPr>
          <w:p w14:paraId="0009EAA2" w14:textId="0720F93A"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r≤1</m:t>
                </m:r>
              </m:oMath>
            </m:oMathPara>
          </w:p>
        </w:tc>
        <w:tc>
          <w:tcPr>
            <w:tcW w:w="2268" w:type="dxa"/>
            <w:tcBorders>
              <w:top w:val="nil"/>
              <w:left w:val="nil"/>
              <w:bottom w:val="nil"/>
              <w:right w:val="nil"/>
            </w:tcBorders>
            <w:vAlign w:val="center"/>
          </w:tcPr>
          <w:p w14:paraId="177AFF54" w14:textId="3A28D3C7" w:rsidR="00684F8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0.088</m:t>
                </m:r>
              </m:oMath>
            </m:oMathPara>
          </w:p>
        </w:tc>
        <w:tc>
          <w:tcPr>
            <w:tcW w:w="2268" w:type="dxa"/>
            <w:tcBorders>
              <w:top w:val="nil"/>
              <w:left w:val="nil"/>
              <w:bottom w:val="nil"/>
              <w:right w:val="nil"/>
            </w:tcBorders>
            <w:vAlign w:val="center"/>
          </w:tcPr>
          <w:p w14:paraId="64A1EF04" w14:textId="4B514DBD"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22.66</m:t>
                </m:r>
              </m:oMath>
            </m:oMathPara>
          </w:p>
          <w:p w14:paraId="335B481C" w14:textId="09201A57"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(30.34)</m:t>
                </m:r>
              </m:oMath>
            </m:oMathPara>
          </w:p>
        </w:tc>
        <w:tc>
          <w:tcPr>
            <w:tcW w:w="2268" w:type="dxa"/>
            <w:tcBorders>
              <w:top w:val="nil"/>
              <w:left w:val="nil"/>
              <w:bottom w:val="nil"/>
              <w:right w:val="nil"/>
            </w:tcBorders>
            <w:vAlign w:val="center"/>
          </w:tcPr>
          <w:p w14:paraId="4FEA31C3" w14:textId="2F9F2471" w:rsidR="00684F82" w:rsidRPr="009F1618" w:rsidRDefault="00504AFB" w:rsidP="009F1618">
            <w:pPr>
              <w:jc w:val="both"/>
              <w:rPr>
                <w:rFonts w:ascii="Cambria Math" w:hAnsi="Cambria Math" w:cs="Calibri"/>
                <w:sz w:val="22"/>
                <w:szCs w:val="22"/>
                <w:oMath/>
              </w:rPr>
            </w:pPr>
            <m:oMathPara>
              <m:oMath>
                <m:r>
                  <w:rPr>
                    <w:rFonts w:ascii="Cambria Math" w:hAnsi="Cambria Math" w:cs="Calibri"/>
                    <w:sz w:val="22"/>
                    <w:szCs w:val="22"/>
                  </w:rPr>
                  <m:t>54.22</m:t>
                </m:r>
              </m:oMath>
            </m:oMathPara>
          </w:p>
          <w:p w14:paraId="6683ECA4" w14:textId="0745DCAB"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(48.45)</m:t>
                </m:r>
              </m:oMath>
            </m:oMathPara>
          </w:p>
        </w:tc>
      </w:tr>
      <w:tr w:rsidR="00684F82" w:rsidRPr="009F1618" w14:paraId="6BF4BCD7" w14:textId="77777777" w:rsidTr="002166FB">
        <w:trPr>
          <w:cantSplit/>
          <w:trHeight w:val="293"/>
        </w:trPr>
        <w:tc>
          <w:tcPr>
            <w:tcW w:w="2268" w:type="dxa"/>
            <w:tcBorders>
              <w:top w:val="nil"/>
              <w:left w:val="nil"/>
              <w:bottom w:val="nil"/>
              <w:right w:val="nil"/>
            </w:tcBorders>
            <w:vAlign w:val="center"/>
          </w:tcPr>
          <w:p w14:paraId="7DEA3193" w14:textId="1D4E65CB"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w:lastRenderedPageBreak/>
                  <m:t>r≤2</m:t>
                </m:r>
              </m:oMath>
            </m:oMathPara>
          </w:p>
        </w:tc>
        <w:tc>
          <w:tcPr>
            <w:tcW w:w="2268" w:type="dxa"/>
            <w:tcBorders>
              <w:top w:val="nil"/>
              <w:left w:val="nil"/>
              <w:bottom w:val="nil"/>
              <w:right w:val="nil"/>
            </w:tcBorders>
            <w:vAlign w:val="center"/>
          </w:tcPr>
          <w:p w14:paraId="1C7CBD3B" w14:textId="1E2F48E4" w:rsidR="00684F8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0.078</m:t>
                </m:r>
              </m:oMath>
            </m:oMathPara>
          </w:p>
        </w:tc>
        <w:tc>
          <w:tcPr>
            <w:tcW w:w="2268" w:type="dxa"/>
            <w:tcBorders>
              <w:top w:val="nil"/>
              <w:left w:val="nil"/>
              <w:bottom w:val="nil"/>
              <w:right w:val="nil"/>
            </w:tcBorders>
            <w:vAlign w:val="center"/>
          </w:tcPr>
          <w:p w14:paraId="78743867" w14:textId="170C1238"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19.72</m:t>
                </m:r>
              </m:oMath>
            </m:oMathPara>
          </w:p>
          <w:p w14:paraId="1DA4BB8F" w14:textId="4523BB72"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(23.65)</m:t>
                </m:r>
              </m:oMath>
            </m:oMathPara>
          </w:p>
        </w:tc>
        <w:tc>
          <w:tcPr>
            <w:tcW w:w="2268" w:type="dxa"/>
            <w:tcBorders>
              <w:top w:val="nil"/>
              <w:left w:val="nil"/>
              <w:bottom w:val="nil"/>
              <w:right w:val="nil"/>
            </w:tcBorders>
            <w:vAlign w:val="center"/>
          </w:tcPr>
          <w:p w14:paraId="53BC2567" w14:textId="06DADABC" w:rsidR="00684F82" w:rsidRPr="009F1618" w:rsidRDefault="00504AFB" w:rsidP="009F1618">
            <w:pPr>
              <w:jc w:val="both"/>
              <w:rPr>
                <w:rFonts w:ascii="Cambria Math" w:hAnsi="Cambria Math" w:cs="Calibri"/>
                <w:sz w:val="22"/>
                <w:szCs w:val="22"/>
                <w:oMath/>
              </w:rPr>
            </w:pPr>
            <m:oMathPara>
              <m:oMath>
                <m:r>
                  <w:rPr>
                    <w:rFonts w:ascii="Cambria Math" w:hAnsi="Cambria Math" w:cs="Calibri"/>
                    <w:sz w:val="22"/>
                    <w:szCs w:val="22"/>
                  </w:rPr>
                  <m:t>31.56</m:t>
                </m:r>
              </m:oMath>
            </m:oMathPara>
          </w:p>
          <w:p w14:paraId="73F3D30E" w14:textId="15061B5E"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(30.45)</m:t>
                </m:r>
              </m:oMath>
            </m:oMathPara>
          </w:p>
        </w:tc>
      </w:tr>
      <w:tr w:rsidR="00684F82" w:rsidRPr="009F1618" w14:paraId="704B23F6" w14:textId="77777777" w:rsidTr="002166FB">
        <w:trPr>
          <w:cantSplit/>
          <w:trHeight w:val="293"/>
        </w:trPr>
        <w:tc>
          <w:tcPr>
            <w:tcW w:w="2268" w:type="dxa"/>
            <w:tcBorders>
              <w:top w:val="nil"/>
              <w:left w:val="nil"/>
              <w:bottom w:val="nil"/>
              <w:right w:val="nil"/>
            </w:tcBorders>
            <w:vAlign w:val="center"/>
          </w:tcPr>
          <w:p w14:paraId="26FD6E95" w14:textId="1A6EBC9C"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r≤3</m:t>
                </m:r>
              </m:oMath>
            </m:oMathPara>
          </w:p>
        </w:tc>
        <w:tc>
          <w:tcPr>
            <w:tcW w:w="2268" w:type="dxa"/>
            <w:tcBorders>
              <w:top w:val="nil"/>
              <w:left w:val="nil"/>
              <w:bottom w:val="nil"/>
              <w:right w:val="nil"/>
            </w:tcBorders>
            <w:vAlign w:val="center"/>
          </w:tcPr>
          <w:p w14:paraId="638801F3" w14:textId="26549A0D" w:rsidR="00684F8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0.047</m:t>
                </m:r>
              </m:oMath>
            </m:oMathPara>
          </w:p>
        </w:tc>
        <w:tc>
          <w:tcPr>
            <w:tcW w:w="2268" w:type="dxa"/>
            <w:tcBorders>
              <w:top w:val="nil"/>
              <w:left w:val="nil"/>
              <w:bottom w:val="nil"/>
              <w:right w:val="nil"/>
            </w:tcBorders>
            <w:vAlign w:val="center"/>
          </w:tcPr>
          <w:p w14:paraId="73BFAD7A" w14:textId="16A6A158"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11.83</m:t>
                </m:r>
              </m:oMath>
            </m:oMathPara>
          </w:p>
          <w:p w14:paraId="1B6F183C" w14:textId="11885E6D"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(16.26)</m:t>
                </m:r>
              </m:oMath>
            </m:oMathPara>
          </w:p>
        </w:tc>
        <w:tc>
          <w:tcPr>
            <w:tcW w:w="2268" w:type="dxa"/>
            <w:tcBorders>
              <w:top w:val="nil"/>
              <w:left w:val="nil"/>
              <w:bottom w:val="nil"/>
              <w:right w:val="nil"/>
            </w:tcBorders>
            <w:vAlign w:val="center"/>
          </w:tcPr>
          <w:p w14:paraId="10017377" w14:textId="379B2A94" w:rsidR="00684F82" w:rsidRPr="009F1618" w:rsidRDefault="001D02A7" w:rsidP="009F1618">
            <w:pPr>
              <w:jc w:val="both"/>
              <w:rPr>
                <w:rFonts w:ascii="Cambria Math" w:hAnsi="Cambria Math" w:cs="Calibri"/>
                <w:sz w:val="22"/>
                <w:szCs w:val="22"/>
                <w:oMath/>
              </w:rPr>
            </w:pPr>
            <m:oMathPara>
              <m:oMath>
                <m:r>
                  <w:rPr>
                    <w:rFonts w:ascii="Cambria Math" w:hAnsi="Cambria Math" w:cs="Calibri"/>
                    <w:sz w:val="22"/>
                    <w:szCs w:val="22"/>
                  </w:rPr>
                  <m:t>11.83</m:t>
                </m:r>
              </m:oMath>
            </m:oMathPara>
          </w:p>
          <w:p w14:paraId="22B76284" w14:textId="56BD4555"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(16.26)</m:t>
                </m:r>
              </m:oMath>
            </m:oMathPara>
          </w:p>
        </w:tc>
      </w:tr>
      <w:tr w:rsidR="00684F82" w:rsidRPr="009F1618" w14:paraId="52DE47B1" w14:textId="77777777" w:rsidTr="002166FB">
        <w:trPr>
          <w:cantSplit/>
          <w:trHeight w:val="293"/>
        </w:trPr>
        <w:tc>
          <w:tcPr>
            <w:tcW w:w="2268" w:type="dxa"/>
            <w:tcBorders>
              <w:top w:val="nil"/>
              <w:left w:val="nil"/>
              <w:bottom w:val="nil"/>
              <w:right w:val="nil"/>
            </w:tcBorders>
            <w:vAlign w:val="center"/>
          </w:tcPr>
          <w:p w14:paraId="0DAF958C" w14:textId="77777777" w:rsidR="00684F82" w:rsidRPr="009F1618" w:rsidRDefault="00684F8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2408D508" w14:textId="77777777" w:rsidR="00684F82" w:rsidRPr="009F1618" w:rsidRDefault="00684F8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01E15E17" w14:textId="77777777" w:rsidR="00684F82" w:rsidRPr="009F1618" w:rsidRDefault="00684F8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3DE34517" w14:textId="77777777" w:rsidR="00684F82" w:rsidRPr="009F1618" w:rsidRDefault="00684F82" w:rsidP="009F1618">
            <w:pPr>
              <w:jc w:val="both"/>
              <w:rPr>
                <w:rFonts w:ascii="Calibri" w:eastAsia="Aptos" w:hAnsi="Calibri" w:cs="Calibri"/>
                <w:sz w:val="22"/>
                <w:szCs w:val="22"/>
              </w:rPr>
            </w:pPr>
          </w:p>
        </w:tc>
      </w:tr>
      <w:tr w:rsidR="00684F82" w:rsidRPr="009F1618" w14:paraId="760964CE" w14:textId="77777777" w:rsidTr="002166FB">
        <w:trPr>
          <w:cantSplit/>
          <w:trHeight w:val="293"/>
        </w:trPr>
        <w:tc>
          <w:tcPr>
            <w:tcW w:w="9072" w:type="dxa"/>
            <w:gridSpan w:val="4"/>
            <w:tcBorders>
              <w:top w:val="nil"/>
              <w:left w:val="nil"/>
              <w:bottom w:val="nil"/>
              <w:right w:val="nil"/>
            </w:tcBorders>
            <w:vAlign w:val="center"/>
          </w:tcPr>
          <w:p w14:paraId="347134F5" w14:textId="3619B85A" w:rsidR="00684F82" w:rsidRPr="009F1618" w:rsidRDefault="00AA6025" w:rsidP="009F1618">
            <w:pPr>
              <w:jc w:val="both"/>
              <w:rPr>
                <w:rFonts w:ascii="Calibri" w:eastAsia="Aptos" w:hAnsi="Calibri" w:cs="Calibri"/>
                <w:sz w:val="22"/>
                <w:szCs w:val="22"/>
              </w:rPr>
            </w:pPr>
            <w:r w:rsidRPr="009F1618">
              <w:rPr>
                <w:rFonts w:ascii="Calibri" w:hAnsi="Calibri" w:cs="Calibri"/>
                <w:sz w:val="22"/>
                <w:szCs w:val="22"/>
              </w:rPr>
              <w:t xml:space="preserve">Model B without linear trend and constant in cointegration, </w:t>
            </w:r>
            <m:oMath>
              <m:r>
                <w:rPr>
                  <w:rFonts w:ascii="Cambria Math" w:hAnsi="Cambria Math" w:cs="Calibri"/>
                  <w:sz w:val="22"/>
                  <w:szCs w:val="22"/>
                </w:rPr>
                <m:t>r=3</m:t>
              </m:r>
            </m:oMath>
          </w:p>
        </w:tc>
      </w:tr>
      <w:tr w:rsidR="00684F82" w:rsidRPr="009F1618" w14:paraId="38AADD95" w14:textId="77777777" w:rsidTr="002166FB">
        <w:trPr>
          <w:cantSplit/>
          <w:trHeight w:val="293"/>
        </w:trPr>
        <w:tc>
          <w:tcPr>
            <w:tcW w:w="2268" w:type="dxa"/>
            <w:tcBorders>
              <w:top w:val="nil"/>
              <w:left w:val="nil"/>
              <w:bottom w:val="nil"/>
              <w:right w:val="nil"/>
            </w:tcBorders>
            <w:vAlign w:val="center"/>
          </w:tcPr>
          <w:p w14:paraId="616D2FD1" w14:textId="17D755D8"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r=0</m:t>
                </m:r>
              </m:oMath>
            </m:oMathPara>
          </w:p>
        </w:tc>
        <w:tc>
          <w:tcPr>
            <w:tcW w:w="2268" w:type="dxa"/>
            <w:tcBorders>
              <w:top w:val="nil"/>
              <w:left w:val="nil"/>
              <w:bottom w:val="nil"/>
              <w:right w:val="nil"/>
            </w:tcBorders>
            <w:vAlign w:val="center"/>
          </w:tcPr>
          <w:p w14:paraId="34D03DDE" w14:textId="13C232CF" w:rsidR="00684F8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0.142</m:t>
                </m:r>
              </m:oMath>
            </m:oMathPara>
          </w:p>
        </w:tc>
        <w:tc>
          <w:tcPr>
            <w:tcW w:w="2268" w:type="dxa"/>
            <w:tcBorders>
              <w:top w:val="nil"/>
              <w:left w:val="nil"/>
              <w:bottom w:val="nil"/>
              <w:right w:val="nil"/>
            </w:tcBorders>
            <w:vAlign w:val="center"/>
          </w:tcPr>
          <w:p w14:paraId="33E2386E" w14:textId="1C23E813" w:rsidR="00684F82" w:rsidRPr="009F1618" w:rsidRDefault="00B61BB2" w:rsidP="009F1618">
            <w:pPr>
              <w:jc w:val="both"/>
              <w:rPr>
                <w:rFonts w:ascii="Cambria Math" w:hAnsi="Cambria Math" w:cs="Calibri"/>
                <w:sz w:val="22"/>
                <w:szCs w:val="22"/>
                <w:oMath/>
              </w:rPr>
            </w:pPr>
            <m:oMathPara>
              <m:oMath>
                <m:r>
                  <w:rPr>
                    <w:rFonts w:ascii="Cambria Math" w:hAnsi="Cambria Math" w:cs="Calibri"/>
                    <w:sz w:val="22"/>
                    <w:szCs w:val="22"/>
                  </w:rPr>
                  <m:t>37.29</m:t>
                </m:r>
              </m:oMath>
            </m:oMathPara>
          </w:p>
          <w:p w14:paraId="089B9215" w14:textId="288ACF36"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(33.24)</m:t>
                </m:r>
              </m:oMath>
            </m:oMathPara>
          </w:p>
        </w:tc>
        <w:tc>
          <w:tcPr>
            <w:tcW w:w="2268" w:type="dxa"/>
            <w:tcBorders>
              <w:top w:val="nil"/>
              <w:left w:val="nil"/>
              <w:bottom w:val="nil"/>
              <w:right w:val="nil"/>
            </w:tcBorders>
            <w:vAlign w:val="center"/>
          </w:tcPr>
          <w:p w14:paraId="533FD2FF" w14:textId="703C07D5" w:rsidR="00684F82" w:rsidRPr="009F1618" w:rsidRDefault="008E72D8" w:rsidP="009F1618">
            <w:pPr>
              <w:jc w:val="both"/>
              <w:rPr>
                <w:rFonts w:ascii="Cambria Math" w:hAnsi="Cambria Math" w:cs="Calibri"/>
                <w:sz w:val="22"/>
                <w:szCs w:val="22"/>
                <w:oMath/>
              </w:rPr>
            </w:pPr>
            <m:oMathPara>
              <m:oMath>
                <m:r>
                  <w:rPr>
                    <w:rFonts w:ascii="Cambria Math" w:hAnsi="Cambria Math" w:cs="Calibri"/>
                    <w:sz w:val="22"/>
                    <w:szCs w:val="22"/>
                  </w:rPr>
                  <m:t>85.58</m:t>
                </m:r>
              </m:oMath>
            </m:oMathPara>
          </w:p>
          <w:p w14:paraId="528E5049" w14:textId="4A055F94"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(60.16)</m:t>
                </m:r>
              </m:oMath>
            </m:oMathPara>
          </w:p>
        </w:tc>
      </w:tr>
      <w:tr w:rsidR="00684F82" w:rsidRPr="009F1618" w14:paraId="3EF886A6" w14:textId="77777777" w:rsidTr="002166FB">
        <w:trPr>
          <w:cantSplit/>
          <w:trHeight w:val="293"/>
        </w:trPr>
        <w:tc>
          <w:tcPr>
            <w:tcW w:w="2268" w:type="dxa"/>
            <w:tcBorders>
              <w:top w:val="nil"/>
              <w:left w:val="nil"/>
              <w:bottom w:val="nil"/>
              <w:right w:val="nil"/>
            </w:tcBorders>
            <w:vAlign w:val="center"/>
          </w:tcPr>
          <w:p w14:paraId="0E036789" w14:textId="01DC4A86"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r≤1</m:t>
                </m:r>
              </m:oMath>
            </m:oMathPara>
          </w:p>
        </w:tc>
        <w:tc>
          <w:tcPr>
            <w:tcW w:w="2268" w:type="dxa"/>
            <w:tcBorders>
              <w:top w:val="nil"/>
              <w:left w:val="nil"/>
              <w:bottom w:val="nil"/>
              <w:right w:val="nil"/>
            </w:tcBorders>
            <w:vAlign w:val="center"/>
          </w:tcPr>
          <w:p w14:paraId="33A7B468" w14:textId="4B308B81" w:rsidR="00684F8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0.084</m:t>
                </m:r>
              </m:oMath>
            </m:oMathPara>
          </w:p>
        </w:tc>
        <w:tc>
          <w:tcPr>
            <w:tcW w:w="2268" w:type="dxa"/>
            <w:tcBorders>
              <w:top w:val="nil"/>
              <w:left w:val="nil"/>
              <w:bottom w:val="nil"/>
              <w:right w:val="nil"/>
            </w:tcBorders>
            <w:vAlign w:val="center"/>
          </w:tcPr>
          <w:p w14:paraId="43C0D81E" w14:textId="2064AC6E" w:rsidR="00684F82" w:rsidRPr="009F1618" w:rsidRDefault="00B61BB2" w:rsidP="009F1618">
            <w:pPr>
              <w:jc w:val="both"/>
              <w:rPr>
                <w:rFonts w:ascii="Cambria Math" w:hAnsi="Cambria Math" w:cs="Calibri"/>
                <w:sz w:val="22"/>
                <w:szCs w:val="22"/>
                <w:oMath/>
              </w:rPr>
            </w:pPr>
            <m:oMathPara>
              <m:oMath>
                <m:r>
                  <w:rPr>
                    <w:rFonts w:ascii="Cambria Math" w:hAnsi="Cambria Math" w:cs="Calibri"/>
                    <w:sz w:val="22"/>
                    <w:szCs w:val="22"/>
                  </w:rPr>
                  <m:t>21.38</m:t>
                </m:r>
              </m:oMath>
            </m:oMathPara>
          </w:p>
          <w:p w14:paraId="582FC4AC" w14:textId="5137C643"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(26.81)</m:t>
                </m:r>
              </m:oMath>
            </m:oMathPara>
          </w:p>
        </w:tc>
        <w:tc>
          <w:tcPr>
            <w:tcW w:w="2268" w:type="dxa"/>
            <w:tcBorders>
              <w:top w:val="nil"/>
              <w:left w:val="nil"/>
              <w:bottom w:val="nil"/>
              <w:right w:val="nil"/>
            </w:tcBorders>
            <w:vAlign w:val="center"/>
          </w:tcPr>
          <w:p w14:paraId="3B98E927" w14:textId="63BDCB0F" w:rsidR="00684F82" w:rsidRPr="009F1618" w:rsidRDefault="00493C2D" w:rsidP="009F1618">
            <w:pPr>
              <w:jc w:val="both"/>
              <w:rPr>
                <w:rFonts w:ascii="Cambria Math" w:hAnsi="Cambria Math" w:cs="Calibri"/>
                <w:sz w:val="22"/>
                <w:szCs w:val="22"/>
                <w:oMath/>
              </w:rPr>
            </w:pPr>
            <m:oMathPara>
              <m:oMath>
                <m:r>
                  <w:rPr>
                    <w:rFonts w:ascii="Cambria Math" w:hAnsi="Cambria Math" w:cs="Calibri"/>
                    <w:sz w:val="22"/>
                    <w:szCs w:val="22"/>
                  </w:rPr>
                  <m:t>48.30</m:t>
                </m:r>
              </m:oMath>
            </m:oMathPara>
          </w:p>
          <w:p w14:paraId="743561DE" w14:textId="0323ECAC"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(41.07)</m:t>
                </m:r>
              </m:oMath>
            </m:oMathPara>
          </w:p>
        </w:tc>
      </w:tr>
      <w:tr w:rsidR="00684F82" w:rsidRPr="009F1618" w14:paraId="4DB165B9" w14:textId="77777777" w:rsidTr="002166FB">
        <w:trPr>
          <w:cantSplit/>
          <w:trHeight w:val="293"/>
        </w:trPr>
        <w:tc>
          <w:tcPr>
            <w:tcW w:w="2268" w:type="dxa"/>
            <w:tcBorders>
              <w:top w:val="nil"/>
              <w:left w:val="nil"/>
              <w:bottom w:val="nil"/>
              <w:right w:val="nil"/>
            </w:tcBorders>
            <w:vAlign w:val="center"/>
          </w:tcPr>
          <w:p w14:paraId="5F5251AA" w14:textId="11F4BAE2"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r≤2</m:t>
                </m:r>
              </m:oMath>
            </m:oMathPara>
          </w:p>
        </w:tc>
        <w:tc>
          <w:tcPr>
            <w:tcW w:w="2268" w:type="dxa"/>
            <w:tcBorders>
              <w:top w:val="nil"/>
              <w:left w:val="nil"/>
              <w:bottom w:val="nil"/>
              <w:right w:val="nil"/>
            </w:tcBorders>
            <w:vAlign w:val="center"/>
          </w:tcPr>
          <w:p w14:paraId="7413CBE8" w14:textId="143B3D62" w:rsidR="00684F82" w:rsidRPr="009F1618" w:rsidRDefault="00EB1FBC" w:rsidP="009F1618">
            <w:pPr>
              <w:jc w:val="both"/>
              <w:rPr>
                <w:rFonts w:ascii="Calibri" w:eastAsia="Aptos" w:hAnsi="Calibri" w:cs="Calibri"/>
                <w:sz w:val="22"/>
                <w:szCs w:val="22"/>
              </w:rPr>
            </w:pPr>
            <m:oMathPara>
              <m:oMath>
                <m:r>
                  <w:rPr>
                    <w:rFonts w:ascii="Cambria Math" w:hAnsi="Cambria Math" w:cs="Calibri"/>
                    <w:sz w:val="22"/>
                    <w:szCs w:val="22"/>
                  </w:rPr>
                  <m:t>0.065</m:t>
                </m:r>
              </m:oMath>
            </m:oMathPara>
          </w:p>
        </w:tc>
        <w:tc>
          <w:tcPr>
            <w:tcW w:w="2268" w:type="dxa"/>
            <w:tcBorders>
              <w:top w:val="nil"/>
              <w:left w:val="nil"/>
              <w:bottom w:val="nil"/>
              <w:right w:val="nil"/>
            </w:tcBorders>
            <w:vAlign w:val="center"/>
          </w:tcPr>
          <w:p w14:paraId="36828BBA" w14:textId="3FAE833D" w:rsidR="00684F82" w:rsidRPr="009F1618" w:rsidRDefault="00EB1FBC" w:rsidP="009F1618">
            <w:pPr>
              <w:jc w:val="both"/>
              <w:rPr>
                <w:rFonts w:ascii="Cambria Math" w:hAnsi="Cambria Math" w:cs="Calibri"/>
                <w:sz w:val="22"/>
                <w:szCs w:val="22"/>
                <w:oMath/>
              </w:rPr>
            </w:pPr>
            <m:oMathPara>
              <m:oMath>
                <m:r>
                  <w:rPr>
                    <w:rFonts w:ascii="Cambria Math" w:hAnsi="Cambria Math" w:cs="Calibri"/>
                    <w:sz w:val="22"/>
                    <w:szCs w:val="22"/>
                  </w:rPr>
                  <m:t>16.50</m:t>
                </m:r>
              </m:oMath>
            </m:oMathPara>
          </w:p>
          <w:p w14:paraId="49372F91" w14:textId="24ED9334"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(20.20)</m:t>
                </m:r>
              </m:oMath>
            </m:oMathPara>
          </w:p>
        </w:tc>
        <w:tc>
          <w:tcPr>
            <w:tcW w:w="2268" w:type="dxa"/>
            <w:tcBorders>
              <w:top w:val="nil"/>
              <w:left w:val="nil"/>
              <w:bottom w:val="nil"/>
              <w:right w:val="nil"/>
            </w:tcBorders>
            <w:vAlign w:val="center"/>
          </w:tcPr>
          <w:p w14:paraId="6528B513" w14:textId="4934F5C7" w:rsidR="00684F82" w:rsidRPr="009F1618" w:rsidRDefault="00493C2D" w:rsidP="009F1618">
            <w:pPr>
              <w:jc w:val="both"/>
              <w:rPr>
                <w:rFonts w:ascii="Cambria Math" w:hAnsi="Cambria Math" w:cs="Calibri"/>
                <w:sz w:val="22"/>
                <w:szCs w:val="22"/>
                <w:oMath/>
              </w:rPr>
            </w:pPr>
            <m:oMathPara>
              <m:oMath>
                <m:r>
                  <w:rPr>
                    <w:rFonts w:ascii="Cambria Math" w:hAnsi="Cambria Math" w:cs="Calibri"/>
                    <w:sz w:val="22"/>
                    <w:szCs w:val="22"/>
                  </w:rPr>
                  <m:t>26.91</m:t>
                </m:r>
              </m:oMath>
            </m:oMathPara>
          </w:p>
          <w:p w14:paraId="65B78D37" w14:textId="0FC59C80" w:rsidR="00684F82" w:rsidRPr="009F1618" w:rsidRDefault="00EB1FBC" w:rsidP="009F1618">
            <w:pPr>
              <w:jc w:val="both"/>
              <w:rPr>
                <w:rFonts w:ascii="Cambria Math" w:eastAsia="Aptos" w:hAnsi="Cambria Math" w:cs="Calibri"/>
                <w:sz w:val="22"/>
                <w:szCs w:val="22"/>
                <w:oMath/>
              </w:rPr>
            </w:pPr>
            <m:oMathPara>
              <m:oMath>
                <m:r>
                  <w:rPr>
                    <w:rFonts w:ascii="Cambria Math" w:hAnsi="Cambria Math" w:cs="Calibri"/>
                    <w:sz w:val="22"/>
                    <w:szCs w:val="22"/>
                  </w:rPr>
                  <m:t>(24.60)</m:t>
                </m:r>
              </m:oMath>
            </m:oMathPara>
          </w:p>
        </w:tc>
      </w:tr>
      <w:tr w:rsidR="00684F82" w:rsidRPr="009F1618" w14:paraId="270EE5F6" w14:textId="77777777" w:rsidTr="002166FB">
        <w:trPr>
          <w:cantSplit/>
          <w:trHeight w:val="293"/>
        </w:trPr>
        <w:tc>
          <w:tcPr>
            <w:tcW w:w="2268" w:type="dxa"/>
            <w:tcBorders>
              <w:top w:val="nil"/>
              <w:left w:val="nil"/>
              <w:bottom w:val="nil"/>
              <w:right w:val="nil"/>
            </w:tcBorders>
            <w:vAlign w:val="center"/>
          </w:tcPr>
          <w:p w14:paraId="299855E1" w14:textId="1BDA15D4" w:rsidR="00684F82" w:rsidRPr="009F1618" w:rsidRDefault="00EB1FBC"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r≤3</m:t>
                </m:r>
              </m:oMath>
            </m:oMathPara>
          </w:p>
        </w:tc>
        <w:tc>
          <w:tcPr>
            <w:tcW w:w="2268" w:type="dxa"/>
            <w:tcBorders>
              <w:top w:val="nil"/>
              <w:left w:val="nil"/>
              <w:bottom w:val="nil"/>
              <w:right w:val="nil"/>
            </w:tcBorders>
            <w:vAlign w:val="center"/>
          </w:tcPr>
          <w:p w14:paraId="54237340" w14:textId="2B119FBC" w:rsidR="00684F82" w:rsidRPr="009F1618" w:rsidRDefault="00EB1FBC" w:rsidP="009F1618">
            <w:pPr>
              <w:jc w:val="both"/>
              <w:rPr>
                <w:rFonts w:ascii="Calibri" w:eastAsia="Aptos" w:hAnsi="Calibri" w:cs="Calibri"/>
                <w:sz w:val="22"/>
                <w:szCs w:val="22"/>
              </w:rPr>
            </w:pPr>
            <m:oMathPara>
              <m:oMath>
                <m:r>
                  <w:rPr>
                    <w:rFonts w:ascii="Cambria Math" w:eastAsia="Aptos" w:hAnsi="Cambria Math" w:cs="Calibri"/>
                    <w:sz w:val="22"/>
                    <w:szCs w:val="22"/>
                  </w:rPr>
                  <m:t>0.042</m:t>
                </m:r>
              </m:oMath>
            </m:oMathPara>
          </w:p>
        </w:tc>
        <w:tc>
          <w:tcPr>
            <w:tcW w:w="2268" w:type="dxa"/>
            <w:tcBorders>
              <w:top w:val="nil"/>
              <w:left w:val="nil"/>
              <w:bottom w:val="nil"/>
              <w:right w:val="nil"/>
            </w:tcBorders>
            <w:vAlign w:val="center"/>
          </w:tcPr>
          <w:p w14:paraId="6F094845" w14:textId="5E29C2D7" w:rsidR="00684F82" w:rsidRPr="009F1618" w:rsidRDefault="00373BF3"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10.41</m:t>
                </m:r>
              </m:oMath>
            </m:oMathPara>
          </w:p>
          <w:p w14:paraId="52268018" w14:textId="0324A041" w:rsidR="00684F82" w:rsidRPr="009F1618" w:rsidRDefault="00EB1FBC"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(12.97)</m:t>
                </m:r>
              </m:oMath>
            </m:oMathPara>
          </w:p>
        </w:tc>
        <w:tc>
          <w:tcPr>
            <w:tcW w:w="2268" w:type="dxa"/>
            <w:tcBorders>
              <w:top w:val="nil"/>
              <w:left w:val="nil"/>
              <w:bottom w:val="nil"/>
              <w:right w:val="nil"/>
            </w:tcBorders>
            <w:vAlign w:val="center"/>
          </w:tcPr>
          <w:p w14:paraId="2A0CEA78" w14:textId="2F24918A" w:rsidR="00684F82" w:rsidRPr="009F1618" w:rsidRDefault="005F68E2"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10.41</m:t>
                </m:r>
              </m:oMath>
            </m:oMathPara>
          </w:p>
          <w:p w14:paraId="4C8BB796" w14:textId="28F03041" w:rsidR="00684F82" w:rsidRPr="009F1618" w:rsidRDefault="00EB1FBC" w:rsidP="009F1618">
            <w:pPr>
              <w:jc w:val="both"/>
              <w:rPr>
                <w:rFonts w:ascii="Cambria Math" w:eastAsia="Aptos" w:hAnsi="Cambria Math" w:cs="Calibri"/>
                <w:sz w:val="22"/>
                <w:szCs w:val="22"/>
                <w:oMath/>
              </w:rPr>
            </w:pPr>
            <m:oMathPara>
              <m:oMath>
                <m:r>
                  <w:rPr>
                    <w:rFonts w:ascii="Cambria Math" w:eastAsia="Aptos" w:hAnsi="Cambria Math" w:cs="Calibri"/>
                    <w:sz w:val="22"/>
                    <w:szCs w:val="22"/>
                  </w:rPr>
                  <m:t>(12.97)</m:t>
                </m:r>
              </m:oMath>
            </m:oMathPara>
          </w:p>
        </w:tc>
      </w:tr>
      <w:tr w:rsidR="00684F82" w:rsidRPr="009F1618" w14:paraId="51750CCE" w14:textId="77777777" w:rsidTr="00D43823">
        <w:trPr>
          <w:cantSplit/>
          <w:trHeight w:val="293"/>
        </w:trPr>
        <w:tc>
          <w:tcPr>
            <w:tcW w:w="2268" w:type="dxa"/>
            <w:tcBorders>
              <w:top w:val="nil"/>
              <w:left w:val="nil"/>
              <w:bottom w:val="nil"/>
              <w:right w:val="nil"/>
            </w:tcBorders>
            <w:vAlign w:val="center"/>
          </w:tcPr>
          <w:p w14:paraId="0198DA80" w14:textId="77777777" w:rsidR="00684F82" w:rsidRPr="009F1618" w:rsidRDefault="00684F8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60030297" w14:textId="77777777" w:rsidR="00684F82" w:rsidRPr="009F1618" w:rsidRDefault="00684F8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6E874D7F" w14:textId="77777777" w:rsidR="00684F82" w:rsidRPr="009F1618" w:rsidRDefault="00684F82" w:rsidP="009F1618">
            <w:pPr>
              <w:jc w:val="both"/>
              <w:rPr>
                <w:rFonts w:ascii="Calibri" w:eastAsia="Aptos" w:hAnsi="Calibri" w:cs="Calibri"/>
                <w:sz w:val="22"/>
                <w:szCs w:val="22"/>
              </w:rPr>
            </w:pPr>
          </w:p>
        </w:tc>
        <w:tc>
          <w:tcPr>
            <w:tcW w:w="2268" w:type="dxa"/>
            <w:tcBorders>
              <w:top w:val="nil"/>
              <w:left w:val="nil"/>
              <w:bottom w:val="nil"/>
              <w:right w:val="nil"/>
            </w:tcBorders>
            <w:vAlign w:val="center"/>
          </w:tcPr>
          <w:p w14:paraId="57B4E2FE" w14:textId="77777777" w:rsidR="00684F82" w:rsidRPr="009F1618" w:rsidRDefault="00684F82" w:rsidP="009F1618">
            <w:pPr>
              <w:jc w:val="both"/>
              <w:rPr>
                <w:rFonts w:ascii="Calibri" w:eastAsia="Aptos" w:hAnsi="Calibri" w:cs="Calibri"/>
                <w:sz w:val="22"/>
                <w:szCs w:val="22"/>
              </w:rPr>
            </w:pPr>
          </w:p>
        </w:tc>
      </w:tr>
      <w:tr w:rsidR="00684F82" w:rsidRPr="009F1618" w14:paraId="49492BF6" w14:textId="77777777" w:rsidTr="00D43823">
        <w:trPr>
          <w:cantSplit/>
          <w:trHeight w:val="293"/>
        </w:trPr>
        <w:tc>
          <w:tcPr>
            <w:tcW w:w="9072" w:type="dxa"/>
            <w:gridSpan w:val="4"/>
            <w:tcBorders>
              <w:top w:val="nil"/>
              <w:left w:val="nil"/>
              <w:bottom w:val="double" w:sz="4" w:space="0" w:color="auto"/>
              <w:right w:val="nil"/>
            </w:tcBorders>
            <w:vAlign w:val="center"/>
          </w:tcPr>
          <w:p w14:paraId="12790F35" w14:textId="10250C20" w:rsidR="00684F82" w:rsidRPr="009F1618" w:rsidRDefault="00684F82" w:rsidP="009F1618">
            <w:pPr>
              <w:jc w:val="both"/>
              <w:rPr>
                <w:rFonts w:ascii="Calibri" w:eastAsia="Aptos" w:hAnsi="Calibri" w:cs="Calibri"/>
                <w:sz w:val="22"/>
                <w:szCs w:val="22"/>
              </w:rPr>
            </w:pPr>
            <m:oMathPara>
              <m:oMathParaPr>
                <m:jc m:val="left"/>
              </m:oMathParaPr>
              <m:oMath>
                <m:r>
                  <w:rPr>
                    <w:rFonts w:ascii="Cambria Math" w:hAnsi="Cambria Math" w:cs="Calibri"/>
                    <w:sz w:val="22"/>
                    <w:szCs w:val="22"/>
                  </w:rPr>
                  <m:t>L</m:t>
                </m:r>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λ</m:t>
                    </m:r>
                  </m:sub>
                </m:sSub>
                <m:r>
                  <w:rPr>
                    <w:rFonts w:ascii="Cambria Math" w:hAnsi="Cambria Math" w:cs="Calibri"/>
                    <w:sz w:val="22"/>
                    <w:szCs w:val="22"/>
                  </w:rPr>
                  <m:t xml:space="preserve">=1.442&gt;6.635 </m:t>
                </m:r>
                <m:d>
                  <m:dPr>
                    <m:ctrlPr>
                      <w:rPr>
                        <w:rFonts w:ascii="Cambria Math" w:hAnsi="Cambria Math" w:cs="Calibri"/>
                        <w:i/>
                        <w:sz w:val="22"/>
                        <w:szCs w:val="22"/>
                      </w:rPr>
                    </m:ctrlPr>
                  </m:dPr>
                  <m:e>
                    <m:r>
                      <w:rPr>
                        <w:rFonts w:ascii="Cambria Math" w:hAnsi="Cambria Math" w:cs="Calibri"/>
                        <w:sz w:val="22"/>
                        <w:szCs w:val="22"/>
                      </w:rPr>
                      <m:t>df=1;α=1%</m:t>
                    </m:r>
                  </m:e>
                </m:d>
                <m:r>
                  <w:rPr>
                    <w:rFonts w:ascii="Cambria Math" w:hAnsi="Cambria Math" w:cs="Calibri"/>
                    <w:sz w:val="22"/>
                    <w:szCs w:val="22"/>
                  </w:rPr>
                  <m:t xml:space="preserve"> </m:t>
                </m:r>
              </m:oMath>
            </m:oMathPara>
          </w:p>
        </w:tc>
      </w:tr>
    </w:tbl>
    <w:p w14:paraId="4DAEBF19" w14:textId="784EEAFC" w:rsidR="005166E1" w:rsidRPr="009F1618" w:rsidRDefault="005166E1" w:rsidP="009F1618">
      <w:pPr>
        <w:tabs>
          <w:tab w:val="left" w:pos="5775"/>
        </w:tabs>
        <w:spacing w:after="0" w:line="240" w:lineRule="auto"/>
        <w:jc w:val="both"/>
        <w:rPr>
          <w:rFonts w:ascii="Calibri" w:hAnsi="Calibri" w:cs="Calibri"/>
          <w:i/>
          <w:iCs/>
          <w:sz w:val="22"/>
          <w:szCs w:val="22"/>
        </w:rPr>
      </w:pPr>
      <w:r w:rsidRPr="009F1618">
        <w:rPr>
          <w:rFonts w:ascii="Calibri" w:hAnsi="Calibri" w:cs="Calibri"/>
          <w:i/>
          <w:iCs/>
          <w:sz w:val="22"/>
          <w:szCs w:val="22"/>
        </w:rPr>
        <w:t xml:space="preserve">Note: The figures in the parentheses are critical values for </w:t>
      </w:r>
      <m:oMath>
        <m:sSub>
          <m:sSubPr>
            <m:ctrlPr>
              <w:rPr>
                <w:rFonts w:ascii="Cambria Math" w:hAnsi="Cambria Math" w:cs="Calibri"/>
                <w:i/>
                <w:iCs/>
                <w:sz w:val="22"/>
                <w:szCs w:val="22"/>
              </w:rPr>
            </m:ctrlPr>
          </m:sSubPr>
          <m:e>
            <m:r>
              <w:rPr>
                <w:rFonts w:ascii="Cambria Math" w:hAnsi="Cambria Math" w:cs="Calibri"/>
                <w:sz w:val="22"/>
                <w:szCs w:val="22"/>
              </w:rPr>
              <m:t>λ</m:t>
            </m:r>
          </m:e>
          <m:sub>
            <m:r>
              <w:rPr>
                <w:rFonts w:ascii="Cambria Math" w:hAnsi="Cambria Math" w:cs="Calibri"/>
                <w:sz w:val="22"/>
                <w:szCs w:val="22"/>
              </w:rPr>
              <m:t>max</m:t>
            </m:r>
          </m:sub>
        </m:sSub>
      </m:oMath>
      <w:r w:rsidRPr="009F1618">
        <w:rPr>
          <w:rFonts w:ascii="Calibri" w:hAnsi="Calibri" w:cs="Calibri"/>
          <w:i/>
          <w:iCs/>
          <w:sz w:val="22"/>
          <w:szCs w:val="22"/>
        </w:rPr>
        <w:t xml:space="preserve"> and </w:t>
      </w:r>
      <m:oMath>
        <m:sSub>
          <m:sSubPr>
            <m:ctrlPr>
              <w:rPr>
                <w:rFonts w:ascii="Cambria Math" w:hAnsi="Cambria Math" w:cs="Calibri"/>
                <w:i/>
                <w:iCs/>
                <w:sz w:val="22"/>
                <w:szCs w:val="22"/>
              </w:rPr>
            </m:ctrlPr>
          </m:sSubPr>
          <m:e>
            <m:r>
              <w:rPr>
                <w:rFonts w:ascii="Cambria Math" w:hAnsi="Cambria Math" w:cs="Calibri"/>
                <w:sz w:val="22"/>
                <w:szCs w:val="22"/>
              </w:rPr>
              <m:t>λ</m:t>
            </m:r>
          </m:e>
          <m:sub>
            <m:r>
              <w:rPr>
                <w:rFonts w:ascii="Cambria Math" w:hAnsi="Cambria Math" w:cs="Calibri"/>
                <w:sz w:val="22"/>
                <w:szCs w:val="22"/>
              </w:rPr>
              <m:t>trace</m:t>
            </m:r>
          </m:sub>
        </m:sSub>
      </m:oMath>
      <w:r w:rsidRPr="009F1618">
        <w:rPr>
          <w:rFonts w:ascii="Calibri" w:hAnsi="Calibri" w:cs="Calibri"/>
          <w:i/>
          <w:iCs/>
          <w:sz w:val="22"/>
          <w:szCs w:val="22"/>
        </w:rPr>
        <w:t xml:space="preserve"> statistics at the </w:t>
      </w:r>
      <w:r w:rsidR="00061E20" w:rsidRPr="009F1618">
        <w:rPr>
          <w:rFonts w:ascii="Calibri" w:hAnsi="Calibri" w:cs="Calibri"/>
          <w:i/>
          <w:iCs/>
          <w:sz w:val="22"/>
          <w:szCs w:val="22"/>
        </w:rPr>
        <w:t>1</w:t>
      </w:r>
      <w:r w:rsidRPr="009F1618">
        <w:rPr>
          <w:rFonts w:ascii="Calibri" w:hAnsi="Calibri" w:cs="Calibri"/>
          <w:i/>
          <w:iCs/>
          <w:sz w:val="22"/>
          <w:szCs w:val="22"/>
        </w:rPr>
        <w:t xml:space="preserve"> per cent significance level.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3"/>
        <w:gridCol w:w="1502"/>
        <w:gridCol w:w="1501"/>
        <w:gridCol w:w="1502"/>
        <w:gridCol w:w="1516"/>
      </w:tblGrid>
      <w:tr w:rsidR="002A6E9F" w:rsidRPr="009F1618" w14:paraId="4C2EA28B" w14:textId="77777777" w:rsidTr="00DE2164">
        <w:trPr>
          <w:cantSplit/>
        </w:trPr>
        <w:tc>
          <w:tcPr>
            <w:tcW w:w="9026" w:type="dxa"/>
            <w:gridSpan w:val="6"/>
            <w:tcBorders>
              <w:bottom w:val="double" w:sz="4" w:space="0" w:color="auto"/>
            </w:tcBorders>
            <w:vAlign w:val="center"/>
          </w:tcPr>
          <w:p w14:paraId="625297BB" w14:textId="77777777" w:rsidR="00B02A0E" w:rsidRDefault="00B02A0E" w:rsidP="009F1618">
            <w:pPr>
              <w:tabs>
                <w:tab w:val="center" w:pos="1019"/>
              </w:tabs>
              <w:jc w:val="both"/>
              <w:rPr>
                <w:rFonts w:ascii="Calibri" w:eastAsiaTheme="minorEastAsia" w:hAnsi="Calibri" w:cs="Calibri"/>
                <w:b/>
                <w:bCs/>
                <w:sz w:val="22"/>
                <w:szCs w:val="22"/>
              </w:rPr>
            </w:pPr>
          </w:p>
          <w:p w14:paraId="7F68C408" w14:textId="53081A19" w:rsidR="00145B23" w:rsidRPr="009F1618" w:rsidRDefault="00145B23" w:rsidP="009F1618">
            <w:pPr>
              <w:tabs>
                <w:tab w:val="center" w:pos="1019"/>
              </w:tabs>
              <w:jc w:val="both"/>
              <w:rPr>
                <w:rFonts w:ascii="Calibri" w:eastAsiaTheme="minorEastAsia" w:hAnsi="Calibri" w:cs="Calibri"/>
                <w:sz w:val="22"/>
                <w:szCs w:val="22"/>
              </w:rPr>
            </w:pPr>
            <w:r w:rsidRPr="009F1618">
              <w:rPr>
                <w:rFonts w:ascii="Calibri" w:eastAsiaTheme="minorEastAsia" w:hAnsi="Calibri" w:cs="Calibri"/>
                <w:b/>
                <w:bCs/>
                <w:sz w:val="22"/>
                <w:szCs w:val="22"/>
              </w:rPr>
              <w:t xml:space="preserve">Table </w:t>
            </w:r>
            <w:r w:rsidR="00036204" w:rsidRPr="009F1618">
              <w:rPr>
                <w:rFonts w:ascii="Calibri" w:eastAsiaTheme="minorEastAsia" w:hAnsi="Calibri" w:cs="Calibri"/>
                <w:b/>
                <w:bCs/>
                <w:sz w:val="22"/>
                <w:szCs w:val="22"/>
              </w:rPr>
              <w:t>4</w:t>
            </w:r>
            <w:r w:rsidR="005F43D6">
              <w:rPr>
                <w:rFonts w:ascii="Calibri" w:eastAsiaTheme="minorEastAsia" w:hAnsi="Calibri" w:cs="Calibri"/>
                <w:b/>
                <w:bCs/>
                <w:sz w:val="22"/>
                <w:szCs w:val="22"/>
              </w:rPr>
              <w:t>.</w:t>
            </w:r>
            <w:r w:rsidR="00036204" w:rsidRPr="009F1618">
              <w:rPr>
                <w:rFonts w:ascii="Calibri" w:eastAsiaTheme="minorEastAsia" w:hAnsi="Calibri" w:cs="Calibri"/>
                <w:sz w:val="22"/>
                <w:szCs w:val="22"/>
              </w:rPr>
              <w:t xml:space="preserve"> </w:t>
            </w:r>
            <w:r w:rsidRPr="009F1618">
              <w:rPr>
                <w:rFonts w:ascii="Calibri" w:eastAsiaTheme="minorEastAsia" w:hAnsi="Calibri" w:cs="Calibri"/>
                <w:sz w:val="22"/>
                <w:szCs w:val="22"/>
              </w:rPr>
              <w:t xml:space="preserve">Estimated long-run parameters, </w:t>
            </w:r>
            <m:oMath>
              <m:r>
                <w:rPr>
                  <w:rFonts w:ascii="Cambria Math" w:eastAsiaTheme="minorEastAsia" w:hAnsi="Cambria Math" w:cs="Calibri"/>
                  <w:sz w:val="22"/>
                  <w:szCs w:val="22"/>
                </w:rPr>
                <m:t>α</m:t>
              </m:r>
            </m:oMath>
            <w:r w:rsidRPr="009F1618">
              <w:rPr>
                <w:rFonts w:ascii="Calibri" w:eastAsiaTheme="minorEastAsia" w:hAnsi="Calibri" w:cs="Calibri"/>
                <w:sz w:val="22"/>
                <w:szCs w:val="22"/>
              </w:rPr>
              <w:t xml:space="preserve">s and </w:t>
            </w:r>
            <m:oMath>
              <m:r>
                <w:rPr>
                  <w:rFonts w:ascii="Cambria Math" w:eastAsiaTheme="minorEastAsia" w:hAnsi="Cambria Math" w:cs="Calibri"/>
                  <w:sz w:val="22"/>
                  <w:szCs w:val="22"/>
                </w:rPr>
                <m:t>β</m:t>
              </m:r>
            </m:oMath>
            <w:r w:rsidRPr="009F1618">
              <w:rPr>
                <w:rFonts w:ascii="Calibri" w:eastAsiaTheme="minorEastAsia" w:hAnsi="Calibri" w:cs="Calibri"/>
                <w:sz w:val="22"/>
                <w:szCs w:val="22"/>
              </w:rPr>
              <w:t>s</w:t>
            </w:r>
          </w:p>
          <w:p w14:paraId="05814B33" w14:textId="394AC50B" w:rsidR="00145B23" w:rsidRPr="009F1618" w:rsidRDefault="00145B23" w:rsidP="009F1618">
            <w:pPr>
              <w:tabs>
                <w:tab w:val="center" w:pos="1019"/>
              </w:tabs>
              <w:jc w:val="both"/>
              <w:rPr>
                <w:rFonts w:ascii="Calibri" w:eastAsiaTheme="minorEastAsia" w:hAnsi="Calibri" w:cs="Calibri"/>
                <w:sz w:val="22"/>
                <w:szCs w:val="22"/>
              </w:rPr>
            </w:pPr>
          </w:p>
        </w:tc>
      </w:tr>
      <w:tr w:rsidR="002A6E9F" w:rsidRPr="009F1618" w14:paraId="034B527A" w14:textId="77777777" w:rsidTr="00DE2164">
        <w:trPr>
          <w:cantSplit/>
        </w:trPr>
        <w:tc>
          <w:tcPr>
            <w:tcW w:w="9026" w:type="dxa"/>
            <w:gridSpan w:val="6"/>
            <w:tcBorders>
              <w:top w:val="double" w:sz="4" w:space="0" w:color="auto"/>
              <w:bottom w:val="single" w:sz="4" w:space="0" w:color="auto"/>
            </w:tcBorders>
            <w:vAlign w:val="center"/>
          </w:tcPr>
          <w:p w14:paraId="58B3C2F7" w14:textId="77777777" w:rsidR="00671447" w:rsidRPr="009F1618" w:rsidRDefault="00671447" w:rsidP="009F1618">
            <w:pPr>
              <w:tabs>
                <w:tab w:val="center" w:pos="1019"/>
              </w:tabs>
              <w:jc w:val="both"/>
              <w:rPr>
                <w:rFonts w:ascii="Calibri" w:eastAsiaTheme="minorEastAsia" w:hAnsi="Calibri" w:cs="Calibri"/>
                <w:sz w:val="22"/>
                <w:szCs w:val="22"/>
              </w:rPr>
            </w:pPr>
            <w:r w:rsidRPr="009F1618">
              <w:rPr>
                <w:rFonts w:ascii="Calibri" w:eastAsiaTheme="minorEastAsia" w:hAnsi="Calibri" w:cs="Calibri"/>
                <w:sz w:val="22"/>
                <w:szCs w:val="22"/>
              </w:rPr>
              <w:t>Butter</w:t>
            </w:r>
          </w:p>
        </w:tc>
      </w:tr>
      <w:tr w:rsidR="008073C2" w:rsidRPr="009F1618" w14:paraId="10291219" w14:textId="77777777" w:rsidTr="00DE2164">
        <w:trPr>
          <w:cantSplit/>
        </w:trPr>
        <w:tc>
          <w:tcPr>
            <w:tcW w:w="1502" w:type="dxa"/>
            <w:tcBorders>
              <w:top w:val="single" w:sz="4" w:space="0" w:color="auto"/>
              <w:bottom w:val="single" w:sz="4" w:space="0" w:color="auto"/>
            </w:tcBorders>
            <w:vAlign w:val="center"/>
          </w:tcPr>
          <w:p w14:paraId="7BA7D680" w14:textId="77777777" w:rsidR="00671447" w:rsidRPr="009F1618" w:rsidRDefault="00671447" w:rsidP="009F1618">
            <w:pPr>
              <w:jc w:val="both"/>
              <w:rPr>
                <w:rFonts w:ascii="Calibri" w:eastAsiaTheme="minorEastAsia" w:hAnsi="Calibri" w:cs="Calibri"/>
                <w:sz w:val="22"/>
                <w:szCs w:val="22"/>
              </w:rPr>
            </w:pPr>
          </w:p>
        </w:tc>
        <w:tc>
          <w:tcPr>
            <w:tcW w:w="1503" w:type="dxa"/>
            <w:tcBorders>
              <w:top w:val="single" w:sz="4" w:space="0" w:color="auto"/>
              <w:bottom w:val="single" w:sz="4" w:space="0" w:color="auto"/>
            </w:tcBorders>
            <w:vAlign w:val="center"/>
          </w:tcPr>
          <w:p w14:paraId="70DCF7F1" w14:textId="2837ECA6" w:rsidR="00671447"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NZ</w:t>
            </w:r>
          </w:p>
        </w:tc>
        <w:tc>
          <w:tcPr>
            <w:tcW w:w="1502" w:type="dxa"/>
            <w:tcBorders>
              <w:top w:val="single" w:sz="4" w:space="0" w:color="auto"/>
              <w:bottom w:val="single" w:sz="4" w:space="0" w:color="auto"/>
            </w:tcBorders>
            <w:vAlign w:val="center"/>
          </w:tcPr>
          <w:p w14:paraId="6820CAAA" w14:textId="047E5D45" w:rsidR="00671447"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AU</w:t>
            </w:r>
          </w:p>
        </w:tc>
        <w:tc>
          <w:tcPr>
            <w:tcW w:w="1501" w:type="dxa"/>
            <w:tcBorders>
              <w:top w:val="single" w:sz="4" w:space="0" w:color="auto"/>
              <w:bottom w:val="single" w:sz="4" w:space="0" w:color="auto"/>
            </w:tcBorders>
            <w:vAlign w:val="center"/>
          </w:tcPr>
          <w:p w14:paraId="4D0BCE2C" w14:textId="7ECCE60C" w:rsidR="00671447"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EU</w:t>
            </w:r>
          </w:p>
        </w:tc>
        <w:tc>
          <w:tcPr>
            <w:tcW w:w="1502" w:type="dxa"/>
            <w:tcBorders>
              <w:top w:val="single" w:sz="4" w:space="0" w:color="auto"/>
              <w:bottom w:val="single" w:sz="4" w:space="0" w:color="auto"/>
            </w:tcBorders>
            <w:vAlign w:val="center"/>
          </w:tcPr>
          <w:p w14:paraId="58F155D5" w14:textId="77777777" w:rsidR="00671447" w:rsidRPr="009F1618" w:rsidRDefault="00671447" w:rsidP="009F1618">
            <w:pPr>
              <w:tabs>
                <w:tab w:val="center" w:pos="1019"/>
              </w:tabs>
              <w:jc w:val="both"/>
              <w:rPr>
                <w:rFonts w:ascii="Calibri" w:eastAsiaTheme="minorEastAsia" w:hAnsi="Calibri" w:cs="Calibri"/>
                <w:sz w:val="22"/>
                <w:szCs w:val="22"/>
              </w:rPr>
            </w:pPr>
            <w:r w:rsidRPr="009F1618">
              <w:rPr>
                <w:rFonts w:ascii="Calibri" w:eastAsiaTheme="minorEastAsia" w:hAnsi="Calibri" w:cs="Calibri"/>
                <w:sz w:val="22"/>
                <w:szCs w:val="22"/>
              </w:rPr>
              <w:t>US</w:t>
            </w:r>
          </w:p>
        </w:tc>
        <w:tc>
          <w:tcPr>
            <w:tcW w:w="1516" w:type="dxa"/>
            <w:tcBorders>
              <w:top w:val="single" w:sz="4" w:space="0" w:color="auto"/>
              <w:bottom w:val="single" w:sz="4" w:space="0" w:color="auto"/>
            </w:tcBorders>
            <w:vAlign w:val="center"/>
          </w:tcPr>
          <w:p w14:paraId="3D76C324" w14:textId="77777777" w:rsidR="00671447" w:rsidRPr="009F1618" w:rsidRDefault="00671447" w:rsidP="009F1618">
            <w:pPr>
              <w:tabs>
                <w:tab w:val="center" w:pos="1019"/>
              </w:tabs>
              <w:jc w:val="both"/>
              <w:rPr>
                <w:rFonts w:ascii="Calibri" w:eastAsiaTheme="minorEastAsia" w:hAnsi="Calibri" w:cs="Calibri"/>
                <w:sz w:val="22"/>
                <w:szCs w:val="22"/>
              </w:rPr>
            </w:pPr>
            <w:r w:rsidRPr="009F1618">
              <w:rPr>
                <w:rFonts w:ascii="Calibri" w:eastAsiaTheme="minorEastAsia" w:hAnsi="Calibri" w:cs="Calibri"/>
                <w:sz w:val="22"/>
                <w:szCs w:val="22"/>
              </w:rPr>
              <w:t>Constant</w:t>
            </w:r>
          </w:p>
        </w:tc>
      </w:tr>
      <w:tr w:rsidR="008073C2" w:rsidRPr="009F1618" w14:paraId="65608BEF" w14:textId="77777777" w:rsidTr="00DE2164">
        <w:trPr>
          <w:cantSplit/>
        </w:trPr>
        <w:tc>
          <w:tcPr>
            <w:tcW w:w="1502" w:type="dxa"/>
            <w:tcBorders>
              <w:top w:val="single" w:sz="4" w:space="0" w:color="auto"/>
              <w:bottom w:val="single" w:sz="4" w:space="0" w:color="auto"/>
            </w:tcBorders>
            <w:vAlign w:val="center"/>
          </w:tcPr>
          <w:p w14:paraId="12A810A4" w14:textId="74440B99" w:rsidR="00671447" w:rsidRPr="009F1618" w:rsidRDefault="00671447" w:rsidP="009F1618">
            <w:pPr>
              <w:jc w:val="both"/>
              <w:rPr>
                <w:rFonts w:ascii="Calibri" w:eastAsiaTheme="minorEastAsia" w:hAnsi="Calibri" w:cs="Calibri"/>
                <w:sz w:val="22"/>
                <w:szCs w:val="22"/>
              </w:rPr>
            </w:pPr>
            <w:r w:rsidRPr="009F1618">
              <w:rPr>
                <w:rFonts w:ascii="Calibri" w:eastAsiaTheme="minorEastAsia" w:hAnsi="Calibri" w:cs="Calibri"/>
                <w:sz w:val="22"/>
                <w:szCs w:val="22"/>
              </w:rPr>
              <w:t xml:space="preserve">Estimated </w:t>
            </w:r>
            <m:oMath>
              <m:r>
                <w:rPr>
                  <w:rFonts w:ascii="Cambria Math" w:eastAsiaTheme="minorEastAsia" w:hAnsi="Cambria Math" w:cs="Calibri"/>
                  <w:sz w:val="22"/>
                  <w:szCs w:val="22"/>
                </w:rPr>
                <m:t>β</m:t>
              </m:r>
            </m:oMath>
            <w:r w:rsidRPr="009F1618">
              <w:rPr>
                <w:rFonts w:ascii="Calibri" w:eastAsiaTheme="minorEastAsia" w:hAnsi="Calibri" w:cs="Calibri"/>
                <w:sz w:val="22"/>
                <w:szCs w:val="22"/>
              </w:rPr>
              <w:t>s</w:t>
            </w:r>
          </w:p>
        </w:tc>
        <w:tc>
          <w:tcPr>
            <w:tcW w:w="1503" w:type="dxa"/>
            <w:tcBorders>
              <w:top w:val="single" w:sz="4" w:space="0" w:color="auto"/>
              <w:bottom w:val="single" w:sz="4" w:space="0" w:color="auto"/>
            </w:tcBorders>
            <w:vAlign w:val="center"/>
          </w:tcPr>
          <w:p w14:paraId="549328F6" w14:textId="03C15180"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1.00</m:t>
                </m:r>
              </m:oMath>
            </m:oMathPara>
          </w:p>
          <w:p w14:paraId="2C9746DA" w14:textId="49EB33B4"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2" w:type="dxa"/>
            <w:tcBorders>
              <w:top w:val="single" w:sz="4" w:space="0" w:color="auto"/>
              <w:bottom w:val="single" w:sz="4" w:space="0" w:color="auto"/>
            </w:tcBorders>
            <w:vAlign w:val="center"/>
          </w:tcPr>
          <w:p w14:paraId="4285D8BC" w14:textId="15A24D3A"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-0.80</m:t>
                </m:r>
              </m:oMath>
            </m:oMathPara>
          </w:p>
          <w:p w14:paraId="23D87F56" w14:textId="18EDCDCC"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1" w:type="dxa"/>
            <w:tcBorders>
              <w:top w:val="single" w:sz="4" w:space="0" w:color="auto"/>
              <w:bottom w:val="single" w:sz="4" w:space="0" w:color="auto"/>
            </w:tcBorders>
            <w:vAlign w:val="center"/>
          </w:tcPr>
          <w:p w14:paraId="4399D451" w14:textId="63A73744"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-0.47</m:t>
                </m:r>
              </m:oMath>
            </m:oMathPara>
          </w:p>
          <w:p w14:paraId="7F730B9A" w14:textId="5F7856DA"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2" w:type="dxa"/>
            <w:tcBorders>
              <w:top w:val="single" w:sz="4" w:space="0" w:color="auto"/>
              <w:bottom w:val="single" w:sz="4" w:space="0" w:color="auto"/>
            </w:tcBorders>
            <w:vAlign w:val="center"/>
          </w:tcPr>
          <w:p w14:paraId="7B910D86" w14:textId="1DC6BEC9"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0.14</m:t>
                </m:r>
              </m:oMath>
            </m:oMathPara>
          </w:p>
          <w:p w14:paraId="06C0D42E" w14:textId="44EC0C5D"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16" w:type="dxa"/>
            <w:tcBorders>
              <w:top w:val="single" w:sz="4" w:space="0" w:color="auto"/>
              <w:bottom w:val="single" w:sz="4" w:space="0" w:color="auto"/>
            </w:tcBorders>
            <w:vAlign w:val="center"/>
          </w:tcPr>
          <w:p w14:paraId="2E989DFD" w14:textId="330B87B9"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1.23</m:t>
                </m:r>
              </m:oMath>
            </m:oMathPara>
          </w:p>
          <w:p w14:paraId="2FF1AC02" w14:textId="54DBCA4E"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r>
      <w:tr w:rsidR="008073C2" w:rsidRPr="009F1618" w14:paraId="78110161" w14:textId="77777777" w:rsidTr="00DE2164">
        <w:trPr>
          <w:cantSplit/>
        </w:trPr>
        <w:tc>
          <w:tcPr>
            <w:tcW w:w="1502" w:type="dxa"/>
            <w:tcBorders>
              <w:top w:val="single" w:sz="4" w:space="0" w:color="auto"/>
              <w:bottom w:val="single" w:sz="4" w:space="0" w:color="auto"/>
            </w:tcBorders>
            <w:vAlign w:val="center"/>
          </w:tcPr>
          <w:p w14:paraId="43E54D67" w14:textId="334CBF17" w:rsidR="00671447" w:rsidRPr="009F1618" w:rsidRDefault="00671447" w:rsidP="009F1618">
            <w:pPr>
              <w:jc w:val="both"/>
              <w:rPr>
                <w:rFonts w:ascii="Calibri" w:eastAsiaTheme="minorEastAsia" w:hAnsi="Calibri" w:cs="Calibri"/>
                <w:sz w:val="22"/>
                <w:szCs w:val="22"/>
              </w:rPr>
            </w:pPr>
            <w:r w:rsidRPr="009F1618">
              <w:rPr>
                <w:rFonts w:ascii="Calibri" w:eastAsiaTheme="minorEastAsia" w:hAnsi="Calibri" w:cs="Calibri"/>
                <w:sz w:val="22"/>
                <w:szCs w:val="22"/>
              </w:rPr>
              <w:t xml:space="preserve">Estimated </w:t>
            </w:r>
            <m:oMath>
              <m:r>
                <w:rPr>
                  <w:rFonts w:ascii="Cambria Math" w:eastAsiaTheme="minorEastAsia" w:hAnsi="Cambria Math" w:cs="Calibri"/>
                  <w:sz w:val="22"/>
                  <w:szCs w:val="22"/>
                </w:rPr>
                <m:t>α</m:t>
              </m:r>
            </m:oMath>
            <w:r w:rsidRPr="009F1618">
              <w:rPr>
                <w:rFonts w:ascii="Calibri" w:eastAsiaTheme="minorEastAsia" w:hAnsi="Calibri" w:cs="Calibri"/>
                <w:sz w:val="22"/>
                <w:szCs w:val="22"/>
              </w:rPr>
              <w:t>s</w:t>
            </w:r>
          </w:p>
        </w:tc>
        <w:tc>
          <w:tcPr>
            <w:tcW w:w="1503" w:type="dxa"/>
            <w:tcBorders>
              <w:top w:val="single" w:sz="4" w:space="0" w:color="auto"/>
              <w:bottom w:val="single" w:sz="4" w:space="0" w:color="auto"/>
            </w:tcBorders>
            <w:vAlign w:val="center"/>
          </w:tcPr>
          <w:p w14:paraId="4ED752BE" w14:textId="4C171DE5"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0.10</m:t>
                    </m:r>
                  </m:e>
                  <m:sup>
                    <m:r>
                      <w:rPr>
                        <w:rFonts w:ascii="Cambria Math" w:eastAsiaTheme="minorEastAsia" w:hAnsi="Cambria Math" w:cs="Calibri"/>
                        <w:sz w:val="22"/>
                        <w:szCs w:val="22"/>
                      </w:rPr>
                      <m:t>**</m:t>
                    </m:r>
                  </m:sup>
                </m:sSup>
              </m:oMath>
            </m:oMathPara>
          </w:p>
          <w:p w14:paraId="358E1333" w14:textId="6FD90947"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(-2.48)</m:t>
                </m:r>
              </m:oMath>
            </m:oMathPara>
          </w:p>
        </w:tc>
        <w:tc>
          <w:tcPr>
            <w:tcW w:w="1502" w:type="dxa"/>
            <w:tcBorders>
              <w:top w:val="single" w:sz="4" w:space="0" w:color="auto"/>
              <w:bottom w:val="single" w:sz="4" w:space="0" w:color="auto"/>
            </w:tcBorders>
            <w:vAlign w:val="center"/>
          </w:tcPr>
          <w:p w14:paraId="26834CA4" w14:textId="7445E8B1"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0.27</m:t>
                    </m:r>
                  </m:e>
                  <m:sup>
                    <m:r>
                      <w:rPr>
                        <w:rFonts w:ascii="Cambria Math" w:eastAsiaTheme="minorEastAsia" w:hAnsi="Cambria Math" w:cs="Calibri"/>
                        <w:sz w:val="22"/>
                        <w:szCs w:val="22"/>
                      </w:rPr>
                      <m:t>***</m:t>
                    </m:r>
                  </m:sup>
                </m:sSup>
              </m:oMath>
            </m:oMathPara>
          </w:p>
          <w:p w14:paraId="16200380" w14:textId="38FCD0E7"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(-3.88)</m:t>
                </m:r>
              </m:oMath>
            </m:oMathPara>
          </w:p>
        </w:tc>
        <w:tc>
          <w:tcPr>
            <w:tcW w:w="1501" w:type="dxa"/>
            <w:tcBorders>
              <w:top w:val="single" w:sz="4" w:space="0" w:color="auto"/>
              <w:bottom w:val="single" w:sz="4" w:space="0" w:color="auto"/>
            </w:tcBorders>
            <w:vAlign w:val="center"/>
          </w:tcPr>
          <w:p w14:paraId="653309C2" w14:textId="55E6F878" w:rsidR="00671447" w:rsidRPr="009F1618" w:rsidRDefault="00E1356D" w:rsidP="009F1618">
            <w:pPr>
              <w:jc w:val="both"/>
              <w:rPr>
                <w:rFonts w:ascii="Cambria Math" w:eastAsiaTheme="minorEastAsia" w:hAnsi="Cambria Math" w:cs="Calibri"/>
                <w:sz w:val="22"/>
                <w:szCs w:val="22"/>
                <w:oMath/>
              </w:rPr>
            </w:pPr>
            <m:oMathPara>
              <m:oMath>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0.18</m:t>
                    </m:r>
                  </m:e>
                  <m:sup>
                    <m:r>
                      <w:rPr>
                        <w:rFonts w:ascii="Cambria Math" w:eastAsiaTheme="minorEastAsia" w:hAnsi="Cambria Math" w:cs="Calibri"/>
                        <w:sz w:val="22"/>
                        <w:szCs w:val="22"/>
                      </w:rPr>
                      <m:t>***</m:t>
                    </m:r>
                  </m:sup>
                </m:sSup>
              </m:oMath>
            </m:oMathPara>
          </w:p>
          <w:p w14:paraId="720A4385" w14:textId="0C957C81"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(3.30)</m:t>
                </m:r>
              </m:oMath>
            </m:oMathPara>
          </w:p>
        </w:tc>
        <w:tc>
          <w:tcPr>
            <w:tcW w:w="1502" w:type="dxa"/>
            <w:tcBorders>
              <w:top w:val="single" w:sz="4" w:space="0" w:color="auto"/>
              <w:bottom w:val="single" w:sz="4" w:space="0" w:color="auto"/>
            </w:tcBorders>
            <w:vAlign w:val="center"/>
          </w:tcPr>
          <w:p w14:paraId="0ECD42AD" w14:textId="5DD60906" w:rsidR="00671447" w:rsidRPr="009F1618" w:rsidRDefault="00E1356D" w:rsidP="009F1618">
            <w:pPr>
              <w:jc w:val="both"/>
              <w:rPr>
                <w:rFonts w:ascii="Cambria Math" w:eastAsiaTheme="minorEastAsia" w:hAnsi="Cambria Math" w:cs="Calibri"/>
                <w:sz w:val="22"/>
                <w:szCs w:val="22"/>
                <w:oMath/>
              </w:rPr>
            </w:pPr>
            <m:oMathPara>
              <m:oMath>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0.13</m:t>
                    </m:r>
                  </m:e>
                  <m:sup>
                    <m:r>
                      <w:rPr>
                        <w:rFonts w:ascii="Cambria Math" w:eastAsiaTheme="minorEastAsia" w:hAnsi="Cambria Math" w:cs="Calibri"/>
                        <w:sz w:val="22"/>
                        <w:szCs w:val="22"/>
                      </w:rPr>
                      <m:t>*</m:t>
                    </m:r>
                  </m:sup>
                </m:sSup>
              </m:oMath>
            </m:oMathPara>
          </w:p>
          <w:p w14:paraId="738395FA" w14:textId="772512CD" w:rsidR="00671447" w:rsidRPr="009F1618" w:rsidRDefault="00EB1FBC"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(-1.81)</m:t>
                </m:r>
              </m:oMath>
            </m:oMathPara>
          </w:p>
        </w:tc>
        <w:tc>
          <w:tcPr>
            <w:tcW w:w="1516" w:type="dxa"/>
            <w:tcBorders>
              <w:top w:val="single" w:sz="4" w:space="0" w:color="auto"/>
              <w:bottom w:val="single" w:sz="4" w:space="0" w:color="auto"/>
            </w:tcBorders>
            <w:vAlign w:val="center"/>
          </w:tcPr>
          <w:p w14:paraId="1A1D7B54" w14:textId="77777777" w:rsidR="00671447" w:rsidRPr="009F1618" w:rsidRDefault="00671447" w:rsidP="009F1618">
            <w:pPr>
              <w:jc w:val="both"/>
              <w:rPr>
                <w:rFonts w:ascii="Calibri" w:eastAsiaTheme="minorEastAsia" w:hAnsi="Calibri" w:cs="Calibri"/>
                <w:sz w:val="22"/>
                <w:szCs w:val="22"/>
              </w:rPr>
            </w:pPr>
          </w:p>
        </w:tc>
      </w:tr>
      <w:tr w:rsidR="002A6E9F" w:rsidRPr="009F1618" w14:paraId="1D4BE636" w14:textId="77777777" w:rsidTr="00DE2164">
        <w:trPr>
          <w:cantSplit/>
        </w:trPr>
        <w:tc>
          <w:tcPr>
            <w:tcW w:w="9026" w:type="dxa"/>
            <w:gridSpan w:val="6"/>
            <w:tcBorders>
              <w:top w:val="single" w:sz="4" w:space="0" w:color="auto"/>
              <w:bottom w:val="single" w:sz="4" w:space="0" w:color="auto"/>
            </w:tcBorders>
            <w:vAlign w:val="center"/>
          </w:tcPr>
          <w:p w14:paraId="3F6EEB76" w14:textId="77777777" w:rsidR="00671447" w:rsidRPr="009F1618" w:rsidRDefault="00671447" w:rsidP="009F1618">
            <w:pPr>
              <w:jc w:val="both"/>
              <w:rPr>
                <w:rFonts w:ascii="Calibri" w:eastAsiaTheme="minorEastAsia" w:hAnsi="Calibri" w:cs="Calibri"/>
                <w:sz w:val="22"/>
                <w:szCs w:val="22"/>
              </w:rPr>
            </w:pPr>
            <w:r w:rsidRPr="009F1618">
              <w:rPr>
                <w:rFonts w:ascii="Calibri" w:eastAsiaTheme="minorEastAsia" w:hAnsi="Calibri" w:cs="Calibri"/>
                <w:sz w:val="22"/>
                <w:szCs w:val="22"/>
              </w:rPr>
              <w:t>Cheese</w:t>
            </w:r>
          </w:p>
        </w:tc>
      </w:tr>
      <w:tr w:rsidR="00884EAB" w:rsidRPr="009F1618" w14:paraId="27F187CB" w14:textId="77777777" w:rsidTr="00DE2164">
        <w:trPr>
          <w:cantSplit/>
        </w:trPr>
        <w:tc>
          <w:tcPr>
            <w:tcW w:w="1502" w:type="dxa"/>
            <w:tcBorders>
              <w:top w:val="single" w:sz="4" w:space="0" w:color="auto"/>
              <w:bottom w:val="single" w:sz="4" w:space="0" w:color="auto"/>
            </w:tcBorders>
            <w:vAlign w:val="center"/>
          </w:tcPr>
          <w:p w14:paraId="03CB5F04" w14:textId="77777777" w:rsidR="00884EAB" w:rsidRPr="009F1618" w:rsidRDefault="00884EAB" w:rsidP="009F1618">
            <w:pPr>
              <w:jc w:val="both"/>
              <w:rPr>
                <w:rFonts w:ascii="Calibri" w:eastAsiaTheme="minorEastAsia" w:hAnsi="Calibri" w:cs="Calibri"/>
                <w:sz w:val="22"/>
                <w:szCs w:val="22"/>
              </w:rPr>
            </w:pPr>
          </w:p>
        </w:tc>
        <w:tc>
          <w:tcPr>
            <w:tcW w:w="1503" w:type="dxa"/>
            <w:tcBorders>
              <w:top w:val="single" w:sz="4" w:space="0" w:color="auto"/>
              <w:bottom w:val="single" w:sz="4" w:space="0" w:color="auto"/>
            </w:tcBorders>
            <w:vAlign w:val="center"/>
          </w:tcPr>
          <w:p w14:paraId="2C08D52D" w14:textId="644F4AB1"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NZ</w:t>
            </w:r>
          </w:p>
        </w:tc>
        <w:tc>
          <w:tcPr>
            <w:tcW w:w="1502" w:type="dxa"/>
            <w:tcBorders>
              <w:top w:val="single" w:sz="4" w:space="0" w:color="auto"/>
              <w:bottom w:val="single" w:sz="4" w:space="0" w:color="auto"/>
            </w:tcBorders>
            <w:vAlign w:val="center"/>
          </w:tcPr>
          <w:p w14:paraId="69E6E614" w14:textId="50F14AD5"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AU</w:t>
            </w:r>
          </w:p>
        </w:tc>
        <w:tc>
          <w:tcPr>
            <w:tcW w:w="1501" w:type="dxa"/>
            <w:tcBorders>
              <w:top w:val="single" w:sz="4" w:space="0" w:color="auto"/>
              <w:bottom w:val="single" w:sz="4" w:space="0" w:color="auto"/>
            </w:tcBorders>
            <w:vAlign w:val="center"/>
          </w:tcPr>
          <w:p w14:paraId="5A157916" w14:textId="53D0A1BF"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EU</w:t>
            </w:r>
          </w:p>
        </w:tc>
        <w:tc>
          <w:tcPr>
            <w:tcW w:w="1502" w:type="dxa"/>
            <w:tcBorders>
              <w:top w:val="single" w:sz="4" w:space="0" w:color="auto"/>
              <w:bottom w:val="single" w:sz="4" w:space="0" w:color="auto"/>
            </w:tcBorders>
            <w:vAlign w:val="center"/>
          </w:tcPr>
          <w:p w14:paraId="04D32972" w14:textId="77777777"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US</w:t>
            </w:r>
          </w:p>
        </w:tc>
        <w:tc>
          <w:tcPr>
            <w:tcW w:w="1516" w:type="dxa"/>
            <w:tcBorders>
              <w:top w:val="single" w:sz="4" w:space="0" w:color="auto"/>
              <w:bottom w:val="single" w:sz="4" w:space="0" w:color="auto"/>
            </w:tcBorders>
            <w:vAlign w:val="center"/>
          </w:tcPr>
          <w:p w14:paraId="33E9B5D5" w14:textId="77777777"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Constant</w:t>
            </w:r>
          </w:p>
        </w:tc>
      </w:tr>
      <w:tr w:rsidR="00884EAB" w:rsidRPr="009F1618" w14:paraId="49A3A7AA" w14:textId="77777777" w:rsidTr="00DE2164">
        <w:trPr>
          <w:cantSplit/>
        </w:trPr>
        <w:tc>
          <w:tcPr>
            <w:tcW w:w="1502" w:type="dxa"/>
            <w:tcBorders>
              <w:top w:val="single" w:sz="4" w:space="0" w:color="auto"/>
              <w:bottom w:val="single" w:sz="4" w:space="0" w:color="auto"/>
            </w:tcBorders>
            <w:vAlign w:val="center"/>
          </w:tcPr>
          <w:p w14:paraId="77F3414C" w14:textId="64C15469"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 xml:space="preserve">Estimated </w:t>
            </w:r>
            <m:oMath>
              <m:r>
                <w:rPr>
                  <w:rFonts w:ascii="Cambria Math" w:eastAsiaTheme="minorEastAsia" w:hAnsi="Cambria Math" w:cs="Calibri"/>
                  <w:sz w:val="22"/>
                  <w:szCs w:val="22"/>
                </w:rPr>
                <m:t>β</m:t>
              </m:r>
            </m:oMath>
            <w:r w:rsidRPr="009F1618">
              <w:rPr>
                <w:rFonts w:ascii="Calibri" w:eastAsiaTheme="minorEastAsia" w:hAnsi="Calibri" w:cs="Calibri"/>
                <w:sz w:val="22"/>
                <w:szCs w:val="22"/>
              </w:rPr>
              <w:t>s</w:t>
            </w:r>
          </w:p>
        </w:tc>
        <w:tc>
          <w:tcPr>
            <w:tcW w:w="1503" w:type="dxa"/>
            <w:tcBorders>
              <w:top w:val="single" w:sz="4" w:space="0" w:color="auto"/>
              <w:bottom w:val="single" w:sz="4" w:space="0" w:color="auto"/>
            </w:tcBorders>
            <w:vAlign w:val="center"/>
          </w:tcPr>
          <w:p w14:paraId="4A1CF68C" w14:textId="35B567E4"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1.00</m:t>
                </m:r>
              </m:oMath>
            </m:oMathPara>
          </w:p>
          <w:p w14:paraId="542B2F1A" w14:textId="679C412B"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2" w:type="dxa"/>
            <w:tcBorders>
              <w:top w:val="single" w:sz="4" w:space="0" w:color="auto"/>
              <w:bottom w:val="single" w:sz="4" w:space="0" w:color="auto"/>
            </w:tcBorders>
            <w:vAlign w:val="center"/>
          </w:tcPr>
          <w:p w14:paraId="17BAD4E9" w14:textId="05DA0A76"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-1.25</m:t>
                </m:r>
              </m:oMath>
            </m:oMathPara>
          </w:p>
          <w:p w14:paraId="7586A7A9" w14:textId="37213BB2"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1" w:type="dxa"/>
            <w:tcBorders>
              <w:top w:val="single" w:sz="4" w:space="0" w:color="auto"/>
              <w:bottom w:val="single" w:sz="4" w:space="0" w:color="auto"/>
            </w:tcBorders>
            <w:vAlign w:val="center"/>
          </w:tcPr>
          <w:p w14:paraId="49DB075D" w14:textId="7E4960E3"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-1.12</m:t>
                </m:r>
              </m:oMath>
            </m:oMathPara>
          </w:p>
          <w:p w14:paraId="72B6561F" w14:textId="71A8C07B"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2" w:type="dxa"/>
            <w:tcBorders>
              <w:top w:val="single" w:sz="4" w:space="0" w:color="auto"/>
              <w:bottom w:val="single" w:sz="4" w:space="0" w:color="auto"/>
            </w:tcBorders>
            <w:vAlign w:val="center"/>
          </w:tcPr>
          <w:p w14:paraId="5812CD36" w14:textId="6B3ACFD3"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0.29</m:t>
                </m:r>
              </m:oMath>
            </m:oMathPara>
          </w:p>
          <w:p w14:paraId="64576476" w14:textId="67120D6F"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16" w:type="dxa"/>
            <w:tcBorders>
              <w:top w:val="single" w:sz="4" w:space="0" w:color="auto"/>
              <w:bottom w:val="single" w:sz="4" w:space="0" w:color="auto"/>
            </w:tcBorders>
            <w:vAlign w:val="center"/>
          </w:tcPr>
          <w:p w14:paraId="07B5E687" w14:textId="4A43D12E"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0.80</m:t>
                </m:r>
              </m:oMath>
            </m:oMathPara>
          </w:p>
          <w:p w14:paraId="68596C7B" w14:textId="55E24615"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r>
      <w:tr w:rsidR="00884EAB" w:rsidRPr="009F1618" w14:paraId="39C1C684" w14:textId="77777777" w:rsidTr="00DE2164">
        <w:trPr>
          <w:cantSplit/>
        </w:trPr>
        <w:tc>
          <w:tcPr>
            <w:tcW w:w="1502" w:type="dxa"/>
            <w:tcBorders>
              <w:top w:val="single" w:sz="4" w:space="0" w:color="auto"/>
              <w:bottom w:val="single" w:sz="4" w:space="0" w:color="auto"/>
            </w:tcBorders>
            <w:vAlign w:val="center"/>
          </w:tcPr>
          <w:p w14:paraId="2663FDB3" w14:textId="0994BE70"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 xml:space="preserve">Estimated </w:t>
            </w:r>
            <m:oMath>
              <m:r>
                <w:rPr>
                  <w:rFonts w:ascii="Cambria Math" w:eastAsiaTheme="minorEastAsia" w:hAnsi="Cambria Math" w:cs="Calibri"/>
                  <w:sz w:val="22"/>
                  <w:szCs w:val="22"/>
                </w:rPr>
                <m:t>α</m:t>
              </m:r>
            </m:oMath>
            <w:r w:rsidRPr="009F1618">
              <w:rPr>
                <w:rFonts w:ascii="Calibri" w:eastAsiaTheme="minorEastAsia" w:hAnsi="Calibri" w:cs="Calibri"/>
                <w:sz w:val="22"/>
                <w:szCs w:val="22"/>
              </w:rPr>
              <w:t>s</w:t>
            </w:r>
          </w:p>
        </w:tc>
        <w:tc>
          <w:tcPr>
            <w:tcW w:w="1503" w:type="dxa"/>
            <w:tcBorders>
              <w:top w:val="single" w:sz="4" w:space="0" w:color="auto"/>
              <w:bottom w:val="single" w:sz="4" w:space="0" w:color="auto"/>
            </w:tcBorders>
            <w:vAlign w:val="center"/>
          </w:tcPr>
          <w:p w14:paraId="650886CE" w14:textId="26BCB18C" w:rsidR="00884EAB" w:rsidRPr="009F1618" w:rsidRDefault="00884EAB" w:rsidP="009F1618">
            <w:pPr>
              <w:jc w:val="both"/>
              <w:rPr>
                <w:rFonts w:ascii="Cambria Math" w:eastAsiaTheme="minorEastAsia" w:hAnsi="Cambria Math" w:cs="Calibri"/>
                <w:sz w:val="22"/>
                <w:szCs w:val="22"/>
                <w:oMath/>
              </w:rPr>
            </w:pPr>
            <m:oMath>
              <m:r>
                <w:rPr>
                  <w:rFonts w:ascii="Cambria Math" w:eastAsiaTheme="minorEastAsia" w:hAnsi="Cambria Math" w:cs="Calibri"/>
                  <w:sz w:val="22"/>
                  <w:szCs w:val="22"/>
                </w:rPr>
                <m:t>-0.26</m:t>
              </m:r>
            </m:oMath>
            <w:r w:rsidRPr="009F1618">
              <w:rPr>
                <w:rFonts w:ascii="Calibri" w:eastAsiaTheme="minorEastAsia" w:hAnsi="Calibri" w:cs="Calibri"/>
                <w:sz w:val="22"/>
                <w:szCs w:val="22"/>
              </w:rPr>
              <w:t xml:space="preserve"> </w:t>
            </w:r>
          </w:p>
          <w:p w14:paraId="13287151" w14:textId="2FF4078D"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(-0.63)</m:t>
                </m:r>
              </m:oMath>
            </m:oMathPara>
          </w:p>
        </w:tc>
        <w:tc>
          <w:tcPr>
            <w:tcW w:w="1502" w:type="dxa"/>
            <w:tcBorders>
              <w:top w:val="single" w:sz="4" w:space="0" w:color="auto"/>
              <w:bottom w:val="single" w:sz="4" w:space="0" w:color="auto"/>
            </w:tcBorders>
            <w:vAlign w:val="center"/>
          </w:tcPr>
          <w:p w14:paraId="118FFA29" w14:textId="06F2CD94" w:rsidR="00884EAB" w:rsidRPr="009F1618" w:rsidRDefault="00E1356D" w:rsidP="009F1618">
            <w:pPr>
              <w:jc w:val="both"/>
              <w:rPr>
                <w:rFonts w:ascii="Cambria Math" w:eastAsiaTheme="minorEastAsia" w:hAnsi="Cambria Math" w:cs="Calibri"/>
                <w:sz w:val="22"/>
                <w:szCs w:val="22"/>
                <w:oMath/>
              </w:rPr>
            </w:pPr>
            <m:oMathPara>
              <m:oMath>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0.18</m:t>
                    </m:r>
                  </m:e>
                  <m:sup>
                    <m:r>
                      <w:rPr>
                        <w:rFonts w:ascii="Cambria Math" w:eastAsiaTheme="minorEastAsia" w:hAnsi="Cambria Math" w:cs="Calibri"/>
                        <w:sz w:val="22"/>
                        <w:szCs w:val="22"/>
                      </w:rPr>
                      <m:t>***</m:t>
                    </m:r>
                  </m:sup>
                </m:sSup>
              </m:oMath>
            </m:oMathPara>
          </w:p>
          <w:p w14:paraId="5B7CA02E" w14:textId="4ECD3B0E"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(4.18)</m:t>
                </m:r>
              </m:oMath>
            </m:oMathPara>
          </w:p>
        </w:tc>
        <w:tc>
          <w:tcPr>
            <w:tcW w:w="1501" w:type="dxa"/>
            <w:tcBorders>
              <w:top w:val="single" w:sz="4" w:space="0" w:color="auto"/>
              <w:bottom w:val="single" w:sz="4" w:space="0" w:color="auto"/>
            </w:tcBorders>
            <w:vAlign w:val="center"/>
          </w:tcPr>
          <w:p w14:paraId="5719E1C5" w14:textId="10C0CCD3"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0.10</m:t>
                </m:r>
              </m:oMath>
            </m:oMathPara>
          </w:p>
          <w:p w14:paraId="16F73356" w14:textId="4F7E6FED"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(1.52)</m:t>
                </m:r>
              </m:oMath>
            </m:oMathPara>
          </w:p>
        </w:tc>
        <w:tc>
          <w:tcPr>
            <w:tcW w:w="1502" w:type="dxa"/>
            <w:tcBorders>
              <w:top w:val="single" w:sz="4" w:space="0" w:color="auto"/>
              <w:bottom w:val="single" w:sz="4" w:space="0" w:color="auto"/>
            </w:tcBorders>
            <w:vAlign w:val="center"/>
          </w:tcPr>
          <w:p w14:paraId="24792BE2" w14:textId="4098B68E"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0.01</m:t>
                </m:r>
              </m:oMath>
            </m:oMathPara>
          </w:p>
          <w:p w14:paraId="57953512" w14:textId="3DA04F29" w:rsidR="00884EAB" w:rsidRPr="009F1618" w:rsidRDefault="00884EA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(0.19)</m:t>
                </m:r>
              </m:oMath>
            </m:oMathPara>
          </w:p>
        </w:tc>
        <w:tc>
          <w:tcPr>
            <w:tcW w:w="1516" w:type="dxa"/>
            <w:tcBorders>
              <w:top w:val="single" w:sz="4" w:space="0" w:color="auto"/>
              <w:bottom w:val="single" w:sz="4" w:space="0" w:color="auto"/>
            </w:tcBorders>
            <w:vAlign w:val="center"/>
          </w:tcPr>
          <w:p w14:paraId="1221E7AE" w14:textId="77777777" w:rsidR="00884EAB" w:rsidRPr="009F1618" w:rsidRDefault="00884EAB" w:rsidP="009F1618">
            <w:pPr>
              <w:jc w:val="both"/>
              <w:rPr>
                <w:rFonts w:ascii="Cambria Math" w:eastAsiaTheme="minorEastAsia" w:hAnsi="Cambria Math" w:cs="Calibri"/>
                <w:sz w:val="22"/>
                <w:szCs w:val="22"/>
                <w:oMath/>
              </w:rPr>
            </w:pPr>
          </w:p>
        </w:tc>
      </w:tr>
      <w:tr w:rsidR="00884EAB" w:rsidRPr="009F1618" w14:paraId="71DEFDAA" w14:textId="77777777" w:rsidTr="00DE2164">
        <w:trPr>
          <w:cantSplit/>
        </w:trPr>
        <w:tc>
          <w:tcPr>
            <w:tcW w:w="9026" w:type="dxa"/>
            <w:gridSpan w:val="6"/>
            <w:tcBorders>
              <w:top w:val="single" w:sz="4" w:space="0" w:color="auto"/>
              <w:bottom w:val="single" w:sz="4" w:space="0" w:color="auto"/>
            </w:tcBorders>
            <w:vAlign w:val="center"/>
          </w:tcPr>
          <w:p w14:paraId="59E99AA8" w14:textId="77777777"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SMP</w:t>
            </w:r>
          </w:p>
        </w:tc>
      </w:tr>
      <w:tr w:rsidR="00884EAB" w:rsidRPr="009F1618" w14:paraId="01D7CA13" w14:textId="77777777" w:rsidTr="00DE2164">
        <w:trPr>
          <w:cantSplit/>
        </w:trPr>
        <w:tc>
          <w:tcPr>
            <w:tcW w:w="1502" w:type="dxa"/>
            <w:tcBorders>
              <w:top w:val="single" w:sz="4" w:space="0" w:color="auto"/>
              <w:bottom w:val="single" w:sz="4" w:space="0" w:color="auto"/>
            </w:tcBorders>
            <w:vAlign w:val="center"/>
          </w:tcPr>
          <w:p w14:paraId="12B64C69" w14:textId="77777777" w:rsidR="00884EAB" w:rsidRPr="009F1618" w:rsidRDefault="00884EAB" w:rsidP="009F1618">
            <w:pPr>
              <w:jc w:val="both"/>
              <w:rPr>
                <w:rFonts w:ascii="Calibri" w:eastAsiaTheme="minorEastAsia" w:hAnsi="Calibri" w:cs="Calibri"/>
                <w:sz w:val="22"/>
                <w:szCs w:val="22"/>
              </w:rPr>
            </w:pPr>
          </w:p>
        </w:tc>
        <w:tc>
          <w:tcPr>
            <w:tcW w:w="1503" w:type="dxa"/>
            <w:tcBorders>
              <w:top w:val="single" w:sz="4" w:space="0" w:color="auto"/>
              <w:bottom w:val="single" w:sz="4" w:space="0" w:color="auto"/>
            </w:tcBorders>
            <w:vAlign w:val="center"/>
          </w:tcPr>
          <w:p w14:paraId="769E101D" w14:textId="4A09AF1C"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NZ</w:t>
            </w:r>
          </w:p>
        </w:tc>
        <w:tc>
          <w:tcPr>
            <w:tcW w:w="1502" w:type="dxa"/>
            <w:tcBorders>
              <w:top w:val="single" w:sz="4" w:space="0" w:color="auto"/>
              <w:bottom w:val="single" w:sz="4" w:space="0" w:color="auto"/>
            </w:tcBorders>
            <w:vAlign w:val="center"/>
          </w:tcPr>
          <w:p w14:paraId="28DD1CAD" w14:textId="708FAF7E"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AU</w:t>
            </w:r>
          </w:p>
        </w:tc>
        <w:tc>
          <w:tcPr>
            <w:tcW w:w="1501" w:type="dxa"/>
            <w:tcBorders>
              <w:top w:val="single" w:sz="4" w:space="0" w:color="auto"/>
              <w:bottom w:val="single" w:sz="4" w:space="0" w:color="auto"/>
            </w:tcBorders>
            <w:vAlign w:val="center"/>
          </w:tcPr>
          <w:p w14:paraId="45A1E14E" w14:textId="534C6B4F"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EU</w:t>
            </w:r>
          </w:p>
        </w:tc>
        <w:tc>
          <w:tcPr>
            <w:tcW w:w="1502" w:type="dxa"/>
            <w:tcBorders>
              <w:top w:val="single" w:sz="4" w:space="0" w:color="auto"/>
              <w:bottom w:val="single" w:sz="4" w:space="0" w:color="auto"/>
            </w:tcBorders>
            <w:vAlign w:val="center"/>
          </w:tcPr>
          <w:p w14:paraId="6E4D399C" w14:textId="77777777"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US</w:t>
            </w:r>
          </w:p>
        </w:tc>
        <w:tc>
          <w:tcPr>
            <w:tcW w:w="1516" w:type="dxa"/>
            <w:tcBorders>
              <w:top w:val="single" w:sz="4" w:space="0" w:color="auto"/>
              <w:bottom w:val="single" w:sz="4" w:space="0" w:color="auto"/>
            </w:tcBorders>
            <w:vAlign w:val="center"/>
          </w:tcPr>
          <w:p w14:paraId="23A8126E" w14:textId="35BD9D53" w:rsidR="00884EAB" w:rsidRPr="009F1618" w:rsidRDefault="00E01670" w:rsidP="009F1618">
            <w:pPr>
              <w:jc w:val="both"/>
              <w:rPr>
                <w:rFonts w:ascii="Calibri" w:eastAsiaTheme="minorEastAsia" w:hAnsi="Calibri" w:cs="Calibri"/>
                <w:sz w:val="22"/>
                <w:szCs w:val="22"/>
              </w:rPr>
            </w:pPr>
            <w:r w:rsidRPr="009F1618">
              <w:rPr>
                <w:rFonts w:ascii="Calibri" w:eastAsiaTheme="minorEastAsia" w:hAnsi="Calibri" w:cs="Calibri"/>
                <w:sz w:val="22"/>
                <w:szCs w:val="22"/>
              </w:rPr>
              <w:t>Constant</w:t>
            </w:r>
          </w:p>
        </w:tc>
      </w:tr>
      <w:tr w:rsidR="00884EAB" w:rsidRPr="009F1618" w14:paraId="499D8138" w14:textId="77777777" w:rsidTr="00DE2164">
        <w:trPr>
          <w:cantSplit/>
        </w:trPr>
        <w:tc>
          <w:tcPr>
            <w:tcW w:w="1502" w:type="dxa"/>
            <w:tcBorders>
              <w:top w:val="single" w:sz="4" w:space="0" w:color="auto"/>
              <w:bottom w:val="single" w:sz="4" w:space="0" w:color="auto"/>
            </w:tcBorders>
            <w:vAlign w:val="center"/>
          </w:tcPr>
          <w:p w14:paraId="4E6FF2A6" w14:textId="7FFB456D"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 xml:space="preserve">Estimated </w:t>
            </w:r>
            <m:oMath>
              <m:r>
                <w:rPr>
                  <w:rFonts w:ascii="Cambria Math" w:eastAsiaTheme="minorEastAsia" w:hAnsi="Cambria Math" w:cs="Calibri"/>
                  <w:sz w:val="22"/>
                  <w:szCs w:val="22"/>
                </w:rPr>
                <m:t>β</m:t>
              </m:r>
            </m:oMath>
            <w:r w:rsidRPr="009F1618">
              <w:rPr>
                <w:rFonts w:ascii="Calibri" w:eastAsiaTheme="minorEastAsia" w:hAnsi="Calibri" w:cs="Calibri"/>
                <w:sz w:val="22"/>
                <w:szCs w:val="22"/>
              </w:rPr>
              <w:t>s</w:t>
            </w:r>
          </w:p>
        </w:tc>
        <w:tc>
          <w:tcPr>
            <w:tcW w:w="1503" w:type="dxa"/>
            <w:tcBorders>
              <w:top w:val="single" w:sz="4" w:space="0" w:color="auto"/>
              <w:bottom w:val="single" w:sz="4" w:space="0" w:color="auto"/>
            </w:tcBorders>
            <w:vAlign w:val="center"/>
          </w:tcPr>
          <w:p w14:paraId="5BC0FECE" w14:textId="2EB1D042" w:rsidR="00884EAB" w:rsidRPr="009F1618" w:rsidRDefault="00884EAB" w:rsidP="009F1618">
            <w:pPr>
              <w:jc w:val="both"/>
              <w:rPr>
                <w:rFonts w:ascii="Cambria Math" w:eastAsiaTheme="minorEastAsia" w:hAnsi="Cambria Math" w:cs="Calibri"/>
                <w:sz w:val="22"/>
                <w:szCs w:val="22"/>
                <w:oMath/>
              </w:rPr>
            </w:pPr>
          </w:p>
        </w:tc>
        <w:tc>
          <w:tcPr>
            <w:tcW w:w="1502" w:type="dxa"/>
            <w:tcBorders>
              <w:top w:val="single" w:sz="4" w:space="0" w:color="auto"/>
              <w:bottom w:val="single" w:sz="4" w:space="0" w:color="auto"/>
            </w:tcBorders>
            <w:vAlign w:val="center"/>
          </w:tcPr>
          <w:p w14:paraId="7F7FE35A" w14:textId="39999C4C" w:rsidR="00884EAB" w:rsidRPr="009F1618" w:rsidRDefault="00884EAB" w:rsidP="009F1618">
            <w:pPr>
              <w:jc w:val="both"/>
              <w:rPr>
                <w:rFonts w:ascii="Cambria Math" w:eastAsiaTheme="minorEastAsia" w:hAnsi="Cambria Math" w:cs="Calibri"/>
                <w:sz w:val="22"/>
                <w:szCs w:val="22"/>
                <w:oMath/>
              </w:rPr>
            </w:pPr>
          </w:p>
        </w:tc>
        <w:tc>
          <w:tcPr>
            <w:tcW w:w="1501" w:type="dxa"/>
            <w:tcBorders>
              <w:top w:val="single" w:sz="4" w:space="0" w:color="auto"/>
              <w:bottom w:val="single" w:sz="4" w:space="0" w:color="auto"/>
            </w:tcBorders>
            <w:vAlign w:val="center"/>
          </w:tcPr>
          <w:p w14:paraId="45562EF4" w14:textId="15E25EB1" w:rsidR="00884EAB" w:rsidRPr="009F1618" w:rsidRDefault="00884EAB" w:rsidP="009F1618">
            <w:pPr>
              <w:jc w:val="both"/>
              <w:rPr>
                <w:rFonts w:ascii="Cambria Math" w:eastAsiaTheme="minorEastAsia" w:hAnsi="Cambria Math" w:cs="Calibri"/>
                <w:sz w:val="22"/>
                <w:szCs w:val="22"/>
                <w:oMath/>
              </w:rPr>
            </w:pPr>
          </w:p>
        </w:tc>
        <w:tc>
          <w:tcPr>
            <w:tcW w:w="1502" w:type="dxa"/>
            <w:tcBorders>
              <w:top w:val="single" w:sz="4" w:space="0" w:color="auto"/>
              <w:bottom w:val="single" w:sz="4" w:space="0" w:color="auto"/>
            </w:tcBorders>
            <w:vAlign w:val="center"/>
          </w:tcPr>
          <w:p w14:paraId="3568F51B" w14:textId="3BF972F3" w:rsidR="00884EAB" w:rsidRPr="009F1618" w:rsidRDefault="00884EAB" w:rsidP="009F1618">
            <w:pPr>
              <w:jc w:val="both"/>
              <w:rPr>
                <w:rFonts w:ascii="Cambria Math" w:eastAsiaTheme="minorEastAsia" w:hAnsi="Cambria Math" w:cs="Calibri"/>
                <w:sz w:val="22"/>
                <w:szCs w:val="22"/>
                <w:oMath/>
              </w:rPr>
            </w:pPr>
          </w:p>
        </w:tc>
        <w:tc>
          <w:tcPr>
            <w:tcW w:w="1516" w:type="dxa"/>
            <w:tcBorders>
              <w:top w:val="single" w:sz="4" w:space="0" w:color="auto"/>
              <w:bottom w:val="single" w:sz="4" w:space="0" w:color="auto"/>
            </w:tcBorders>
            <w:vAlign w:val="center"/>
          </w:tcPr>
          <w:p w14:paraId="278237A5" w14:textId="17FDDC27" w:rsidR="00884EAB" w:rsidRPr="009F1618" w:rsidRDefault="00884EAB" w:rsidP="009F1618">
            <w:pPr>
              <w:jc w:val="both"/>
              <w:rPr>
                <w:rFonts w:ascii="Cambria Math" w:eastAsiaTheme="minorEastAsia" w:hAnsi="Cambria Math" w:cs="Calibri"/>
                <w:sz w:val="22"/>
                <w:szCs w:val="22"/>
                <w:oMath/>
              </w:rPr>
            </w:pPr>
          </w:p>
        </w:tc>
      </w:tr>
      <w:tr w:rsidR="00E01670" w:rsidRPr="009F1618" w14:paraId="1846C9C8" w14:textId="77777777" w:rsidTr="00DE2164">
        <w:trPr>
          <w:cantSplit/>
        </w:trPr>
        <w:tc>
          <w:tcPr>
            <w:tcW w:w="1502" w:type="dxa"/>
            <w:tcBorders>
              <w:top w:val="single" w:sz="4" w:space="0" w:color="auto"/>
            </w:tcBorders>
            <w:vAlign w:val="center"/>
          </w:tcPr>
          <w:p w14:paraId="237C2CE2" w14:textId="6CE28316" w:rsidR="00E01670" w:rsidRPr="009F1618" w:rsidRDefault="00331086" w:rsidP="009F1618">
            <w:pPr>
              <w:jc w:val="both"/>
              <w:rPr>
                <w:rFonts w:ascii="Calibri" w:eastAsiaTheme="minorEastAsia" w:hAnsi="Calibri" w:cs="Calibri"/>
                <w:sz w:val="22"/>
                <w:szCs w:val="22"/>
              </w:rPr>
            </w:pPr>
            <m:oMathPara>
              <m:oMathParaPr>
                <m:jc m:val="left"/>
              </m:oMathParaPr>
              <m:oMath>
                <m:r>
                  <w:rPr>
                    <w:rFonts w:ascii="Cambria Math" w:eastAsiaTheme="minorEastAsia" w:hAnsi="Cambria Math" w:cs="Calibri"/>
                    <w:sz w:val="22"/>
                    <w:szCs w:val="22"/>
                  </w:rPr>
                  <m:t>ect1</m:t>
                </m:r>
              </m:oMath>
            </m:oMathPara>
          </w:p>
        </w:tc>
        <w:tc>
          <w:tcPr>
            <w:tcW w:w="1503" w:type="dxa"/>
            <w:tcBorders>
              <w:top w:val="single" w:sz="4" w:space="0" w:color="auto"/>
            </w:tcBorders>
            <w:vAlign w:val="center"/>
          </w:tcPr>
          <w:p w14:paraId="3D8A9ED5" w14:textId="465A66FB" w:rsidR="00E01670" w:rsidRPr="009F1618" w:rsidRDefault="00DE6082"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1.00</m:t>
                </m:r>
              </m:oMath>
            </m:oMathPara>
          </w:p>
          <w:p w14:paraId="6DD2978A" w14:textId="22D37084" w:rsidR="00DE7933" w:rsidRPr="009F1618" w:rsidDel="00E01670" w:rsidRDefault="00DE6082"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oMath>
            </m:oMathPara>
          </w:p>
        </w:tc>
        <w:tc>
          <w:tcPr>
            <w:tcW w:w="1502" w:type="dxa"/>
            <w:tcBorders>
              <w:top w:val="single" w:sz="4" w:space="0" w:color="auto"/>
            </w:tcBorders>
            <w:vAlign w:val="center"/>
          </w:tcPr>
          <w:p w14:paraId="0B5AAD06" w14:textId="408CCF08" w:rsidR="00E01670" w:rsidRPr="009F1618" w:rsidRDefault="00DE6082"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0.00</m:t>
                </m:r>
              </m:oMath>
            </m:oMathPara>
          </w:p>
          <w:p w14:paraId="430C873D" w14:textId="00132AC5" w:rsidR="00DE6082" w:rsidRPr="009F1618" w:rsidDel="00E01670" w:rsidRDefault="00DE6082"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oMath>
            </m:oMathPara>
          </w:p>
        </w:tc>
        <w:tc>
          <w:tcPr>
            <w:tcW w:w="1501" w:type="dxa"/>
            <w:tcBorders>
              <w:top w:val="single" w:sz="4" w:space="0" w:color="auto"/>
            </w:tcBorders>
            <w:vAlign w:val="center"/>
          </w:tcPr>
          <w:p w14:paraId="6F63C00D" w14:textId="06F8A884" w:rsidR="00E01670" w:rsidRPr="009F1618" w:rsidRDefault="00DE6082"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0.04</m:t>
                </m:r>
              </m:oMath>
            </m:oMathPara>
          </w:p>
          <w:p w14:paraId="52ACFD9C" w14:textId="7A14352D" w:rsidR="00DE6082" w:rsidRPr="009F1618" w:rsidDel="00E01670" w:rsidRDefault="00DE6082"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oMath>
            </m:oMathPara>
          </w:p>
        </w:tc>
        <w:tc>
          <w:tcPr>
            <w:tcW w:w="1502" w:type="dxa"/>
            <w:tcBorders>
              <w:top w:val="single" w:sz="4" w:space="0" w:color="auto"/>
            </w:tcBorders>
            <w:vAlign w:val="center"/>
          </w:tcPr>
          <w:p w14:paraId="079C3938" w14:textId="77777777" w:rsidR="00E01670" w:rsidRPr="009F1618" w:rsidRDefault="00F51F19"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-1.36</m:t>
                </m:r>
              </m:oMath>
            </m:oMathPara>
          </w:p>
          <w:p w14:paraId="518A2A54" w14:textId="4CBE789B" w:rsidR="00F51F19" w:rsidRPr="009F1618" w:rsidDel="00E01670" w:rsidRDefault="00F51F19"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oMath>
            </m:oMathPara>
          </w:p>
        </w:tc>
        <w:tc>
          <w:tcPr>
            <w:tcW w:w="1516" w:type="dxa"/>
            <w:tcBorders>
              <w:top w:val="single" w:sz="4" w:space="0" w:color="auto"/>
            </w:tcBorders>
            <w:vAlign w:val="center"/>
          </w:tcPr>
          <w:p w14:paraId="70D1CA42" w14:textId="77777777" w:rsidR="00E01670" w:rsidRPr="009F1618" w:rsidRDefault="00F51F19"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2.59</m:t>
                </m:r>
              </m:oMath>
            </m:oMathPara>
          </w:p>
          <w:p w14:paraId="3C86BE7E" w14:textId="3CA367C8" w:rsidR="008579D7" w:rsidRPr="009F1618" w:rsidDel="00E01670" w:rsidRDefault="008579D7"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oMath>
            </m:oMathPara>
          </w:p>
        </w:tc>
      </w:tr>
      <w:tr w:rsidR="00E01670" w:rsidRPr="009F1618" w14:paraId="05E00F59" w14:textId="77777777" w:rsidTr="00DE2164">
        <w:trPr>
          <w:cantSplit/>
        </w:trPr>
        <w:tc>
          <w:tcPr>
            <w:tcW w:w="1502" w:type="dxa"/>
            <w:vAlign w:val="center"/>
          </w:tcPr>
          <w:p w14:paraId="1F164A1E" w14:textId="21F2ADBF" w:rsidR="00E01670" w:rsidRPr="009F1618" w:rsidRDefault="00331086" w:rsidP="009F1618">
            <w:pPr>
              <w:jc w:val="both"/>
              <w:rPr>
                <w:rFonts w:ascii="Calibri" w:eastAsiaTheme="minorEastAsia" w:hAnsi="Calibri" w:cs="Calibri"/>
                <w:sz w:val="22"/>
                <w:szCs w:val="22"/>
              </w:rPr>
            </w:pPr>
            <m:oMathPara>
              <m:oMathParaPr>
                <m:jc m:val="left"/>
              </m:oMathParaPr>
              <m:oMath>
                <m:r>
                  <w:rPr>
                    <w:rFonts w:ascii="Cambria Math" w:eastAsiaTheme="minorEastAsia" w:hAnsi="Cambria Math" w:cs="Calibri"/>
                    <w:sz w:val="22"/>
                    <w:szCs w:val="22"/>
                  </w:rPr>
                  <m:t>ect2</m:t>
                </m:r>
              </m:oMath>
            </m:oMathPara>
          </w:p>
        </w:tc>
        <w:tc>
          <w:tcPr>
            <w:tcW w:w="1503" w:type="dxa"/>
            <w:vAlign w:val="center"/>
          </w:tcPr>
          <w:p w14:paraId="6AF95C49" w14:textId="77777777" w:rsidR="00E01670" w:rsidRPr="009F1618" w:rsidRDefault="008579D7"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0.00</m:t>
                </m:r>
              </m:oMath>
            </m:oMathPara>
          </w:p>
          <w:p w14:paraId="35261919" w14:textId="3A45D23C" w:rsidR="008579D7" w:rsidRPr="009F1618" w:rsidDel="00E01670" w:rsidRDefault="008579D7"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oMath>
            </m:oMathPara>
          </w:p>
        </w:tc>
        <w:tc>
          <w:tcPr>
            <w:tcW w:w="1502" w:type="dxa"/>
            <w:vAlign w:val="center"/>
          </w:tcPr>
          <w:p w14:paraId="68F23434" w14:textId="77777777" w:rsidR="00E01670" w:rsidRPr="009F1618" w:rsidRDefault="008579D7"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1.00</m:t>
                </m:r>
              </m:oMath>
            </m:oMathPara>
          </w:p>
          <w:p w14:paraId="119DA768" w14:textId="77B9173D" w:rsidR="008579D7" w:rsidRPr="009F1618" w:rsidDel="00E01670" w:rsidRDefault="008579D7"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oMath>
            </m:oMathPara>
          </w:p>
        </w:tc>
        <w:tc>
          <w:tcPr>
            <w:tcW w:w="1501" w:type="dxa"/>
            <w:vAlign w:val="center"/>
          </w:tcPr>
          <w:p w14:paraId="18A40386" w14:textId="77777777" w:rsidR="00E01670" w:rsidRPr="009F1618" w:rsidRDefault="00E16D9F"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0.06</m:t>
                </m:r>
              </m:oMath>
            </m:oMathPara>
          </w:p>
          <w:p w14:paraId="682BF3A8" w14:textId="28B8F155" w:rsidR="00E16D9F" w:rsidRPr="009F1618" w:rsidDel="00E01670" w:rsidRDefault="00E16D9F"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oMath>
            </m:oMathPara>
          </w:p>
        </w:tc>
        <w:tc>
          <w:tcPr>
            <w:tcW w:w="1502" w:type="dxa"/>
            <w:vAlign w:val="center"/>
          </w:tcPr>
          <w:p w14:paraId="3E50F5B8" w14:textId="77777777" w:rsidR="00E01670" w:rsidRPr="009F1618" w:rsidRDefault="00E16D9F"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-1.42</m:t>
                </m:r>
              </m:oMath>
            </m:oMathPara>
          </w:p>
          <w:p w14:paraId="792F5AAE" w14:textId="2C7F578D" w:rsidR="00E16D9F" w:rsidRPr="009F1618" w:rsidDel="00E01670" w:rsidRDefault="00E16D9F"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oMath>
            </m:oMathPara>
          </w:p>
        </w:tc>
        <w:tc>
          <w:tcPr>
            <w:tcW w:w="1516" w:type="dxa"/>
            <w:vAlign w:val="center"/>
          </w:tcPr>
          <w:p w14:paraId="1E807541" w14:textId="77777777" w:rsidR="00E01670" w:rsidRPr="009F1618" w:rsidRDefault="008B659E"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3.01</m:t>
                </m:r>
              </m:oMath>
            </m:oMathPara>
          </w:p>
          <w:p w14:paraId="28B6BF92" w14:textId="7B0FD660" w:rsidR="008B659E" w:rsidRPr="009F1618" w:rsidDel="00E01670" w:rsidRDefault="008B659E"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oMath>
            </m:oMathPara>
          </w:p>
        </w:tc>
      </w:tr>
      <w:tr w:rsidR="00884EAB" w:rsidRPr="009F1618" w14:paraId="26314292" w14:textId="77777777" w:rsidTr="00DE2164">
        <w:trPr>
          <w:cantSplit/>
        </w:trPr>
        <w:tc>
          <w:tcPr>
            <w:tcW w:w="1502" w:type="dxa"/>
            <w:tcBorders>
              <w:top w:val="single" w:sz="4" w:space="0" w:color="auto"/>
              <w:bottom w:val="single" w:sz="4" w:space="0" w:color="auto"/>
            </w:tcBorders>
            <w:vAlign w:val="center"/>
          </w:tcPr>
          <w:p w14:paraId="3A7317BD" w14:textId="0D0C5FED" w:rsidR="00884EAB" w:rsidRPr="009F1618" w:rsidRDefault="00884EA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 xml:space="preserve">Estimated </w:t>
            </w:r>
            <m:oMath>
              <m:r>
                <w:rPr>
                  <w:rFonts w:ascii="Cambria Math" w:eastAsiaTheme="minorEastAsia" w:hAnsi="Cambria Math" w:cs="Calibri"/>
                  <w:sz w:val="22"/>
                  <w:szCs w:val="22"/>
                </w:rPr>
                <m:t>α</m:t>
              </m:r>
            </m:oMath>
            <w:r w:rsidRPr="009F1618">
              <w:rPr>
                <w:rFonts w:ascii="Calibri" w:eastAsiaTheme="minorEastAsia" w:hAnsi="Calibri" w:cs="Calibri"/>
                <w:sz w:val="22"/>
                <w:szCs w:val="22"/>
              </w:rPr>
              <w:t>s</w:t>
            </w:r>
          </w:p>
        </w:tc>
        <w:tc>
          <w:tcPr>
            <w:tcW w:w="1503" w:type="dxa"/>
            <w:tcBorders>
              <w:top w:val="single" w:sz="4" w:space="0" w:color="auto"/>
              <w:bottom w:val="single" w:sz="4" w:space="0" w:color="auto"/>
            </w:tcBorders>
            <w:vAlign w:val="center"/>
          </w:tcPr>
          <w:p w14:paraId="17B090CF" w14:textId="4D8B8320" w:rsidR="00884EAB" w:rsidRPr="009F1618" w:rsidRDefault="00884EAB" w:rsidP="009F1618">
            <w:pPr>
              <w:jc w:val="both"/>
              <w:rPr>
                <w:rFonts w:ascii="Cambria Math" w:eastAsiaTheme="minorEastAsia" w:hAnsi="Cambria Math" w:cs="Calibri"/>
                <w:sz w:val="22"/>
                <w:szCs w:val="22"/>
                <w:oMath/>
              </w:rPr>
            </w:pPr>
          </w:p>
        </w:tc>
        <w:tc>
          <w:tcPr>
            <w:tcW w:w="1502" w:type="dxa"/>
            <w:tcBorders>
              <w:top w:val="single" w:sz="4" w:space="0" w:color="auto"/>
              <w:bottom w:val="single" w:sz="4" w:space="0" w:color="auto"/>
            </w:tcBorders>
            <w:vAlign w:val="center"/>
          </w:tcPr>
          <w:p w14:paraId="5CB995F7" w14:textId="611B2FF8" w:rsidR="00884EAB" w:rsidRPr="009F1618" w:rsidRDefault="00884EAB" w:rsidP="009F1618">
            <w:pPr>
              <w:jc w:val="both"/>
              <w:rPr>
                <w:rFonts w:ascii="Cambria Math" w:eastAsiaTheme="minorEastAsia" w:hAnsi="Cambria Math" w:cs="Calibri"/>
                <w:sz w:val="22"/>
                <w:szCs w:val="22"/>
                <w:oMath/>
              </w:rPr>
            </w:pPr>
          </w:p>
        </w:tc>
        <w:tc>
          <w:tcPr>
            <w:tcW w:w="1501" w:type="dxa"/>
            <w:tcBorders>
              <w:top w:val="single" w:sz="4" w:space="0" w:color="auto"/>
              <w:bottom w:val="single" w:sz="4" w:space="0" w:color="auto"/>
            </w:tcBorders>
            <w:vAlign w:val="center"/>
          </w:tcPr>
          <w:p w14:paraId="602968AC" w14:textId="0D277E20" w:rsidR="00884EAB" w:rsidRPr="009F1618" w:rsidRDefault="00884EAB" w:rsidP="009F1618">
            <w:pPr>
              <w:jc w:val="both"/>
              <w:rPr>
                <w:rFonts w:ascii="Cambria Math" w:eastAsiaTheme="minorEastAsia" w:hAnsi="Cambria Math" w:cs="Calibri"/>
                <w:sz w:val="22"/>
                <w:szCs w:val="22"/>
                <w:oMath/>
              </w:rPr>
            </w:pPr>
          </w:p>
        </w:tc>
        <w:tc>
          <w:tcPr>
            <w:tcW w:w="1502" w:type="dxa"/>
            <w:tcBorders>
              <w:top w:val="single" w:sz="4" w:space="0" w:color="auto"/>
              <w:bottom w:val="single" w:sz="4" w:space="0" w:color="auto"/>
            </w:tcBorders>
            <w:vAlign w:val="center"/>
          </w:tcPr>
          <w:p w14:paraId="62031D98" w14:textId="1CBD7FA2" w:rsidR="00884EAB" w:rsidRPr="009F1618" w:rsidRDefault="00884EAB" w:rsidP="009F1618">
            <w:pPr>
              <w:jc w:val="both"/>
              <w:rPr>
                <w:rFonts w:ascii="Cambria Math" w:eastAsiaTheme="minorEastAsia" w:hAnsi="Cambria Math" w:cs="Calibri"/>
                <w:sz w:val="22"/>
                <w:szCs w:val="22"/>
                <w:oMath/>
              </w:rPr>
            </w:pPr>
          </w:p>
        </w:tc>
        <w:tc>
          <w:tcPr>
            <w:tcW w:w="1516" w:type="dxa"/>
            <w:tcBorders>
              <w:top w:val="single" w:sz="4" w:space="0" w:color="auto"/>
              <w:bottom w:val="single" w:sz="4" w:space="0" w:color="auto"/>
            </w:tcBorders>
            <w:vAlign w:val="center"/>
          </w:tcPr>
          <w:p w14:paraId="2C9333A6" w14:textId="77777777" w:rsidR="00884EAB" w:rsidRPr="009F1618" w:rsidRDefault="00884EAB" w:rsidP="009F1618">
            <w:pPr>
              <w:jc w:val="both"/>
              <w:rPr>
                <w:rFonts w:ascii="Calibri" w:eastAsiaTheme="minorEastAsia" w:hAnsi="Calibri" w:cs="Calibri"/>
                <w:sz w:val="22"/>
                <w:szCs w:val="22"/>
              </w:rPr>
            </w:pPr>
          </w:p>
        </w:tc>
      </w:tr>
      <w:tr w:rsidR="005D697B" w:rsidRPr="009F1618" w14:paraId="22FB02F9" w14:textId="77777777" w:rsidTr="00DE2164">
        <w:trPr>
          <w:cantSplit/>
        </w:trPr>
        <w:tc>
          <w:tcPr>
            <w:tcW w:w="1502" w:type="dxa"/>
            <w:tcBorders>
              <w:top w:val="single" w:sz="4" w:space="0" w:color="auto"/>
            </w:tcBorders>
            <w:vAlign w:val="center"/>
          </w:tcPr>
          <w:p w14:paraId="36A0BABD" w14:textId="40804FDC" w:rsidR="005D697B" w:rsidRPr="009F1618" w:rsidRDefault="005D697B" w:rsidP="009F1618">
            <w:pPr>
              <w:jc w:val="both"/>
              <w:rPr>
                <w:rFonts w:ascii="Calibri" w:eastAsiaTheme="minorEastAsia" w:hAnsi="Calibri" w:cs="Calibri"/>
                <w:sz w:val="22"/>
                <w:szCs w:val="22"/>
              </w:rPr>
            </w:pPr>
            <m:oMathPara>
              <m:oMathParaPr>
                <m:jc m:val="left"/>
              </m:oMathParaPr>
              <m:oMath>
                <m:r>
                  <w:rPr>
                    <w:rFonts w:ascii="Cambria Math" w:eastAsiaTheme="minorEastAsia" w:hAnsi="Cambria Math" w:cs="Calibri"/>
                    <w:sz w:val="22"/>
                    <w:szCs w:val="22"/>
                  </w:rPr>
                  <m:t>ect1</m:t>
                </m:r>
              </m:oMath>
            </m:oMathPara>
          </w:p>
        </w:tc>
        <w:tc>
          <w:tcPr>
            <w:tcW w:w="1503" w:type="dxa"/>
            <w:tcBorders>
              <w:top w:val="single" w:sz="4" w:space="0" w:color="auto"/>
            </w:tcBorders>
            <w:vAlign w:val="center"/>
          </w:tcPr>
          <w:p w14:paraId="20C5FF46" w14:textId="77777777" w:rsidR="005D697B" w:rsidRPr="009F1618" w:rsidRDefault="006125C0"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sSup>
                  <m:sSupPr>
                    <m:ctrlPr>
                      <w:rPr>
                        <w:rFonts w:ascii="Cambria Math" w:eastAsia="Times New Roman" w:hAnsi="Cambria Math" w:cs="Calibri"/>
                        <w:i/>
                        <w:sz w:val="22"/>
                        <w:szCs w:val="22"/>
                      </w:rPr>
                    </m:ctrlPr>
                  </m:sSupPr>
                  <m:e>
                    <m:r>
                      <w:rPr>
                        <w:rFonts w:ascii="Cambria Math" w:eastAsia="Times New Roman" w:hAnsi="Cambria Math" w:cs="Calibri"/>
                        <w:sz w:val="22"/>
                        <w:szCs w:val="22"/>
                      </w:rPr>
                      <m:t>0.19</m:t>
                    </m:r>
                  </m:e>
                  <m:sup>
                    <m:r>
                      <w:rPr>
                        <w:rFonts w:ascii="Cambria Math" w:eastAsia="Times New Roman" w:hAnsi="Cambria Math" w:cs="Calibri"/>
                        <w:sz w:val="22"/>
                        <w:szCs w:val="22"/>
                      </w:rPr>
                      <m:t>***</m:t>
                    </m:r>
                  </m:sup>
                </m:sSup>
              </m:oMath>
            </m:oMathPara>
          </w:p>
          <w:p w14:paraId="4F28BE20" w14:textId="45C6374F" w:rsidR="00625D34" w:rsidRPr="009F1618" w:rsidDel="00E01670" w:rsidRDefault="00625D34"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r>
                  <m:rPr>
                    <m:sty m:val="p"/>
                  </m:rPr>
                  <w:rPr>
                    <w:rFonts w:ascii="Cambria Math" w:eastAsia="Times New Roman" w:hAnsi="Cambria Math" w:cs="Calibri"/>
                    <w:sz w:val="22"/>
                    <w:szCs w:val="22"/>
                  </w:rPr>
                  <m:t>-2.85</m:t>
                </m:r>
                <m:r>
                  <w:rPr>
                    <w:rFonts w:ascii="Cambria Math" w:eastAsia="Times New Roman" w:hAnsi="Cambria Math" w:cs="Calibri"/>
                    <w:sz w:val="22"/>
                    <w:szCs w:val="22"/>
                  </w:rPr>
                  <m:t>)</m:t>
                </m:r>
              </m:oMath>
            </m:oMathPara>
          </w:p>
        </w:tc>
        <w:tc>
          <w:tcPr>
            <w:tcW w:w="1502" w:type="dxa"/>
            <w:tcBorders>
              <w:top w:val="single" w:sz="4" w:space="0" w:color="auto"/>
            </w:tcBorders>
            <w:vAlign w:val="center"/>
          </w:tcPr>
          <w:p w14:paraId="0D1018DC" w14:textId="152787E8" w:rsidR="005D697B" w:rsidRPr="009F1618" w:rsidRDefault="00E1356D" w:rsidP="009F1618">
            <w:pPr>
              <w:jc w:val="both"/>
              <w:rPr>
                <w:rFonts w:ascii="Calibri" w:eastAsia="Times New Roman" w:hAnsi="Calibri" w:cs="Calibri"/>
                <w:sz w:val="22"/>
                <w:szCs w:val="22"/>
              </w:rPr>
            </w:pPr>
            <m:oMathPara>
              <m:oMath>
                <m:sSup>
                  <m:sSupPr>
                    <m:ctrlPr>
                      <w:rPr>
                        <w:rFonts w:ascii="Cambria Math" w:eastAsia="Times New Roman" w:hAnsi="Cambria Math" w:cs="Calibri"/>
                        <w:i/>
                        <w:sz w:val="22"/>
                        <w:szCs w:val="22"/>
                      </w:rPr>
                    </m:ctrlPr>
                  </m:sSupPr>
                  <m:e>
                    <m:r>
                      <w:rPr>
                        <w:rFonts w:ascii="Cambria Math" w:eastAsia="Times New Roman" w:hAnsi="Cambria Math" w:cs="Calibri"/>
                        <w:sz w:val="22"/>
                        <w:szCs w:val="22"/>
                      </w:rPr>
                      <m:t>0.14</m:t>
                    </m:r>
                  </m:e>
                  <m:sup>
                    <m:r>
                      <w:rPr>
                        <w:rFonts w:ascii="Cambria Math" w:eastAsia="Times New Roman" w:hAnsi="Cambria Math" w:cs="Calibri"/>
                        <w:sz w:val="22"/>
                        <w:szCs w:val="22"/>
                      </w:rPr>
                      <m:t>**</m:t>
                    </m:r>
                  </m:sup>
                </m:sSup>
              </m:oMath>
            </m:oMathPara>
          </w:p>
          <w:p w14:paraId="6912A6D1" w14:textId="21E54B55" w:rsidR="004E0226" w:rsidRPr="009F1618" w:rsidDel="00E01670" w:rsidRDefault="004E0226"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(2.27)</m:t>
                </m:r>
              </m:oMath>
            </m:oMathPara>
          </w:p>
        </w:tc>
        <w:tc>
          <w:tcPr>
            <w:tcW w:w="1501" w:type="dxa"/>
            <w:tcBorders>
              <w:top w:val="single" w:sz="4" w:space="0" w:color="auto"/>
            </w:tcBorders>
            <w:vAlign w:val="center"/>
          </w:tcPr>
          <w:p w14:paraId="3C494AC5" w14:textId="658FD180" w:rsidR="005D697B" w:rsidRPr="009F1618" w:rsidRDefault="00E1356D" w:rsidP="009F1618">
            <w:pPr>
              <w:jc w:val="both"/>
              <w:rPr>
                <w:rFonts w:ascii="Calibri" w:eastAsia="Times New Roman" w:hAnsi="Calibri" w:cs="Calibri"/>
                <w:sz w:val="22"/>
                <w:szCs w:val="22"/>
              </w:rPr>
            </w:pPr>
            <m:oMathPara>
              <m:oMath>
                <m:sSup>
                  <m:sSupPr>
                    <m:ctrlPr>
                      <w:rPr>
                        <w:rFonts w:ascii="Cambria Math" w:eastAsia="Times New Roman" w:hAnsi="Cambria Math" w:cs="Calibri"/>
                        <w:i/>
                        <w:sz w:val="22"/>
                        <w:szCs w:val="22"/>
                      </w:rPr>
                    </m:ctrlPr>
                  </m:sSupPr>
                  <m:e>
                    <m:r>
                      <w:rPr>
                        <w:rFonts w:ascii="Cambria Math" w:eastAsia="Times New Roman" w:hAnsi="Cambria Math" w:cs="Calibri"/>
                        <w:sz w:val="22"/>
                        <w:szCs w:val="22"/>
                      </w:rPr>
                      <m:t>0.15</m:t>
                    </m:r>
                  </m:e>
                  <m:sup>
                    <m:r>
                      <w:rPr>
                        <w:rFonts w:ascii="Cambria Math" w:eastAsia="Times New Roman" w:hAnsi="Cambria Math" w:cs="Calibri"/>
                        <w:sz w:val="22"/>
                        <w:szCs w:val="22"/>
                      </w:rPr>
                      <m:t>*</m:t>
                    </m:r>
                  </m:sup>
                </m:sSup>
              </m:oMath>
            </m:oMathPara>
          </w:p>
          <w:p w14:paraId="0B968DED" w14:textId="4DCB78AA" w:rsidR="00395006" w:rsidRPr="009F1618" w:rsidDel="00E01670" w:rsidRDefault="00395006"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(1.88)</m:t>
                </m:r>
              </m:oMath>
            </m:oMathPara>
          </w:p>
        </w:tc>
        <w:tc>
          <w:tcPr>
            <w:tcW w:w="1502" w:type="dxa"/>
            <w:tcBorders>
              <w:top w:val="single" w:sz="4" w:space="0" w:color="auto"/>
            </w:tcBorders>
            <w:vAlign w:val="center"/>
          </w:tcPr>
          <w:p w14:paraId="68634FED" w14:textId="77777777" w:rsidR="005D697B" w:rsidRPr="009F1618" w:rsidRDefault="002B2EB9"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0.07</m:t>
                </m:r>
              </m:oMath>
            </m:oMathPara>
          </w:p>
          <w:p w14:paraId="29CF6317" w14:textId="79DDF38A" w:rsidR="00ED366A" w:rsidRPr="009F1618" w:rsidDel="00E01670" w:rsidRDefault="00ED366A"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(1.16)</m:t>
                </m:r>
              </m:oMath>
            </m:oMathPara>
          </w:p>
        </w:tc>
        <w:tc>
          <w:tcPr>
            <w:tcW w:w="1516" w:type="dxa"/>
            <w:tcBorders>
              <w:top w:val="single" w:sz="4" w:space="0" w:color="auto"/>
            </w:tcBorders>
            <w:vAlign w:val="center"/>
          </w:tcPr>
          <w:p w14:paraId="1419205B" w14:textId="77777777" w:rsidR="005D697B" w:rsidRPr="009F1618" w:rsidRDefault="005D697B" w:rsidP="009F1618">
            <w:pPr>
              <w:jc w:val="both"/>
              <w:rPr>
                <w:rFonts w:ascii="Calibri" w:eastAsiaTheme="minorEastAsia" w:hAnsi="Calibri" w:cs="Calibri"/>
                <w:sz w:val="22"/>
                <w:szCs w:val="22"/>
              </w:rPr>
            </w:pPr>
          </w:p>
        </w:tc>
      </w:tr>
      <w:tr w:rsidR="005D697B" w:rsidRPr="009F1618" w14:paraId="0C44CEE2" w14:textId="77777777" w:rsidTr="00DE2164">
        <w:trPr>
          <w:cantSplit/>
        </w:trPr>
        <w:tc>
          <w:tcPr>
            <w:tcW w:w="1502" w:type="dxa"/>
            <w:vAlign w:val="center"/>
          </w:tcPr>
          <w:p w14:paraId="12ADE1FA" w14:textId="1584716F" w:rsidR="005D697B" w:rsidRPr="009F1618" w:rsidRDefault="005D697B" w:rsidP="009F1618">
            <w:pPr>
              <w:jc w:val="both"/>
              <w:rPr>
                <w:rFonts w:ascii="Calibri" w:eastAsiaTheme="minorEastAsia" w:hAnsi="Calibri" w:cs="Calibri"/>
                <w:sz w:val="22"/>
                <w:szCs w:val="22"/>
              </w:rPr>
            </w:pPr>
            <m:oMathPara>
              <m:oMathParaPr>
                <m:jc m:val="left"/>
              </m:oMathParaPr>
              <m:oMath>
                <m:r>
                  <w:rPr>
                    <w:rFonts w:ascii="Cambria Math" w:eastAsiaTheme="minorEastAsia" w:hAnsi="Cambria Math" w:cs="Calibri"/>
                    <w:sz w:val="22"/>
                    <w:szCs w:val="22"/>
                  </w:rPr>
                  <m:t>ect2</m:t>
                </m:r>
              </m:oMath>
            </m:oMathPara>
          </w:p>
        </w:tc>
        <w:tc>
          <w:tcPr>
            <w:tcW w:w="1503" w:type="dxa"/>
            <w:vAlign w:val="center"/>
          </w:tcPr>
          <w:p w14:paraId="6DA21A0D" w14:textId="1DEBD3DB" w:rsidR="005D697B" w:rsidRPr="009F1618" w:rsidRDefault="00E1356D" w:rsidP="009F1618">
            <w:pPr>
              <w:jc w:val="both"/>
              <w:rPr>
                <w:rFonts w:ascii="Calibri" w:eastAsia="Times New Roman" w:hAnsi="Calibri" w:cs="Calibri"/>
                <w:sz w:val="22"/>
                <w:szCs w:val="22"/>
              </w:rPr>
            </w:pPr>
            <m:oMathPara>
              <m:oMath>
                <m:sSup>
                  <m:sSupPr>
                    <m:ctrlPr>
                      <w:rPr>
                        <w:rFonts w:ascii="Cambria Math" w:eastAsia="Times New Roman" w:hAnsi="Cambria Math" w:cs="Calibri"/>
                        <w:i/>
                        <w:sz w:val="22"/>
                        <w:szCs w:val="22"/>
                      </w:rPr>
                    </m:ctrlPr>
                  </m:sSupPr>
                  <m:e>
                    <m:r>
                      <w:rPr>
                        <w:rFonts w:ascii="Cambria Math" w:eastAsia="Times New Roman" w:hAnsi="Cambria Math" w:cs="Calibri"/>
                        <w:sz w:val="22"/>
                        <w:szCs w:val="22"/>
                      </w:rPr>
                      <m:t>0.16</m:t>
                    </m:r>
                  </m:e>
                  <m:sup>
                    <m:r>
                      <w:rPr>
                        <w:rFonts w:ascii="Cambria Math" w:eastAsia="Times New Roman" w:hAnsi="Cambria Math" w:cs="Calibri"/>
                        <w:sz w:val="22"/>
                        <w:szCs w:val="22"/>
                      </w:rPr>
                      <m:t>***</m:t>
                    </m:r>
                  </m:sup>
                </m:sSup>
              </m:oMath>
            </m:oMathPara>
          </w:p>
          <w:p w14:paraId="33C2ED4B" w14:textId="2D7624F9" w:rsidR="00676AAF" w:rsidRPr="009F1618" w:rsidDel="00E01670" w:rsidRDefault="00676AAF"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(3.04)</m:t>
                </m:r>
              </m:oMath>
            </m:oMathPara>
          </w:p>
        </w:tc>
        <w:tc>
          <w:tcPr>
            <w:tcW w:w="1502" w:type="dxa"/>
            <w:vAlign w:val="center"/>
          </w:tcPr>
          <w:p w14:paraId="6EE65FA6" w14:textId="77777777" w:rsidR="005D697B" w:rsidRPr="009F1618" w:rsidRDefault="000B03DA"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m:t>
                </m:r>
                <m:sSup>
                  <m:sSupPr>
                    <m:ctrlPr>
                      <w:rPr>
                        <w:rFonts w:ascii="Cambria Math" w:eastAsia="Times New Roman" w:hAnsi="Cambria Math" w:cs="Calibri"/>
                        <w:i/>
                        <w:sz w:val="22"/>
                        <w:szCs w:val="22"/>
                      </w:rPr>
                    </m:ctrlPr>
                  </m:sSupPr>
                  <m:e>
                    <m:r>
                      <w:rPr>
                        <w:rFonts w:ascii="Cambria Math" w:eastAsia="Times New Roman" w:hAnsi="Cambria Math" w:cs="Calibri"/>
                        <w:sz w:val="22"/>
                        <w:szCs w:val="22"/>
                      </w:rPr>
                      <m:t>0.10</m:t>
                    </m:r>
                  </m:e>
                  <m:sup>
                    <m:r>
                      <w:rPr>
                        <w:rFonts w:ascii="Cambria Math" w:eastAsia="Times New Roman" w:hAnsi="Cambria Math" w:cs="Calibri"/>
                        <w:sz w:val="22"/>
                        <w:szCs w:val="22"/>
                      </w:rPr>
                      <m:t>*</m:t>
                    </m:r>
                  </m:sup>
                </m:sSup>
              </m:oMath>
            </m:oMathPara>
          </w:p>
          <w:p w14:paraId="581615EF" w14:textId="033D2F02" w:rsidR="00D26E62" w:rsidRPr="009F1618" w:rsidDel="00E01670" w:rsidRDefault="00D26E62"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(-1.89)</m:t>
                </m:r>
              </m:oMath>
            </m:oMathPara>
          </w:p>
        </w:tc>
        <w:tc>
          <w:tcPr>
            <w:tcW w:w="1501" w:type="dxa"/>
            <w:vAlign w:val="center"/>
          </w:tcPr>
          <w:p w14:paraId="6A9241A4" w14:textId="77777777" w:rsidR="005D697B" w:rsidRPr="009F1618" w:rsidRDefault="002C1909"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-0.07</m:t>
                </m:r>
              </m:oMath>
            </m:oMathPara>
          </w:p>
          <w:p w14:paraId="62545ACC" w14:textId="4BB1AF64" w:rsidR="002C1909" w:rsidRPr="009F1618" w:rsidDel="00E01670" w:rsidRDefault="002C1909"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(-1.12)</m:t>
                </m:r>
              </m:oMath>
            </m:oMathPara>
          </w:p>
        </w:tc>
        <w:tc>
          <w:tcPr>
            <w:tcW w:w="1502" w:type="dxa"/>
            <w:vAlign w:val="center"/>
          </w:tcPr>
          <w:p w14:paraId="39BDEB3F" w14:textId="77777777" w:rsidR="005D697B" w:rsidRPr="009F1618" w:rsidRDefault="00ED366A"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0.08</m:t>
                </m:r>
              </m:oMath>
            </m:oMathPara>
          </w:p>
          <w:p w14:paraId="592C304E" w14:textId="296FBBAE" w:rsidR="00ED366A" w:rsidRPr="009F1618" w:rsidDel="00E01670" w:rsidRDefault="00ED366A" w:rsidP="009F1618">
            <w:pPr>
              <w:jc w:val="both"/>
              <w:rPr>
                <w:rFonts w:ascii="Calibri" w:eastAsia="Times New Roman" w:hAnsi="Calibri" w:cs="Calibri"/>
                <w:sz w:val="22"/>
                <w:szCs w:val="22"/>
              </w:rPr>
            </w:pPr>
            <m:oMathPara>
              <m:oMath>
                <m:r>
                  <w:rPr>
                    <w:rFonts w:ascii="Cambria Math" w:eastAsia="Times New Roman" w:hAnsi="Cambria Math" w:cs="Calibri"/>
                    <w:sz w:val="22"/>
                    <w:szCs w:val="22"/>
                  </w:rPr>
                  <m:t>(1.57)</m:t>
                </m:r>
              </m:oMath>
            </m:oMathPara>
          </w:p>
        </w:tc>
        <w:tc>
          <w:tcPr>
            <w:tcW w:w="1516" w:type="dxa"/>
            <w:vAlign w:val="center"/>
          </w:tcPr>
          <w:p w14:paraId="0F460545" w14:textId="77777777" w:rsidR="005D697B" w:rsidRPr="009F1618" w:rsidRDefault="005D697B" w:rsidP="009F1618">
            <w:pPr>
              <w:jc w:val="both"/>
              <w:rPr>
                <w:rFonts w:ascii="Calibri" w:eastAsiaTheme="minorEastAsia" w:hAnsi="Calibri" w:cs="Calibri"/>
                <w:sz w:val="22"/>
                <w:szCs w:val="22"/>
              </w:rPr>
            </w:pPr>
          </w:p>
        </w:tc>
      </w:tr>
      <w:tr w:rsidR="005D697B" w:rsidRPr="009F1618" w14:paraId="326DDFD9" w14:textId="77777777" w:rsidTr="00DE2164">
        <w:trPr>
          <w:cantSplit/>
        </w:trPr>
        <w:tc>
          <w:tcPr>
            <w:tcW w:w="9026" w:type="dxa"/>
            <w:gridSpan w:val="6"/>
            <w:tcBorders>
              <w:top w:val="single" w:sz="4" w:space="0" w:color="auto"/>
              <w:bottom w:val="single" w:sz="4" w:space="0" w:color="auto"/>
            </w:tcBorders>
            <w:vAlign w:val="center"/>
          </w:tcPr>
          <w:p w14:paraId="4AD397A8" w14:textId="77777777" w:rsidR="005D697B" w:rsidRPr="009F1618" w:rsidRDefault="005D697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WMP</w:t>
            </w:r>
          </w:p>
        </w:tc>
      </w:tr>
      <w:tr w:rsidR="005D697B" w:rsidRPr="009F1618" w14:paraId="218048C7" w14:textId="77777777" w:rsidTr="00DE2164">
        <w:trPr>
          <w:cantSplit/>
        </w:trPr>
        <w:tc>
          <w:tcPr>
            <w:tcW w:w="1502" w:type="dxa"/>
            <w:tcBorders>
              <w:top w:val="single" w:sz="4" w:space="0" w:color="auto"/>
              <w:bottom w:val="single" w:sz="4" w:space="0" w:color="auto"/>
            </w:tcBorders>
            <w:vAlign w:val="center"/>
          </w:tcPr>
          <w:p w14:paraId="3C315D2D" w14:textId="77777777" w:rsidR="005D697B" w:rsidRPr="009F1618" w:rsidRDefault="005D697B" w:rsidP="009F1618">
            <w:pPr>
              <w:jc w:val="both"/>
              <w:rPr>
                <w:rFonts w:ascii="Calibri" w:eastAsiaTheme="minorEastAsia" w:hAnsi="Calibri" w:cs="Calibri"/>
                <w:sz w:val="22"/>
                <w:szCs w:val="22"/>
              </w:rPr>
            </w:pPr>
          </w:p>
        </w:tc>
        <w:tc>
          <w:tcPr>
            <w:tcW w:w="1503" w:type="dxa"/>
            <w:tcBorders>
              <w:top w:val="single" w:sz="4" w:space="0" w:color="auto"/>
              <w:bottom w:val="single" w:sz="4" w:space="0" w:color="auto"/>
            </w:tcBorders>
            <w:vAlign w:val="center"/>
          </w:tcPr>
          <w:p w14:paraId="4CD05CEA" w14:textId="2CD6365B" w:rsidR="005D697B" w:rsidRPr="009F1618" w:rsidRDefault="005D697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NZ</w:t>
            </w:r>
          </w:p>
        </w:tc>
        <w:tc>
          <w:tcPr>
            <w:tcW w:w="1502" w:type="dxa"/>
            <w:tcBorders>
              <w:top w:val="single" w:sz="4" w:space="0" w:color="auto"/>
              <w:bottom w:val="single" w:sz="4" w:space="0" w:color="auto"/>
            </w:tcBorders>
            <w:vAlign w:val="center"/>
          </w:tcPr>
          <w:p w14:paraId="7089677A" w14:textId="30F005FE" w:rsidR="005D697B" w:rsidRPr="009F1618" w:rsidRDefault="005D697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AU</w:t>
            </w:r>
          </w:p>
        </w:tc>
        <w:tc>
          <w:tcPr>
            <w:tcW w:w="1501" w:type="dxa"/>
            <w:tcBorders>
              <w:top w:val="single" w:sz="4" w:space="0" w:color="auto"/>
              <w:bottom w:val="single" w:sz="4" w:space="0" w:color="auto"/>
            </w:tcBorders>
            <w:vAlign w:val="center"/>
          </w:tcPr>
          <w:p w14:paraId="6253B7CB" w14:textId="0322BF50" w:rsidR="005D697B" w:rsidRPr="009F1618" w:rsidRDefault="005D697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EU</w:t>
            </w:r>
          </w:p>
        </w:tc>
        <w:tc>
          <w:tcPr>
            <w:tcW w:w="1502" w:type="dxa"/>
            <w:tcBorders>
              <w:top w:val="single" w:sz="4" w:space="0" w:color="auto"/>
              <w:bottom w:val="single" w:sz="4" w:space="0" w:color="auto"/>
            </w:tcBorders>
            <w:vAlign w:val="center"/>
          </w:tcPr>
          <w:p w14:paraId="40BEC5FB" w14:textId="77777777" w:rsidR="005D697B" w:rsidRPr="009F1618" w:rsidRDefault="005D697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US</w:t>
            </w:r>
          </w:p>
        </w:tc>
        <w:tc>
          <w:tcPr>
            <w:tcW w:w="1516" w:type="dxa"/>
            <w:tcBorders>
              <w:top w:val="single" w:sz="4" w:space="0" w:color="auto"/>
              <w:bottom w:val="single" w:sz="4" w:space="0" w:color="auto"/>
            </w:tcBorders>
            <w:vAlign w:val="center"/>
          </w:tcPr>
          <w:p w14:paraId="71BE02DA" w14:textId="671211F6" w:rsidR="005D697B" w:rsidRPr="009F1618" w:rsidRDefault="005D697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Constant</w:t>
            </w:r>
          </w:p>
        </w:tc>
      </w:tr>
      <w:tr w:rsidR="005D697B" w:rsidRPr="009F1618" w14:paraId="3B73B04D" w14:textId="77777777" w:rsidTr="00DE2164">
        <w:trPr>
          <w:cantSplit/>
        </w:trPr>
        <w:tc>
          <w:tcPr>
            <w:tcW w:w="1502" w:type="dxa"/>
            <w:tcBorders>
              <w:top w:val="single" w:sz="4" w:space="0" w:color="auto"/>
              <w:bottom w:val="single" w:sz="4" w:space="0" w:color="auto"/>
            </w:tcBorders>
            <w:vAlign w:val="center"/>
          </w:tcPr>
          <w:p w14:paraId="5174BD34" w14:textId="77777777" w:rsidR="005D697B" w:rsidRPr="009F1618" w:rsidRDefault="005D697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 xml:space="preserve">Estimated </w:t>
            </w:r>
            <m:oMath>
              <m:r>
                <w:rPr>
                  <w:rFonts w:ascii="Cambria Math" w:eastAsiaTheme="minorEastAsia" w:hAnsi="Cambria Math" w:cs="Calibri"/>
                  <w:sz w:val="22"/>
                  <w:szCs w:val="22"/>
                </w:rPr>
                <m:t>β</m:t>
              </m:r>
            </m:oMath>
            <w:r w:rsidRPr="009F1618">
              <w:rPr>
                <w:rFonts w:ascii="Calibri" w:eastAsiaTheme="minorEastAsia" w:hAnsi="Calibri" w:cs="Calibri"/>
                <w:sz w:val="22"/>
                <w:szCs w:val="22"/>
              </w:rPr>
              <w:t>s</w:t>
            </w:r>
          </w:p>
        </w:tc>
        <w:tc>
          <w:tcPr>
            <w:tcW w:w="1503" w:type="dxa"/>
            <w:tcBorders>
              <w:top w:val="single" w:sz="4" w:space="0" w:color="auto"/>
              <w:bottom w:val="single" w:sz="4" w:space="0" w:color="auto"/>
            </w:tcBorders>
            <w:vAlign w:val="center"/>
          </w:tcPr>
          <w:p w14:paraId="068B559A" w14:textId="77777777" w:rsidR="005D697B" w:rsidRPr="009F1618" w:rsidRDefault="005D697B" w:rsidP="009F1618">
            <w:pPr>
              <w:jc w:val="both"/>
              <w:rPr>
                <w:rFonts w:ascii="Calibri" w:eastAsiaTheme="minorEastAsia" w:hAnsi="Calibri" w:cs="Calibri"/>
                <w:sz w:val="22"/>
                <w:szCs w:val="22"/>
              </w:rPr>
            </w:pPr>
          </w:p>
        </w:tc>
        <w:tc>
          <w:tcPr>
            <w:tcW w:w="1502" w:type="dxa"/>
            <w:tcBorders>
              <w:top w:val="single" w:sz="4" w:space="0" w:color="auto"/>
              <w:bottom w:val="single" w:sz="4" w:space="0" w:color="auto"/>
            </w:tcBorders>
            <w:vAlign w:val="center"/>
          </w:tcPr>
          <w:p w14:paraId="2A5FA307" w14:textId="77777777" w:rsidR="005D697B" w:rsidRPr="009F1618" w:rsidRDefault="005D697B" w:rsidP="009F1618">
            <w:pPr>
              <w:jc w:val="both"/>
              <w:rPr>
                <w:rFonts w:ascii="Calibri" w:eastAsiaTheme="minorEastAsia" w:hAnsi="Calibri" w:cs="Calibri"/>
                <w:sz w:val="22"/>
                <w:szCs w:val="22"/>
              </w:rPr>
            </w:pPr>
          </w:p>
        </w:tc>
        <w:tc>
          <w:tcPr>
            <w:tcW w:w="1501" w:type="dxa"/>
            <w:tcBorders>
              <w:top w:val="single" w:sz="4" w:space="0" w:color="auto"/>
              <w:bottom w:val="single" w:sz="4" w:space="0" w:color="auto"/>
            </w:tcBorders>
            <w:vAlign w:val="center"/>
          </w:tcPr>
          <w:p w14:paraId="31FE1238" w14:textId="77777777" w:rsidR="005D697B" w:rsidRPr="009F1618" w:rsidRDefault="005D697B" w:rsidP="009F1618">
            <w:pPr>
              <w:jc w:val="both"/>
              <w:rPr>
                <w:rFonts w:ascii="Calibri" w:eastAsiaTheme="minorEastAsia" w:hAnsi="Calibri" w:cs="Calibri"/>
                <w:sz w:val="22"/>
                <w:szCs w:val="22"/>
              </w:rPr>
            </w:pPr>
          </w:p>
        </w:tc>
        <w:tc>
          <w:tcPr>
            <w:tcW w:w="1502" w:type="dxa"/>
            <w:tcBorders>
              <w:top w:val="single" w:sz="4" w:space="0" w:color="auto"/>
              <w:bottom w:val="single" w:sz="4" w:space="0" w:color="auto"/>
            </w:tcBorders>
            <w:vAlign w:val="center"/>
          </w:tcPr>
          <w:p w14:paraId="7B0DBD8A" w14:textId="77777777" w:rsidR="005D697B" w:rsidRPr="009F1618" w:rsidRDefault="005D697B" w:rsidP="009F1618">
            <w:pPr>
              <w:jc w:val="both"/>
              <w:rPr>
                <w:rFonts w:ascii="Calibri" w:eastAsiaTheme="minorEastAsia" w:hAnsi="Calibri" w:cs="Calibri"/>
                <w:sz w:val="22"/>
                <w:szCs w:val="22"/>
              </w:rPr>
            </w:pPr>
          </w:p>
        </w:tc>
        <w:tc>
          <w:tcPr>
            <w:tcW w:w="1516" w:type="dxa"/>
            <w:tcBorders>
              <w:top w:val="single" w:sz="4" w:space="0" w:color="auto"/>
              <w:bottom w:val="single" w:sz="4" w:space="0" w:color="auto"/>
            </w:tcBorders>
            <w:vAlign w:val="center"/>
          </w:tcPr>
          <w:p w14:paraId="592D571C" w14:textId="77777777" w:rsidR="005D697B" w:rsidRPr="009F1618" w:rsidRDefault="005D697B" w:rsidP="009F1618">
            <w:pPr>
              <w:jc w:val="both"/>
              <w:rPr>
                <w:rFonts w:ascii="Calibri" w:eastAsiaTheme="minorEastAsia" w:hAnsi="Calibri" w:cs="Calibri"/>
                <w:sz w:val="22"/>
                <w:szCs w:val="22"/>
              </w:rPr>
            </w:pPr>
          </w:p>
        </w:tc>
      </w:tr>
      <w:tr w:rsidR="005D697B" w:rsidRPr="009F1618" w14:paraId="7ADAA1DB" w14:textId="77777777" w:rsidTr="00DE2164">
        <w:trPr>
          <w:cantSplit/>
        </w:trPr>
        <w:tc>
          <w:tcPr>
            <w:tcW w:w="1502" w:type="dxa"/>
            <w:tcBorders>
              <w:top w:val="single" w:sz="4" w:space="0" w:color="auto"/>
            </w:tcBorders>
            <w:vAlign w:val="center"/>
          </w:tcPr>
          <w:p w14:paraId="603F5FB9" w14:textId="247FCC67" w:rsidR="005D697B" w:rsidRPr="009F1618" w:rsidRDefault="005D697B" w:rsidP="009F1618">
            <w:pPr>
              <w:jc w:val="both"/>
              <w:rPr>
                <w:rFonts w:ascii="Calibri" w:eastAsiaTheme="minorEastAsia" w:hAnsi="Calibri" w:cs="Calibri"/>
                <w:sz w:val="22"/>
                <w:szCs w:val="22"/>
              </w:rPr>
            </w:pPr>
            <m:oMathPara>
              <m:oMathParaPr>
                <m:jc m:val="left"/>
              </m:oMathParaPr>
              <m:oMath>
                <m:r>
                  <w:rPr>
                    <w:rFonts w:ascii="Cambria Math" w:eastAsiaTheme="minorEastAsia" w:hAnsi="Cambria Math" w:cs="Calibri"/>
                    <w:sz w:val="22"/>
                    <w:szCs w:val="22"/>
                  </w:rPr>
                  <m:t>ect1</m:t>
                </m:r>
              </m:oMath>
            </m:oMathPara>
          </w:p>
        </w:tc>
        <w:tc>
          <w:tcPr>
            <w:tcW w:w="1503" w:type="dxa"/>
            <w:tcBorders>
              <w:top w:val="single" w:sz="4" w:space="0" w:color="auto"/>
            </w:tcBorders>
            <w:vAlign w:val="center"/>
          </w:tcPr>
          <w:p w14:paraId="7A482FAB" w14:textId="0F006F4D"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1.00</m:t>
                </m:r>
              </m:oMath>
            </m:oMathPara>
          </w:p>
          <w:p w14:paraId="3E59AFCD" w14:textId="78FBFE26"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2" w:type="dxa"/>
            <w:tcBorders>
              <w:top w:val="single" w:sz="4" w:space="0" w:color="auto"/>
            </w:tcBorders>
            <w:vAlign w:val="center"/>
          </w:tcPr>
          <w:p w14:paraId="11BA2EE8" w14:textId="7D5900CC"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m:t>
                </m:r>
              </m:oMath>
            </m:oMathPara>
          </w:p>
          <w:p w14:paraId="2EA62F2F" w14:textId="1246AC98"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1" w:type="dxa"/>
            <w:tcBorders>
              <w:top w:val="single" w:sz="4" w:space="0" w:color="auto"/>
            </w:tcBorders>
            <w:vAlign w:val="center"/>
          </w:tcPr>
          <w:p w14:paraId="386CDAB1" w14:textId="0872C4D4"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m:t>
                </m:r>
              </m:oMath>
            </m:oMathPara>
          </w:p>
          <w:p w14:paraId="430E901E" w14:textId="446E72F0"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2" w:type="dxa"/>
            <w:tcBorders>
              <w:top w:val="single" w:sz="4" w:space="0" w:color="auto"/>
            </w:tcBorders>
            <w:vAlign w:val="center"/>
          </w:tcPr>
          <w:p w14:paraId="20BBA43E" w14:textId="3B480986"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-0.62</m:t>
                </m:r>
              </m:oMath>
            </m:oMathPara>
          </w:p>
          <w:p w14:paraId="5998B417" w14:textId="243891DB"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16" w:type="dxa"/>
            <w:tcBorders>
              <w:top w:val="single" w:sz="4" w:space="0" w:color="auto"/>
            </w:tcBorders>
            <w:vAlign w:val="center"/>
          </w:tcPr>
          <w:p w14:paraId="5241C0D4" w14:textId="55A22D86"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-3.46</m:t>
                </m:r>
              </m:oMath>
            </m:oMathPara>
          </w:p>
          <w:p w14:paraId="3F8F6320" w14:textId="2FCBAD6F"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r>
      <w:tr w:rsidR="005D697B" w:rsidRPr="009F1618" w14:paraId="0A46B295" w14:textId="77777777" w:rsidTr="00DE2164">
        <w:trPr>
          <w:cantSplit/>
        </w:trPr>
        <w:tc>
          <w:tcPr>
            <w:tcW w:w="1502" w:type="dxa"/>
            <w:vAlign w:val="center"/>
          </w:tcPr>
          <w:p w14:paraId="30804998" w14:textId="2AE21F93" w:rsidR="005D697B" w:rsidRPr="009F1618" w:rsidRDefault="005D697B" w:rsidP="009F1618">
            <w:pPr>
              <w:jc w:val="both"/>
              <w:rPr>
                <w:rFonts w:ascii="Calibri" w:eastAsiaTheme="minorEastAsia" w:hAnsi="Calibri" w:cs="Calibri"/>
                <w:sz w:val="22"/>
                <w:szCs w:val="22"/>
              </w:rPr>
            </w:pPr>
            <m:oMathPara>
              <m:oMathParaPr>
                <m:jc m:val="left"/>
              </m:oMathParaPr>
              <m:oMath>
                <m:r>
                  <w:rPr>
                    <w:rFonts w:ascii="Cambria Math" w:eastAsiaTheme="minorEastAsia" w:hAnsi="Cambria Math" w:cs="Calibri"/>
                    <w:sz w:val="22"/>
                    <w:szCs w:val="22"/>
                  </w:rPr>
                  <m:t>ect2</m:t>
                </m:r>
              </m:oMath>
            </m:oMathPara>
          </w:p>
        </w:tc>
        <w:tc>
          <w:tcPr>
            <w:tcW w:w="1503" w:type="dxa"/>
            <w:vAlign w:val="center"/>
          </w:tcPr>
          <w:p w14:paraId="44940996" w14:textId="5A809D66"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m:t>
                </m:r>
              </m:oMath>
            </m:oMathPara>
          </w:p>
          <w:p w14:paraId="7E409043" w14:textId="23EDDCE9"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2" w:type="dxa"/>
            <w:vAlign w:val="center"/>
          </w:tcPr>
          <w:p w14:paraId="0DEB5334" w14:textId="0669461D"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1.00</m:t>
                </m:r>
              </m:oMath>
            </m:oMathPara>
          </w:p>
          <w:p w14:paraId="17E3A4EB" w14:textId="720F25C3"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1" w:type="dxa"/>
            <w:vAlign w:val="center"/>
          </w:tcPr>
          <w:p w14:paraId="133A9999" w14:textId="3B535F10"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m:t>
                </m:r>
              </m:oMath>
            </m:oMathPara>
          </w:p>
          <w:p w14:paraId="4A234E56" w14:textId="05183688"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2" w:type="dxa"/>
            <w:vAlign w:val="center"/>
          </w:tcPr>
          <w:p w14:paraId="47810538" w14:textId="49B95156"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 xml:space="preserve"> 0.69</m:t>
                </m:r>
              </m:oMath>
            </m:oMathPara>
          </w:p>
          <w:p w14:paraId="3BB2163A" w14:textId="100FC927"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16" w:type="dxa"/>
            <w:vAlign w:val="center"/>
          </w:tcPr>
          <w:p w14:paraId="3A0B8397" w14:textId="655793C2"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-2.95</m:t>
                </m:r>
              </m:oMath>
            </m:oMathPara>
          </w:p>
          <w:p w14:paraId="66C40D7F" w14:textId="2A20CD7B"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r>
      <w:tr w:rsidR="005D697B" w:rsidRPr="009F1618" w14:paraId="03FB7264" w14:textId="77777777" w:rsidTr="00DE2164">
        <w:trPr>
          <w:cantSplit/>
        </w:trPr>
        <w:tc>
          <w:tcPr>
            <w:tcW w:w="1502" w:type="dxa"/>
            <w:vAlign w:val="center"/>
          </w:tcPr>
          <w:p w14:paraId="553DB1C1" w14:textId="66D6B659" w:rsidR="005D697B" w:rsidRPr="009F1618" w:rsidRDefault="005D697B" w:rsidP="009F1618">
            <w:pPr>
              <w:jc w:val="both"/>
              <w:rPr>
                <w:rFonts w:ascii="Calibri" w:eastAsiaTheme="minorEastAsia" w:hAnsi="Calibri" w:cs="Calibri"/>
                <w:sz w:val="22"/>
                <w:szCs w:val="22"/>
              </w:rPr>
            </w:pPr>
            <m:oMathPara>
              <m:oMathParaPr>
                <m:jc m:val="left"/>
              </m:oMathParaPr>
              <m:oMath>
                <m:r>
                  <w:rPr>
                    <w:rFonts w:ascii="Cambria Math" w:eastAsiaTheme="minorEastAsia" w:hAnsi="Cambria Math" w:cs="Calibri"/>
                    <w:sz w:val="22"/>
                    <w:szCs w:val="22"/>
                  </w:rPr>
                  <w:lastRenderedPageBreak/>
                  <m:t>ect3</m:t>
                </m:r>
              </m:oMath>
            </m:oMathPara>
          </w:p>
        </w:tc>
        <w:tc>
          <w:tcPr>
            <w:tcW w:w="1503" w:type="dxa"/>
            <w:vAlign w:val="center"/>
          </w:tcPr>
          <w:p w14:paraId="3AD918B9" w14:textId="132345AC"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m:t>
                </m:r>
              </m:oMath>
            </m:oMathPara>
          </w:p>
          <w:p w14:paraId="3596425B" w14:textId="6943A41F"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2" w:type="dxa"/>
            <w:vAlign w:val="center"/>
          </w:tcPr>
          <w:p w14:paraId="607C6C08" w14:textId="4B349560"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m:t>
                </m:r>
              </m:oMath>
            </m:oMathPara>
          </w:p>
          <w:p w14:paraId="204959FB" w14:textId="0A62C793"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1" w:type="dxa"/>
            <w:vAlign w:val="center"/>
          </w:tcPr>
          <w:p w14:paraId="390DBB50" w14:textId="2C4BB5A0"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1.00</m:t>
                </m:r>
              </m:oMath>
            </m:oMathPara>
          </w:p>
          <w:p w14:paraId="5ED7D0B1" w14:textId="260AB880"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02" w:type="dxa"/>
            <w:vAlign w:val="center"/>
          </w:tcPr>
          <w:p w14:paraId="186DEDF8" w14:textId="6BCC6A9E"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-0.11</m:t>
                </m:r>
              </m:oMath>
            </m:oMathPara>
          </w:p>
          <w:p w14:paraId="4C4F0A80" w14:textId="308C6639"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c>
          <w:tcPr>
            <w:tcW w:w="1516" w:type="dxa"/>
            <w:vAlign w:val="center"/>
          </w:tcPr>
          <w:p w14:paraId="0F52AE50" w14:textId="1C2313E1" w:rsidR="005D697B" w:rsidRPr="009F1618" w:rsidRDefault="00D340E2"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-9.42</m:t>
                </m:r>
              </m:oMath>
            </m:oMathPara>
          </w:p>
          <w:p w14:paraId="71F5F66C" w14:textId="2D589E04"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oMath>
            </m:oMathPara>
          </w:p>
        </w:tc>
      </w:tr>
      <w:tr w:rsidR="005D697B" w:rsidRPr="009F1618" w14:paraId="1346FEAA" w14:textId="77777777" w:rsidTr="00DE2164">
        <w:trPr>
          <w:cantSplit/>
        </w:trPr>
        <w:tc>
          <w:tcPr>
            <w:tcW w:w="1502" w:type="dxa"/>
            <w:tcBorders>
              <w:top w:val="single" w:sz="4" w:space="0" w:color="auto"/>
              <w:bottom w:val="single" w:sz="4" w:space="0" w:color="auto"/>
            </w:tcBorders>
            <w:vAlign w:val="center"/>
          </w:tcPr>
          <w:p w14:paraId="60602232" w14:textId="77777777" w:rsidR="005D697B" w:rsidRPr="009F1618" w:rsidRDefault="005D697B" w:rsidP="009F1618">
            <w:pPr>
              <w:jc w:val="both"/>
              <w:rPr>
                <w:rFonts w:ascii="Calibri" w:eastAsiaTheme="minorEastAsia" w:hAnsi="Calibri" w:cs="Calibri"/>
                <w:sz w:val="22"/>
                <w:szCs w:val="22"/>
              </w:rPr>
            </w:pPr>
            <w:r w:rsidRPr="009F1618">
              <w:rPr>
                <w:rFonts w:ascii="Calibri" w:eastAsiaTheme="minorEastAsia" w:hAnsi="Calibri" w:cs="Calibri"/>
                <w:sz w:val="22"/>
                <w:szCs w:val="22"/>
              </w:rPr>
              <w:t xml:space="preserve">Estimated </w:t>
            </w:r>
            <m:oMath>
              <m:r>
                <w:rPr>
                  <w:rFonts w:ascii="Cambria Math" w:eastAsiaTheme="minorEastAsia" w:hAnsi="Cambria Math" w:cs="Calibri"/>
                  <w:sz w:val="22"/>
                  <w:szCs w:val="22"/>
                </w:rPr>
                <m:t>α</m:t>
              </m:r>
            </m:oMath>
            <w:r w:rsidRPr="009F1618">
              <w:rPr>
                <w:rFonts w:ascii="Calibri" w:eastAsiaTheme="minorEastAsia" w:hAnsi="Calibri" w:cs="Calibri"/>
                <w:sz w:val="22"/>
                <w:szCs w:val="22"/>
              </w:rPr>
              <w:t>s</w:t>
            </w:r>
          </w:p>
        </w:tc>
        <w:tc>
          <w:tcPr>
            <w:tcW w:w="1503" w:type="dxa"/>
            <w:tcBorders>
              <w:top w:val="single" w:sz="4" w:space="0" w:color="auto"/>
              <w:bottom w:val="single" w:sz="4" w:space="0" w:color="auto"/>
            </w:tcBorders>
            <w:vAlign w:val="center"/>
          </w:tcPr>
          <w:p w14:paraId="630CB705" w14:textId="77777777" w:rsidR="005D697B" w:rsidRPr="009F1618" w:rsidRDefault="005D697B" w:rsidP="009F1618">
            <w:pPr>
              <w:jc w:val="both"/>
              <w:rPr>
                <w:rFonts w:ascii="Calibri" w:eastAsiaTheme="minorEastAsia" w:hAnsi="Calibri" w:cs="Calibri"/>
                <w:sz w:val="22"/>
                <w:szCs w:val="22"/>
              </w:rPr>
            </w:pPr>
          </w:p>
        </w:tc>
        <w:tc>
          <w:tcPr>
            <w:tcW w:w="1502" w:type="dxa"/>
            <w:tcBorders>
              <w:top w:val="single" w:sz="4" w:space="0" w:color="auto"/>
              <w:bottom w:val="single" w:sz="4" w:space="0" w:color="auto"/>
            </w:tcBorders>
            <w:vAlign w:val="center"/>
          </w:tcPr>
          <w:p w14:paraId="79D6395E" w14:textId="77777777" w:rsidR="005D697B" w:rsidRPr="009F1618" w:rsidRDefault="005D697B" w:rsidP="009F1618">
            <w:pPr>
              <w:jc w:val="both"/>
              <w:rPr>
                <w:rFonts w:ascii="Calibri" w:eastAsiaTheme="minorEastAsia" w:hAnsi="Calibri" w:cs="Calibri"/>
                <w:sz w:val="22"/>
                <w:szCs w:val="22"/>
              </w:rPr>
            </w:pPr>
          </w:p>
        </w:tc>
        <w:tc>
          <w:tcPr>
            <w:tcW w:w="1501" w:type="dxa"/>
            <w:tcBorders>
              <w:top w:val="single" w:sz="4" w:space="0" w:color="auto"/>
              <w:bottom w:val="single" w:sz="4" w:space="0" w:color="auto"/>
            </w:tcBorders>
            <w:vAlign w:val="center"/>
          </w:tcPr>
          <w:p w14:paraId="2A63C356" w14:textId="77777777" w:rsidR="005D697B" w:rsidRPr="009F1618" w:rsidRDefault="005D697B" w:rsidP="009F1618">
            <w:pPr>
              <w:jc w:val="both"/>
              <w:rPr>
                <w:rFonts w:ascii="Calibri" w:eastAsiaTheme="minorEastAsia" w:hAnsi="Calibri" w:cs="Calibri"/>
                <w:sz w:val="22"/>
                <w:szCs w:val="22"/>
              </w:rPr>
            </w:pPr>
          </w:p>
        </w:tc>
        <w:tc>
          <w:tcPr>
            <w:tcW w:w="1502" w:type="dxa"/>
            <w:tcBorders>
              <w:top w:val="single" w:sz="4" w:space="0" w:color="auto"/>
              <w:bottom w:val="single" w:sz="4" w:space="0" w:color="auto"/>
            </w:tcBorders>
            <w:vAlign w:val="center"/>
          </w:tcPr>
          <w:p w14:paraId="50497B34" w14:textId="77777777" w:rsidR="005D697B" w:rsidRPr="009F1618" w:rsidRDefault="005D697B" w:rsidP="009F1618">
            <w:pPr>
              <w:jc w:val="both"/>
              <w:rPr>
                <w:rFonts w:ascii="Calibri" w:eastAsiaTheme="minorEastAsia" w:hAnsi="Calibri" w:cs="Calibri"/>
                <w:sz w:val="22"/>
                <w:szCs w:val="22"/>
              </w:rPr>
            </w:pPr>
          </w:p>
        </w:tc>
        <w:tc>
          <w:tcPr>
            <w:tcW w:w="1516" w:type="dxa"/>
            <w:tcBorders>
              <w:top w:val="single" w:sz="4" w:space="0" w:color="auto"/>
              <w:bottom w:val="single" w:sz="4" w:space="0" w:color="auto"/>
            </w:tcBorders>
            <w:vAlign w:val="center"/>
          </w:tcPr>
          <w:p w14:paraId="2E08663D" w14:textId="77777777" w:rsidR="005D697B" w:rsidRPr="009F1618" w:rsidRDefault="005D697B" w:rsidP="009F1618">
            <w:pPr>
              <w:jc w:val="both"/>
              <w:rPr>
                <w:rFonts w:ascii="Calibri" w:eastAsiaTheme="minorEastAsia" w:hAnsi="Calibri" w:cs="Calibri"/>
                <w:sz w:val="22"/>
                <w:szCs w:val="22"/>
              </w:rPr>
            </w:pPr>
          </w:p>
        </w:tc>
      </w:tr>
      <w:tr w:rsidR="005D697B" w:rsidRPr="009F1618" w14:paraId="6A6D2548" w14:textId="77777777" w:rsidTr="00DE2164">
        <w:trPr>
          <w:cantSplit/>
        </w:trPr>
        <w:tc>
          <w:tcPr>
            <w:tcW w:w="1502" w:type="dxa"/>
            <w:tcBorders>
              <w:top w:val="single" w:sz="4" w:space="0" w:color="auto"/>
            </w:tcBorders>
            <w:vAlign w:val="center"/>
          </w:tcPr>
          <w:p w14:paraId="25A484B2" w14:textId="1C0AFF3C" w:rsidR="005D697B" w:rsidRPr="009F1618" w:rsidRDefault="005D697B" w:rsidP="009F1618">
            <w:pPr>
              <w:jc w:val="both"/>
              <w:rPr>
                <w:rFonts w:ascii="Calibri" w:eastAsiaTheme="minorEastAsia" w:hAnsi="Calibri" w:cs="Calibri"/>
                <w:sz w:val="22"/>
                <w:szCs w:val="22"/>
              </w:rPr>
            </w:pPr>
            <m:oMathPara>
              <m:oMathParaPr>
                <m:jc m:val="left"/>
              </m:oMathParaPr>
              <m:oMath>
                <m:r>
                  <w:rPr>
                    <w:rFonts w:ascii="Cambria Math" w:eastAsiaTheme="minorEastAsia" w:hAnsi="Cambria Math" w:cs="Calibri"/>
                    <w:sz w:val="22"/>
                    <w:szCs w:val="22"/>
                  </w:rPr>
                  <m:t>ect1</m:t>
                </m:r>
              </m:oMath>
            </m:oMathPara>
          </w:p>
        </w:tc>
        <w:tc>
          <w:tcPr>
            <w:tcW w:w="1503" w:type="dxa"/>
            <w:tcBorders>
              <w:top w:val="single" w:sz="4" w:space="0" w:color="auto"/>
            </w:tcBorders>
            <w:vAlign w:val="center"/>
          </w:tcPr>
          <w:p w14:paraId="33835856" w14:textId="08BE688C"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0.09</m:t>
                    </m:r>
                  </m:e>
                  <m:sup>
                    <m:r>
                      <w:rPr>
                        <w:rFonts w:ascii="Cambria Math" w:eastAsiaTheme="minorEastAsia" w:hAnsi="Cambria Math" w:cs="Calibri"/>
                        <w:sz w:val="22"/>
                        <w:szCs w:val="22"/>
                      </w:rPr>
                      <m:t>***</m:t>
                    </m:r>
                  </m:sup>
                </m:sSup>
              </m:oMath>
            </m:oMathPara>
          </w:p>
          <w:p w14:paraId="50E0B382" w14:textId="0BBD731E"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(-2.82)</m:t>
                </m:r>
              </m:oMath>
            </m:oMathPara>
          </w:p>
        </w:tc>
        <w:tc>
          <w:tcPr>
            <w:tcW w:w="1502" w:type="dxa"/>
            <w:tcBorders>
              <w:top w:val="single" w:sz="4" w:space="0" w:color="auto"/>
            </w:tcBorders>
            <w:vAlign w:val="center"/>
          </w:tcPr>
          <w:p w14:paraId="57535B04" w14:textId="7DF5F879"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0.09</m:t>
                </m:r>
              </m:oMath>
            </m:oMathPara>
          </w:p>
          <w:p w14:paraId="33D78BA9" w14:textId="604A2B19"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(1.30)</m:t>
                </m:r>
              </m:oMath>
            </m:oMathPara>
          </w:p>
        </w:tc>
        <w:tc>
          <w:tcPr>
            <w:tcW w:w="1501" w:type="dxa"/>
            <w:tcBorders>
              <w:top w:val="single" w:sz="4" w:space="0" w:color="auto"/>
            </w:tcBorders>
            <w:vAlign w:val="center"/>
          </w:tcPr>
          <w:p w14:paraId="6F1598C0" w14:textId="186442B7"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0.04</m:t>
                </m:r>
              </m:oMath>
            </m:oMathPara>
          </w:p>
          <w:p w14:paraId="2A91ED18" w14:textId="596017C8"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(0.79)</m:t>
                </m:r>
              </m:oMath>
            </m:oMathPara>
          </w:p>
        </w:tc>
        <w:tc>
          <w:tcPr>
            <w:tcW w:w="1502" w:type="dxa"/>
            <w:tcBorders>
              <w:top w:val="single" w:sz="4" w:space="0" w:color="auto"/>
            </w:tcBorders>
            <w:vAlign w:val="center"/>
          </w:tcPr>
          <w:p w14:paraId="3B418890" w14:textId="1E43D069" w:rsidR="005D697B" w:rsidRPr="009F1618" w:rsidRDefault="00E1356D" w:rsidP="009F1618">
            <w:pPr>
              <w:jc w:val="both"/>
              <w:rPr>
                <w:rFonts w:ascii="Cambria Math" w:eastAsiaTheme="minorEastAsia" w:hAnsi="Cambria Math" w:cs="Calibri"/>
                <w:sz w:val="22"/>
                <w:szCs w:val="22"/>
                <w:oMath/>
              </w:rPr>
            </w:pPr>
            <m:oMathPara>
              <m:oMath>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0.30</m:t>
                    </m:r>
                  </m:e>
                  <m:sup>
                    <m:r>
                      <w:rPr>
                        <w:rFonts w:ascii="Cambria Math" w:eastAsiaTheme="minorEastAsia" w:hAnsi="Cambria Math" w:cs="Calibri"/>
                        <w:sz w:val="22"/>
                        <w:szCs w:val="22"/>
                      </w:rPr>
                      <m:t>***</m:t>
                    </m:r>
                  </m:sup>
                </m:sSup>
              </m:oMath>
            </m:oMathPara>
          </w:p>
          <w:p w14:paraId="5C20C3CB" w14:textId="3322AD05"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(2.69)</m:t>
                </m:r>
              </m:oMath>
            </m:oMathPara>
          </w:p>
        </w:tc>
        <w:tc>
          <w:tcPr>
            <w:tcW w:w="1516" w:type="dxa"/>
            <w:tcBorders>
              <w:top w:val="single" w:sz="4" w:space="0" w:color="auto"/>
            </w:tcBorders>
            <w:vAlign w:val="center"/>
          </w:tcPr>
          <w:p w14:paraId="70042786" w14:textId="77777777" w:rsidR="005D697B" w:rsidRPr="009F1618" w:rsidRDefault="005D697B" w:rsidP="009F1618">
            <w:pPr>
              <w:jc w:val="both"/>
              <w:rPr>
                <w:rFonts w:ascii="Calibri" w:eastAsiaTheme="minorEastAsia" w:hAnsi="Calibri" w:cs="Calibri"/>
                <w:sz w:val="22"/>
                <w:szCs w:val="22"/>
              </w:rPr>
            </w:pPr>
          </w:p>
        </w:tc>
      </w:tr>
      <w:tr w:rsidR="005D697B" w:rsidRPr="009F1618" w14:paraId="0317CD7F" w14:textId="77777777" w:rsidTr="00DE2164">
        <w:trPr>
          <w:cantSplit/>
        </w:trPr>
        <w:tc>
          <w:tcPr>
            <w:tcW w:w="1502" w:type="dxa"/>
            <w:vAlign w:val="center"/>
          </w:tcPr>
          <w:p w14:paraId="783C20AE" w14:textId="5C37C1C4" w:rsidR="005D697B" w:rsidRPr="009F1618" w:rsidRDefault="005D697B" w:rsidP="009F1618">
            <w:pPr>
              <w:jc w:val="both"/>
              <w:rPr>
                <w:rFonts w:ascii="Calibri" w:eastAsiaTheme="minorEastAsia" w:hAnsi="Calibri" w:cs="Calibri"/>
                <w:sz w:val="22"/>
                <w:szCs w:val="22"/>
              </w:rPr>
            </w:pPr>
            <m:oMathPara>
              <m:oMathParaPr>
                <m:jc m:val="left"/>
              </m:oMathParaPr>
              <m:oMath>
                <m:r>
                  <w:rPr>
                    <w:rFonts w:ascii="Cambria Math" w:eastAsiaTheme="minorEastAsia" w:hAnsi="Cambria Math" w:cs="Calibri"/>
                    <w:sz w:val="22"/>
                    <w:szCs w:val="22"/>
                  </w:rPr>
                  <m:t>ect2</m:t>
                </m:r>
              </m:oMath>
            </m:oMathPara>
          </w:p>
        </w:tc>
        <w:tc>
          <w:tcPr>
            <w:tcW w:w="1503" w:type="dxa"/>
            <w:vAlign w:val="center"/>
          </w:tcPr>
          <w:p w14:paraId="35BEB822" w14:textId="54545489" w:rsidR="005D697B" w:rsidRPr="009F1618" w:rsidRDefault="00E1356D" w:rsidP="009F1618">
            <w:pPr>
              <w:jc w:val="both"/>
              <w:rPr>
                <w:rFonts w:ascii="Cambria Math" w:eastAsiaTheme="minorEastAsia" w:hAnsi="Cambria Math" w:cs="Calibri"/>
                <w:sz w:val="22"/>
                <w:szCs w:val="22"/>
                <w:oMath/>
              </w:rPr>
            </w:pPr>
            <m:oMathPara>
              <m:oMath>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0.05</m:t>
                    </m:r>
                  </m:e>
                  <m:sup>
                    <m:r>
                      <w:rPr>
                        <w:rFonts w:ascii="Cambria Math" w:eastAsiaTheme="minorEastAsia" w:hAnsi="Cambria Math" w:cs="Calibri"/>
                        <w:sz w:val="22"/>
                        <w:szCs w:val="22"/>
                      </w:rPr>
                      <m:t>*</m:t>
                    </m:r>
                  </m:sup>
                </m:sSup>
              </m:oMath>
            </m:oMathPara>
          </w:p>
          <w:p w14:paraId="70AAD32E" w14:textId="423BDCB1"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(1.96)</m:t>
                </m:r>
              </m:oMath>
            </m:oMathPara>
          </w:p>
        </w:tc>
        <w:tc>
          <w:tcPr>
            <w:tcW w:w="1502" w:type="dxa"/>
            <w:vAlign w:val="center"/>
          </w:tcPr>
          <w:p w14:paraId="64747BF4" w14:textId="0D8E52BD"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0.19</m:t>
                    </m:r>
                  </m:e>
                  <m:sup>
                    <m:r>
                      <w:rPr>
                        <w:rFonts w:ascii="Cambria Math" w:eastAsiaTheme="minorEastAsia" w:hAnsi="Cambria Math" w:cs="Calibri"/>
                        <w:sz w:val="22"/>
                        <w:szCs w:val="22"/>
                      </w:rPr>
                      <m:t>***</m:t>
                    </m:r>
                  </m:sup>
                </m:sSup>
              </m:oMath>
            </m:oMathPara>
          </w:p>
          <w:p w14:paraId="63C41D60" w14:textId="2808C75F"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(-3.66)</m:t>
                </m:r>
              </m:oMath>
            </m:oMathPara>
          </w:p>
        </w:tc>
        <w:tc>
          <w:tcPr>
            <w:tcW w:w="1501" w:type="dxa"/>
            <w:vAlign w:val="center"/>
          </w:tcPr>
          <w:p w14:paraId="75A7CEA1" w14:textId="73D54F84"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r>
                  <m:rPr>
                    <m:sty m:val="p"/>
                  </m:rPr>
                  <w:rPr>
                    <w:rFonts w:ascii="Cambria Math" w:eastAsiaTheme="minorEastAsia" w:hAnsi="Cambria Math" w:cs="Calibri"/>
                    <w:sz w:val="22"/>
                    <w:szCs w:val="22"/>
                  </w:rPr>
                  <m:t>0.02</m:t>
                </m:r>
              </m:oMath>
            </m:oMathPara>
          </w:p>
          <w:p w14:paraId="41AEDFC3" w14:textId="2FECFC90"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(0.59)</m:t>
                </m:r>
              </m:oMath>
            </m:oMathPara>
          </w:p>
        </w:tc>
        <w:tc>
          <w:tcPr>
            <w:tcW w:w="1502" w:type="dxa"/>
            <w:vAlign w:val="center"/>
          </w:tcPr>
          <w:p w14:paraId="6CCB1D9E" w14:textId="2A6BC55B"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0.04</m:t>
                </m:r>
              </m:oMath>
            </m:oMathPara>
          </w:p>
          <w:p w14:paraId="473C382D" w14:textId="393A0546"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(0.48)</m:t>
                </m:r>
              </m:oMath>
            </m:oMathPara>
          </w:p>
        </w:tc>
        <w:tc>
          <w:tcPr>
            <w:tcW w:w="1516" w:type="dxa"/>
            <w:vAlign w:val="center"/>
          </w:tcPr>
          <w:p w14:paraId="6C43E0E6" w14:textId="77777777" w:rsidR="005D697B" w:rsidRPr="009F1618" w:rsidRDefault="005D697B" w:rsidP="009F1618">
            <w:pPr>
              <w:jc w:val="both"/>
              <w:rPr>
                <w:rFonts w:ascii="Calibri" w:eastAsiaTheme="minorEastAsia" w:hAnsi="Calibri" w:cs="Calibri"/>
                <w:sz w:val="22"/>
                <w:szCs w:val="22"/>
              </w:rPr>
            </w:pPr>
          </w:p>
        </w:tc>
      </w:tr>
      <w:tr w:rsidR="005D697B" w:rsidRPr="009F1618" w14:paraId="5D93C9DE" w14:textId="77777777" w:rsidTr="00DE2164">
        <w:trPr>
          <w:cantSplit/>
        </w:trPr>
        <w:tc>
          <w:tcPr>
            <w:tcW w:w="1502" w:type="dxa"/>
            <w:tcBorders>
              <w:bottom w:val="double" w:sz="4" w:space="0" w:color="auto"/>
            </w:tcBorders>
            <w:vAlign w:val="center"/>
          </w:tcPr>
          <w:p w14:paraId="43333104" w14:textId="520FA846" w:rsidR="005D697B" w:rsidRPr="009F1618" w:rsidRDefault="005D697B" w:rsidP="009F1618">
            <w:pPr>
              <w:jc w:val="both"/>
              <w:rPr>
                <w:rFonts w:ascii="Calibri" w:eastAsiaTheme="minorEastAsia" w:hAnsi="Calibri" w:cs="Calibri"/>
                <w:sz w:val="22"/>
                <w:szCs w:val="22"/>
              </w:rPr>
            </w:pPr>
            <m:oMathPara>
              <m:oMathParaPr>
                <m:jc m:val="left"/>
              </m:oMathParaPr>
              <m:oMath>
                <m:r>
                  <w:rPr>
                    <w:rFonts w:ascii="Cambria Math" w:eastAsiaTheme="minorEastAsia" w:hAnsi="Cambria Math" w:cs="Calibri"/>
                    <w:sz w:val="22"/>
                    <w:szCs w:val="22"/>
                  </w:rPr>
                  <m:t>ect3</m:t>
                </m:r>
              </m:oMath>
            </m:oMathPara>
          </w:p>
        </w:tc>
        <w:tc>
          <w:tcPr>
            <w:tcW w:w="1503" w:type="dxa"/>
            <w:tcBorders>
              <w:bottom w:val="double" w:sz="4" w:space="0" w:color="auto"/>
            </w:tcBorders>
            <w:vAlign w:val="center"/>
          </w:tcPr>
          <w:p w14:paraId="1DEC42EB" w14:textId="01E92C18" w:rsidR="005D697B" w:rsidRPr="009F1618" w:rsidRDefault="00AE6590" w:rsidP="009F1618">
            <w:pPr>
              <w:jc w:val="both"/>
              <w:rPr>
                <w:rFonts w:ascii="Cambria Math" w:eastAsiaTheme="minorEastAsia" w:hAnsi="Cambria Math" w:cs="Calibri"/>
                <w:sz w:val="22"/>
                <w:szCs w:val="22"/>
                <w:oMath/>
              </w:rPr>
            </w:pPr>
            <m:oMathPara>
              <m:oMath>
                <m:r>
                  <m:rPr>
                    <m:sty m:val="p"/>
                  </m:rPr>
                  <w:rPr>
                    <w:rFonts w:ascii="Cambria Math" w:eastAsiaTheme="minorEastAsia" w:hAnsi="Cambria Math" w:cs="Calibri"/>
                    <w:sz w:val="22"/>
                    <w:szCs w:val="22"/>
                  </w:rPr>
                  <m:t>-0.01</m:t>
                </m:r>
              </m:oMath>
            </m:oMathPara>
          </w:p>
          <w:p w14:paraId="0BD00166" w14:textId="694D4A24"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(-0.01)</m:t>
                </m:r>
              </m:oMath>
            </m:oMathPara>
          </w:p>
        </w:tc>
        <w:tc>
          <w:tcPr>
            <w:tcW w:w="1502" w:type="dxa"/>
            <w:tcBorders>
              <w:bottom w:val="double" w:sz="4" w:space="0" w:color="auto"/>
            </w:tcBorders>
            <w:vAlign w:val="center"/>
          </w:tcPr>
          <w:p w14:paraId="45D2593B" w14:textId="5522347A" w:rsidR="005D697B" w:rsidRPr="009F1618" w:rsidRDefault="00E91399"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-0.03</m:t>
                </m:r>
              </m:oMath>
            </m:oMathPara>
          </w:p>
          <w:p w14:paraId="31B60899" w14:textId="1C43FE4B"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(0.62)</m:t>
                </m:r>
              </m:oMath>
            </m:oMathPara>
          </w:p>
        </w:tc>
        <w:tc>
          <w:tcPr>
            <w:tcW w:w="1501" w:type="dxa"/>
            <w:tcBorders>
              <w:bottom w:val="double" w:sz="4" w:space="0" w:color="auto"/>
            </w:tcBorders>
            <w:vAlign w:val="center"/>
          </w:tcPr>
          <w:p w14:paraId="2F749918" w14:textId="777F5224" w:rsidR="005D697B" w:rsidRPr="009F1618" w:rsidRDefault="00AB1060"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m:t>
                </m:r>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0.13</m:t>
                    </m:r>
                  </m:e>
                  <m:sup>
                    <m:r>
                      <w:rPr>
                        <w:rFonts w:ascii="Cambria Math" w:eastAsiaTheme="minorEastAsia" w:hAnsi="Cambria Math" w:cs="Calibri"/>
                        <w:sz w:val="22"/>
                        <w:szCs w:val="22"/>
                      </w:rPr>
                      <m:t>***</m:t>
                    </m:r>
                  </m:sup>
                </m:sSup>
              </m:oMath>
            </m:oMathPara>
          </w:p>
          <w:p w14:paraId="2721FA72" w14:textId="6A7F398B"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(-3.76)</m:t>
                </m:r>
              </m:oMath>
            </m:oMathPara>
          </w:p>
        </w:tc>
        <w:tc>
          <w:tcPr>
            <w:tcW w:w="1502" w:type="dxa"/>
            <w:tcBorders>
              <w:bottom w:val="double" w:sz="4" w:space="0" w:color="auto"/>
            </w:tcBorders>
            <w:vAlign w:val="center"/>
          </w:tcPr>
          <w:p w14:paraId="5D91C140" w14:textId="0BFF7F6E" w:rsidR="005D697B" w:rsidRPr="009F1618" w:rsidRDefault="00E1356D" w:rsidP="009F1618">
            <w:pPr>
              <w:jc w:val="both"/>
              <w:rPr>
                <w:rFonts w:ascii="Cambria Math" w:eastAsiaTheme="minorEastAsia" w:hAnsi="Cambria Math" w:cs="Calibri"/>
                <w:sz w:val="22"/>
                <w:szCs w:val="22"/>
                <w:oMath/>
              </w:rPr>
            </w:pPr>
            <m:oMathPara>
              <m:oMath>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-0.17</m:t>
                    </m:r>
                  </m:e>
                  <m:sup>
                    <m:r>
                      <w:rPr>
                        <w:rFonts w:ascii="Cambria Math" w:eastAsiaTheme="minorEastAsia" w:hAnsi="Cambria Math" w:cs="Calibri"/>
                        <w:sz w:val="22"/>
                        <w:szCs w:val="22"/>
                      </w:rPr>
                      <m:t>**</m:t>
                    </m:r>
                  </m:sup>
                </m:sSup>
              </m:oMath>
            </m:oMathPara>
          </w:p>
          <w:p w14:paraId="3BAFAC49" w14:textId="63C853C9" w:rsidR="005D697B" w:rsidRPr="009F1618" w:rsidRDefault="005D697B" w:rsidP="009F1618">
            <w:pPr>
              <w:jc w:val="both"/>
              <w:rPr>
                <w:rFonts w:ascii="Cambria Math" w:eastAsiaTheme="minorEastAsia" w:hAnsi="Cambria Math" w:cs="Calibri"/>
                <w:sz w:val="22"/>
                <w:szCs w:val="22"/>
                <w:oMath/>
              </w:rPr>
            </w:pPr>
            <m:oMathPara>
              <m:oMath>
                <m:r>
                  <w:rPr>
                    <w:rFonts w:ascii="Cambria Math" w:eastAsiaTheme="minorEastAsia" w:hAnsi="Cambria Math" w:cs="Calibri"/>
                    <w:sz w:val="22"/>
                    <w:szCs w:val="22"/>
                  </w:rPr>
                  <m:t>(-2.54)</m:t>
                </m:r>
              </m:oMath>
            </m:oMathPara>
          </w:p>
        </w:tc>
        <w:tc>
          <w:tcPr>
            <w:tcW w:w="1516" w:type="dxa"/>
            <w:tcBorders>
              <w:bottom w:val="double" w:sz="4" w:space="0" w:color="auto"/>
            </w:tcBorders>
            <w:vAlign w:val="center"/>
          </w:tcPr>
          <w:p w14:paraId="5D7145E8" w14:textId="77777777" w:rsidR="005D697B" w:rsidRPr="009F1618" w:rsidRDefault="005D697B" w:rsidP="009F1618">
            <w:pPr>
              <w:jc w:val="both"/>
              <w:rPr>
                <w:rFonts w:ascii="Calibri" w:eastAsiaTheme="minorEastAsia" w:hAnsi="Calibri" w:cs="Calibri"/>
                <w:sz w:val="22"/>
                <w:szCs w:val="22"/>
              </w:rPr>
            </w:pPr>
          </w:p>
        </w:tc>
      </w:tr>
      <w:tr w:rsidR="005D697B" w:rsidRPr="009F1618" w14:paraId="69699512" w14:textId="77777777" w:rsidTr="00DE2164">
        <w:trPr>
          <w:cantSplit/>
        </w:trPr>
        <w:tc>
          <w:tcPr>
            <w:tcW w:w="9026" w:type="dxa"/>
            <w:gridSpan w:val="6"/>
            <w:tcBorders>
              <w:top w:val="double" w:sz="4" w:space="0" w:color="auto"/>
            </w:tcBorders>
            <w:vAlign w:val="center"/>
          </w:tcPr>
          <w:p w14:paraId="452CA38D" w14:textId="77777777" w:rsidR="005D697B" w:rsidRPr="009F1618" w:rsidRDefault="005D697B" w:rsidP="009F1618">
            <w:pPr>
              <w:jc w:val="both"/>
              <w:rPr>
                <w:rFonts w:ascii="Calibri" w:eastAsiaTheme="minorEastAsia" w:hAnsi="Calibri" w:cs="Calibri"/>
                <w:i/>
                <w:iCs/>
                <w:sz w:val="22"/>
                <w:szCs w:val="22"/>
              </w:rPr>
            </w:pPr>
            <w:r w:rsidRPr="009F1618">
              <w:rPr>
                <w:rFonts w:ascii="Calibri" w:eastAsiaTheme="minorEastAsia" w:hAnsi="Calibri" w:cs="Calibri"/>
                <w:i/>
                <w:iCs/>
                <w:sz w:val="22"/>
                <w:szCs w:val="22"/>
              </w:rPr>
              <w:t xml:space="preserve">Notes: T-ratios for </w:t>
            </w:r>
            <m:oMath>
              <m:r>
                <w:rPr>
                  <w:rFonts w:ascii="Cambria Math" w:eastAsiaTheme="minorEastAsia" w:hAnsi="Cambria Math" w:cs="Calibri"/>
                  <w:sz w:val="22"/>
                  <w:szCs w:val="22"/>
                </w:rPr>
                <m:t>β</m:t>
              </m:r>
            </m:oMath>
            <w:r w:rsidRPr="009F1618">
              <w:rPr>
                <w:rFonts w:ascii="Calibri" w:eastAsiaTheme="minorEastAsia" w:hAnsi="Calibri" w:cs="Calibri"/>
                <w:i/>
                <w:iCs/>
                <w:sz w:val="22"/>
                <w:szCs w:val="22"/>
              </w:rPr>
              <w:t xml:space="preserve"> coefficients are not calculated. Figures in parentheses are t-values.</w:t>
            </w:r>
          </w:p>
          <w:p w14:paraId="56CF4A7E" w14:textId="1947ADE8" w:rsidR="005D697B" w:rsidRPr="009F1618" w:rsidRDefault="005D697B" w:rsidP="009F1618">
            <w:pPr>
              <w:jc w:val="both"/>
              <w:rPr>
                <w:rFonts w:ascii="Calibri" w:eastAsiaTheme="minorEastAsia" w:hAnsi="Calibri" w:cs="Calibri"/>
                <w:i/>
                <w:iCs/>
                <w:sz w:val="22"/>
                <w:szCs w:val="22"/>
              </w:rPr>
            </w:pPr>
            <w:r w:rsidRPr="009F1618">
              <w:rPr>
                <w:rFonts w:ascii="Calibri" w:eastAsiaTheme="minorEastAsia" w:hAnsi="Calibri" w:cs="Calibri"/>
                <w:i/>
                <w:iCs/>
                <w:sz w:val="22"/>
                <w:szCs w:val="22"/>
              </w:rPr>
              <w:t>Significance: *** 1 per</w:t>
            </w:r>
            <w:r w:rsidR="007748BE">
              <w:rPr>
                <w:rFonts w:ascii="Calibri" w:eastAsiaTheme="minorEastAsia" w:hAnsi="Calibri" w:cs="Calibri"/>
                <w:i/>
                <w:iCs/>
                <w:sz w:val="22"/>
                <w:szCs w:val="22"/>
              </w:rPr>
              <w:t xml:space="preserve"> </w:t>
            </w:r>
            <w:r w:rsidRPr="009F1618">
              <w:rPr>
                <w:rFonts w:ascii="Calibri" w:eastAsiaTheme="minorEastAsia" w:hAnsi="Calibri" w:cs="Calibri"/>
                <w:i/>
                <w:iCs/>
                <w:sz w:val="22"/>
                <w:szCs w:val="22"/>
              </w:rPr>
              <w:t>cent; ** 5 per</w:t>
            </w:r>
            <w:r w:rsidR="007748BE">
              <w:rPr>
                <w:rFonts w:ascii="Calibri" w:eastAsiaTheme="minorEastAsia" w:hAnsi="Calibri" w:cs="Calibri"/>
                <w:i/>
                <w:iCs/>
                <w:sz w:val="22"/>
                <w:szCs w:val="22"/>
              </w:rPr>
              <w:t xml:space="preserve"> </w:t>
            </w:r>
            <w:r w:rsidRPr="009F1618">
              <w:rPr>
                <w:rFonts w:ascii="Calibri" w:eastAsiaTheme="minorEastAsia" w:hAnsi="Calibri" w:cs="Calibri"/>
                <w:i/>
                <w:iCs/>
                <w:sz w:val="22"/>
                <w:szCs w:val="22"/>
              </w:rPr>
              <w:t>cent; * 10 per</w:t>
            </w:r>
            <w:r w:rsidR="007748BE">
              <w:rPr>
                <w:rFonts w:ascii="Calibri" w:eastAsiaTheme="minorEastAsia" w:hAnsi="Calibri" w:cs="Calibri"/>
                <w:i/>
                <w:iCs/>
                <w:sz w:val="22"/>
                <w:szCs w:val="22"/>
              </w:rPr>
              <w:t xml:space="preserve"> </w:t>
            </w:r>
            <w:r w:rsidRPr="009F1618">
              <w:rPr>
                <w:rFonts w:ascii="Calibri" w:eastAsiaTheme="minorEastAsia" w:hAnsi="Calibri" w:cs="Calibri"/>
                <w:i/>
                <w:iCs/>
                <w:sz w:val="22"/>
                <w:szCs w:val="22"/>
              </w:rPr>
              <w:t xml:space="preserve">cent. </w:t>
            </w:r>
          </w:p>
        </w:tc>
      </w:tr>
    </w:tbl>
    <w:p w14:paraId="210FB700" w14:textId="77777777" w:rsidR="008B697B" w:rsidRPr="009F1618" w:rsidRDefault="008B697B" w:rsidP="009F1618">
      <w:pPr>
        <w:spacing w:after="0" w:line="240" w:lineRule="auto"/>
        <w:jc w:val="both"/>
        <w:rPr>
          <w:rFonts w:ascii="Calibri" w:eastAsiaTheme="minorEastAsia" w:hAnsi="Calibri" w:cs="Calibri"/>
          <w:i/>
          <w:iCs/>
          <w:sz w:val="22"/>
          <w:szCs w:val="22"/>
        </w:rPr>
      </w:pPr>
    </w:p>
    <w:p w14:paraId="12117EDE" w14:textId="48FD35EA" w:rsidR="00F07686" w:rsidRDefault="00013413"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b/>
          <w:bCs/>
          <w:sz w:val="22"/>
          <w:szCs w:val="22"/>
        </w:rPr>
        <w:t>Butter</w:t>
      </w:r>
      <w:r w:rsidRPr="009F1618">
        <w:rPr>
          <w:rFonts w:ascii="Calibri" w:eastAsiaTheme="minorEastAsia" w:hAnsi="Calibri" w:cs="Calibri"/>
          <w:sz w:val="22"/>
          <w:szCs w:val="22"/>
        </w:rPr>
        <w:t>. All four markets have statistically significant adjustment coefficients,</w:t>
      </w:r>
      <w:r w:rsidR="0044777B" w:rsidRPr="009F1618">
        <w:rPr>
          <w:rFonts w:ascii="Calibri" w:eastAsiaTheme="minorEastAsia" w:hAnsi="Calibri" w:cs="Calibri"/>
          <w:sz w:val="22"/>
          <w:szCs w:val="22"/>
        </w:rPr>
        <w:t xml:space="preserve"> </w:t>
      </w:r>
      <w:r w:rsidR="002E1767" w:rsidRPr="009F1618">
        <w:rPr>
          <w:rFonts w:ascii="Calibri" w:eastAsiaTheme="minorEastAsia" w:hAnsi="Calibri" w:cs="Calibri"/>
          <w:sz w:val="22"/>
          <w:szCs w:val="22"/>
        </w:rPr>
        <w:t>al</w:t>
      </w:r>
      <w:r w:rsidR="0044777B" w:rsidRPr="009F1618">
        <w:rPr>
          <w:rFonts w:ascii="Calibri" w:eastAsiaTheme="minorEastAsia" w:hAnsi="Calibri" w:cs="Calibri"/>
          <w:sz w:val="22"/>
          <w:szCs w:val="22"/>
        </w:rPr>
        <w:t>though the U</w:t>
      </w:r>
      <w:r w:rsidR="00AC5848">
        <w:rPr>
          <w:rFonts w:ascii="Calibri" w:eastAsiaTheme="minorEastAsia" w:hAnsi="Calibri" w:cs="Calibri"/>
          <w:sz w:val="22"/>
          <w:szCs w:val="22"/>
        </w:rPr>
        <w:t>nited States</w:t>
      </w:r>
      <w:r w:rsidR="0044777B" w:rsidRPr="009F1618">
        <w:rPr>
          <w:rFonts w:ascii="Calibri" w:eastAsiaTheme="minorEastAsia" w:hAnsi="Calibri" w:cs="Calibri"/>
          <w:sz w:val="22"/>
          <w:szCs w:val="22"/>
        </w:rPr>
        <w:t xml:space="preserve"> </w:t>
      </w:r>
      <w:r w:rsidR="002E1767" w:rsidRPr="009F1618">
        <w:rPr>
          <w:rFonts w:ascii="Calibri" w:eastAsiaTheme="minorEastAsia" w:hAnsi="Calibri" w:cs="Calibri"/>
          <w:sz w:val="22"/>
          <w:szCs w:val="22"/>
        </w:rPr>
        <w:t xml:space="preserve">coefficient </w:t>
      </w:r>
      <w:r w:rsidR="0044777B" w:rsidRPr="009F1618">
        <w:rPr>
          <w:rFonts w:ascii="Calibri" w:eastAsiaTheme="minorEastAsia" w:hAnsi="Calibri" w:cs="Calibri"/>
          <w:sz w:val="22"/>
          <w:szCs w:val="22"/>
        </w:rPr>
        <w:t>is only marginally significant,</w:t>
      </w:r>
      <w:r w:rsidRPr="009F1618">
        <w:rPr>
          <w:rFonts w:ascii="Calibri" w:eastAsiaTheme="minorEastAsia" w:hAnsi="Calibri" w:cs="Calibri"/>
          <w:sz w:val="22"/>
          <w:szCs w:val="22"/>
        </w:rPr>
        <w:t xml:space="preserve"> indicating each market </w:t>
      </w:r>
      <w:r w:rsidR="002E1767" w:rsidRPr="009F1618">
        <w:rPr>
          <w:rFonts w:ascii="Calibri" w:eastAsiaTheme="minorEastAsia" w:hAnsi="Calibri" w:cs="Calibri"/>
          <w:sz w:val="22"/>
          <w:szCs w:val="22"/>
        </w:rPr>
        <w:t>contributes to</w:t>
      </w:r>
      <w:r w:rsidR="0061779D" w:rsidRPr="009F1618">
        <w:rPr>
          <w:rFonts w:ascii="Calibri" w:eastAsiaTheme="minorEastAsia" w:hAnsi="Calibri" w:cs="Calibri"/>
          <w:sz w:val="22"/>
          <w:szCs w:val="22"/>
        </w:rPr>
        <w:t xml:space="preserve"> correcting deviations from the l</w:t>
      </w:r>
      <w:r w:rsidRPr="009F1618">
        <w:rPr>
          <w:rFonts w:ascii="Calibri" w:eastAsiaTheme="minorEastAsia" w:hAnsi="Calibri" w:cs="Calibri"/>
          <w:sz w:val="22"/>
          <w:szCs w:val="22"/>
        </w:rPr>
        <w:t>ong-run equilibrium. A</w:t>
      </w:r>
      <w:r w:rsidR="00AC5848">
        <w:rPr>
          <w:rFonts w:ascii="Calibri" w:eastAsiaTheme="minorEastAsia" w:hAnsi="Calibri" w:cs="Calibri"/>
          <w:sz w:val="22"/>
          <w:szCs w:val="22"/>
        </w:rPr>
        <w:t>ustralia</w:t>
      </w:r>
      <w:r w:rsidR="002F14B0" w:rsidRPr="009F1618">
        <w:rPr>
          <w:rFonts w:ascii="Calibri" w:eastAsiaTheme="minorEastAsia" w:hAnsi="Calibri" w:cs="Calibri"/>
          <w:sz w:val="22"/>
          <w:szCs w:val="22"/>
        </w:rPr>
        <w:t>’s</w:t>
      </w:r>
      <w:r w:rsidRPr="009F1618">
        <w:rPr>
          <w:rFonts w:ascii="Calibri" w:eastAsiaTheme="minorEastAsia" w:hAnsi="Calibri" w:cs="Calibri"/>
          <w:sz w:val="22"/>
          <w:szCs w:val="22"/>
        </w:rPr>
        <w:t xml:space="preserve"> </w:t>
      </w:r>
      <w:r w:rsidR="002F14B0" w:rsidRPr="009F1618">
        <w:rPr>
          <w:rFonts w:ascii="Calibri" w:eastAsiaTheme="minorEastAsia" w:hAnsi="Calibri" w:cs="Calibri"/>
          <w:sz w:val="22"/>
          <w:szCs w:val="22"/>
        </w:rPr>
        <w:t>adjustment coefficient</w:t>
      </w:r>
      <w:r w:rsidRPr="009F1618">
        <w:rPr>
          <w:rFonts w:ascii="Calibri" w:eastAsiaTheme="minorEastAsia" w:hAnsi="Calibri" w:cs="Calibri"/>
          <w:sz w:val="22"/>
          <w:szCs w:val="22"/>
        </w:rPr>
        <w:t xml:space="preserve"> is the largest in absolute magnitude</w:t>
      </w:r>
      <w:r w:rsidR="002F14B0" w:rsidRPr="009F1618">
        <w:rPr>
          <w:rFonts w:ascii="Calibri" w:eastAsiaTheme="minorEastAsia" w:hAnsi="Calibri" w:cs="Calibri"/>
          <w:sz w:val="22"/>
          <w:szCs w:val="22"/>
        </w:rPr>
        <w:t xml:space="preserve"> </w:t>
      </w:r>
      <m:oMath>
        <m:r>
          <m:rPr>
            <m:sty m:val="p"/>
          </m:rPr>
          <w:rPr>
            <w:rFonts w:ascii="Cambria Math" w:eastAsiaTheme="minorEastAsia" w:hAnsi="Cambria Math" w:cs="Calibri"/>
            <w:sz w:val="22"/>
            <w:szCs w:val="22"/>
          </w:rPr>
          <m:t>(-0.27)</m:t>
        </m:r>
      </m:oMath>
      <w:r w:rsidRPr="009F1618">
        <w:rPr>
          <w:rFonts w:ascii="Calibri" w:eastAsiaTheme="minorEastAsia" w:hAnsi="Calibri" w:cs="Calibri"/>
          <w:sz w:val="22"/>
          <w:szCs w:val="22"/>
        </w:rPr>
        <w:t xml:space="preserve">, suggesting </w:t>
      </w:r>
      <w:r w:rsidR="00002FAE">
        <w:rPr>
          <w:rFonts w:ascii="Calibri" w:eastAsiaTheme="minorEastAsia" w:hAnsi="Calibri" w:cs="Calibri"/>
          <w:sz w:val="22"/>
          <w:szCs w:val="22"/>
        </w:rPr>
        <w:t>that Australian</w:t>
      </w:r>
      <w:r w:rsidRPr="009F1618">
        <w:rPr>
          <w:rFonts w:ascii="Calibri" w:eastAsiaTheme="minorEastAsia" w:hAnsi="Calibri" w:cs="Calibri"/>
          <w:sz w:val="22"/>
          <w:szCs w:val="22"/>
        </w:rPr>
        <w:t xml:space="preserve"> prices adjust most rapidly to deviations from the </w:t>
      </w:r>
      <w:r w:rsidR="008D544B" w:rsidRPr="009F1618">
        <w:rPr>
          <w:rFonts w:ascii="Calibri" w:eastAsiaTheme="minorEastAsia" w:hAnsi="Calibri" w:cs="Calibri"/>
          <w:sz w:val="22"/>
          <w:szCs w:val="22"/>
        </w:rPr>
        <w:t>long run</w:t>
      </w:r>
      <w:r w:rsidRPr="009F1618">
        <w:rPr>
          <w:rFonts w:ascii="Calibri" w:eastAsiaTheme="minorEastAsia" w:hAnsi="Calibri" w:cs="Calibri"/>
          <w:sz w:val="22"/>
          <w:szCs w:val="22"/>
        </w:rPr>
        <w:t xml:space="preserve"> </w:t>
      </w:r>
      <w:r w:rsidR="00DD425A" w:rsidRPr="009F1618">
        <w:rPr>
          <w:rFonts w:ascii="Calibri" w:eastAsiaTheme="minorEastAsia" w:hAnsi="Calibri" w:cs="Calibri"/>
          <w:sz w:val="22"/>
          <w:szCs w:val="22"/>
        </w:rPr>
        <w:t>equilibrium</w:t>
      </w:r>
      <w:r w:rsidR="006B176C" w:rsidRPr="009F1618">
        <w:rPr>
          <w:rFonts w:ascii="Calibri" w:eastAsiaTheme="minorEastAsia" w:hAnsi="Calibri" w:cs="Calibri"/>
          <w:sz w:val="22"/>
          <w:szCs w:val="22"/>
        </w:rPr>
        <w:t>.</w:t>
      </w:r>
    </w:p>
    <w:p w14:paraId="0B4E2D3B" w14:textId="77777777" w:rsidR="002D50D6" w:rsidRPr="009F1618" w:rsidRDefault="002D50D6" w:rsidP="009F1618">
      <w:pPr>
        <w:spacing w:after="0" w:line="240" w:lineRule="auto"/>
        <w:contextualSpacing/>
        <w:jc w:val="both"/>
        <w:rPr>
          <w:rFonts w:ascii="Calibri" w:eastAsiaTheme="minorEastAsia" w:hAnsi="Calibri" w:cs="Calibri"/>
          <w:sz w:val="22"/>
          <w:szCs w:val="22"/>
        </w:rPr>
      </w:pPr>
    </w:p>
    <w:p w14:paraId="5B41D6A2" w14:textId="5FB1E5C0" w:rsidR="00DB65ED" w:rsidRDefault="00DB65ED"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b/>
          <w:bCs/>
          <w:sz w:val="22"/>
          <w:szCs w:val="22"/>
        </w:rPr>
        <w:t>Cheese</w:t>
      </w:r>
      <w:r w:rsidRPr="009F1618">
        <w:rPr>
          <w:rFonts w:ascii="Calibri" w:eastAsiaTheme="minorEastAsia" w:hAnsi="Calibri" w:cs="Calibri"/>
          <w:sz w:val="22"/>
          <w:szCs w:val="22"/>
        </w:rPr>
        <w:t xml:space="preserve">. Only </w:t>
      </w:r>
      <w:r w:rsidR="00002FAE">
        <w:rPr>
          <w:rFonts w:ascii="Calibri" w:eastAsiaTheme="minorEastAsia" w:hAnsi="Calibri" w:cs="Calibri"/>
          <w:sz w:val="22"/>
          <w:szCs w:val="22"/>
        </w:rPr>
        <w:t>Australian price</w:t>
      </w:r>
      <w:r w:rsidRPr="009F1618">
        <w:rPr>
          <w:rFonts w:ascii="Calibri" w:eastAsiaTheme="minorEastAsia" w:hAnsi="Calibri" w:cs="Calibri"/>
          <w:sz w:val="22"/>
          <w:szCs w:val="22"/>
        </w:rPr>
        <w:t xml:space="preserve"> has a statistically significant adjustment coefficient</w:t>
      </w:r>
      <w:r w:rsidR="00DD51FB" w:rsidRPr="009F1618">
        <w:rPr>
          <w:rFonts w:ascii="Calibri" w:eastAsiaTheme="minorEastAsia" w:hAnsi="Calibri" w:cs="Calibri"/>
          <w:sz w:val="22"/>
          <w:szCs w:val="22"/>
        </w:rPr>
        <w:t xml:space="preserve">, indicating that </w:t>
      </w:r>
      <w:r w:rsidR="00DD425A" w:rsidRPr="009F1618">
        <w:rPr>
          <w:rFonts w:ascii="Calibri" w:eastAsiaTheme="minorEastAsia" w:hAnsi="Calibri" w:cs="Calibri"/>
          <w:sz w:val="22"/>
          <w:szCs w:val="22"/>
        </w:rPr>
        <w:t xml:space="preserve">it </w:t>
      </w:r>
      <w:r w:rsidR="00DD51FB" w:rsidRPr="009F1618">
        <w:rPr>
          <w:rFonts w:ascii="Calibri" w:eastAsiaTheme="minorEastAsia" w:hAnsi="Calibri" w:cs="Calibri"/>
          <w:sz w:val="22"/>
          <w:szCs w:val="22"/>
        </w:rPr>
        <w:t>is</w:t>
      </w:r>
      <w:r w:rsidRPr="009F1618">
        <w:rPr>
          <w:rFonts w:ascii="Calibri" w:eastAsiaTheme="minorEastAsia" w:hAnsi="Calibri" w:cs="Calibri"/>
          <w:sz w:val="22"/>
          <w:szCs w:val="22"/>
        </w:rPr>
        <w:t xml:space="preserve"> the </w:t>
      </w:r>
      <w:r w:rsidR="00DA1F08" w:rsidRPr="009F1618">
        <w:rPr>
          <w:rFonts w:ascii="Calibri" w:eastAsiaTheme="minorEastAsia" w:hAnsi="Calibri" w:cs="Calibri"/>
          <w:sz w:val="22"/>
          <w:szCs w:val="22"/>
        </w:rPr>
        <w:t xml:space="preserve">primary </w:t>
      </w:r>
      <w:r w:rsidRPr="009F1618">
        <w:rPr>
          <w:rFonts w:ascii="Calibri" w:eastAsiaTheme="minorEastAsia" w:hAnsi="Calibri" w:cs="Calibri"/>
          <w:sz w:val="22"/>
          <w:szCs w:val="22"/>
        </w:rPr>
        <w:t>error-correcting market in the cheese system</w:t>
      </w:r>
      <w:r w:rsidR="00151254" w:rsidRPr="009F1618">
        <w:rPr>
          <w:rFonts w:ascii="Calibri" w:eastAsiaTheme="minorEastAsia" w:hAnsi="Calibri" w:cs="Calibri"/>
          <w:sz w:val="22"/>
          <w:szCs w:val="22"/>
        </w:rPr>
        <w:t>. W</w:t>
      </w:r>
      <w:r w:rsidRPr="009F1618">
        <w:rPr>
          <w:rFonts w:ascii="Calibri" w:eastAsiaTheme="minorEastAsia" w:hAnsi="Calibri" w:cs="Calibri"/>
          <w:sz w:val="22"/>
          <w:szCs w:val="22"/>
        </w:rPr>
        <w:t xml:space="preserve">hen prices deviate from the </w:t>
      </w:r>
      <w:r w:rsidR="008D544B" w:rsidRPr="009F1618">
        <w:rPr>
          <w:rFonts w:ascii="Calibri" w:eastAsiaTheme="minorEastAsia" w:hAnsi="Calibri" w:cs="Calibri"/>
          <w:sz w:val="22"/>
          <w:szCs w:val="22"/>
        </w:rPr>
        <w:t>long run</w:t>
      </w:r>
      <w:r w:rsidRPr="009F1618">
        <w:rPr>
          <w:rFonts w:ascii="Calibri" w:eastAsiaTheme="minorEastAsia" w:hAnsi="Calibri" w:cs="Calibri"/>
          <w:sz w:val="22"/>
          <w:szCs w:val="22"/>
        </w:rPr>
        <w:t xml:space="preserve"> </w:t>
      </w:r>
      <w:r w:rsidR="00DD425A" w:rsidRPr="009F1618">
        <w:rPr>
          <w:rFonts w:ascii="Calibri" w:eastAsiaTheme="minorEastAsia" w:hAnsi="Calibri" w:cs="Calibri"/>
          <w:sz w:val="22"/>
          <w:szCs w:val="22"/>
        </w:rPr>
        <w:t>equilibrium</w:t>
      </w:r>
      <w:r w:rsidRPr="009F1618">
        <w:rPr>
          <w:rFonts w:ascii="Calibri" w:eastAsiaTheme="minorEastAsia" w:hAnsi="Calibri" w:cs="Calibri"/>
          <w:sz w:val="22"/>
          <w:szCs w:val="22"/>
        </w:rPr>
        <w:t>, adjust</w:t>
      </w:r>
      <w:r w:rsidR="00151254" w:rsidRPr="009F1618">
        <w:rPr>
          <w:rFonts w:ascii="Calibri" w:eastAsiaTheme="minorEastAsia" w:hAnsi="Calibri" w:cs="Calibri"/>
          <w:sz w:val="22"/>
          <w:szCs w:val="22"/>
        </w:rPr>
        <w:t xml:space="preserve">ment occurs </w:t>
      </w:r>
      <w:r w:rsidR="00C96513" w:rsidRPr="009F1618">
        <w:rPr>
          <w:rFonts w:ascii="Calibri" w:eastAsiaTheme="minorEastAsia" w:hAnsi="Calibri" w:cs="Calibri"/>
          <w:sz w:val="22"/>
          <w:szCs w:val="22"/>
        </w:rPr>
        <w:t>through A</w:t>
      </w:r>
      <w:r w:rsidR="00002FAE">
        <w:rPr>
          <w:rFonts w:ascii="Calibri" w:eastAsiaTheme="minorEastAsia" w:hAnsi="Calibri" w:cs="Calibri"/>
          <w:sz w:val="22"/>
          <w:szCs w:val="22"/>
        </w:rPr>
        <w:t>ustralian</w:t>
      </w:r>
      <w:r w:rsidR="00C96513" w:rsidRPr="009F1618">
        <w:rPr>
          <w:rFonts w:ascii="Calibri" w:eastAsiaTheme="minorEastAsia" w:hAnsi="Calibri" w:cs="Calibri"/>
          <w:sz w:val="22"/>
          <w:szCs w:val="22"/>
        </w:rPr>
        <w:t xml:space="preserve"> prices</w:t>
      </w:r>
      <w:r w:rsidRPr="009F1618">
        <w:rPr>
          <w:rFonts w:ascii="Calibri" w:eastAsiaTheme="minorEastAsia" w:hAnsi="Calibri" w:cs="Calibri"/>
          <w:sz w:val="22"/>
          <w:szCs w:val="22"/>
        </w:rPr>
        <w:t>, while N</w:t>
      </w:r>
      <w:r w:rsidR="00002FAE">
        <w:rPr>
          <w:rFonts w:ascii="Calibri" w:eastAsiaTheme="minorEastAsia" w:hAnsi="Calibri" w:cs="Calibri"/>
          <w:sz w:val="22"/>
          <w:szCs w:val="22"/>
        </w:rPr>
        <w:t>ew Zealand</w:t>
      </w:r>
      <w:r w:rsidRPr="009F1618">
        <w:rPr>
          <w:rFonts w:ascii="Calibri" w:eastAsiaTheme="minorEastAsia" w:hAnsi="Calibri" w:cs="Calibri"/>
          <w:sz w:val="22"/>
          <w:szCs w:val="22"/>
        </w:rPr>
        <w:t xml:space="preserve">, </w:t>
      </w:r>
      <w:r w:rsidR="00002FAE">
        <w:rPr>
          <w:rFonts w:ascii="Calibri" w:eastAsiaTheme="minorEastAsia" w:hAnsi="Calibri" w:cs="Calibri"/>
          <w:sz w:val="22"/>
          <w:szCs w:val="22"/>
        </w:rPr>
        <w:t>the European Union</w:t>
      </w:r>
      <w:r w:rsidR="00B5279A">
        <w:rPr>
          <w:rFonts w:ascii="Calibri" w:eastAsiaTheme="minorEastAsia" w:hAnsi="Calibri" w:cs="Calibri"/>
          <w:sz w:val="22"/>
          <w:szCs w:val="22"/>
        </w:rPr>
        <w:t xml:space="preserve"> and the United States</w:t>
      </w:r>
      <w:r w:rsidRPr="009F1618">
        <w:rPr>
          <w:rFonts w:ascii="Calibri" w:eastAsiaTheme="minorEastAsia" w:hAnsi="Calibri" w:cs="Calibri"/>
          <w:sz w:val="22"/>
          <w:szCs w:val="22"/>
        </w:rPr>
        <w:t xml:space="preserve"> appear </w:t>
      </w:r>
      <w:r w:rsidR="00B5279A">
        <w:rPr>
          <w:rFonts w:ascii="Calibri" w:eastAsiaTheme="minorEastAsia" w:hAnsi="Calibri" w:cs="Calibri"/>
          <w:sz w:val="22"/>
          <w:szCs w:val="22"/>
        </w:rPr>
        <w:t xml:space="preserve">to be </w:t>
      </w:r>
      <w:r w:rsidRPr="009F1618">
        <w:rPr>
          <w:rFonts w:ascii="Calibri" w:eastAsiaTheme="minorEastAsia" w:hAnsi="Calibri" w:cs="Calibri"/>
          <w:sz w:val="22"/>
          <w:szCs w:val="22"/>
        </w:rPr>
        <w:t>weakly exogenous</w:t>
      </w:r>
      <w:r w:rsidR="007924A5" w:rsidRPr="009F1618">
        <w:rPr>
          <w:rFonts w:ascii="Calibri" w:eastAsiaTheme="minorEastAsia" w:hAnsi="Calibri" w:cs="Calibri"/>
          <w:sz w:val="22"/>
          <w:szCs w:val="22"/>
        </w:rPr>
        <w:t xml:space="preserve"> to the cointegrating relationship</w:t>
      </w:r>
      <w:r w:rsidRPr="009F1618">
        <w:rPr>
          <w:rFonts w:ascii="Calibri" w:eastAsiaTheme="minorEastAsia" w:hAnsi="Calibri" w:cs="Calibri"/>
          <w:sz w:val="22"/>
          <w:szCs w:val="22"/>
        </w:rPr>
        <w:t>.</w:t>
      </w:r>
      <w:r w:rsidR="00E97BCB" w:rsidRPr="009F1618">
        <w:rPr>
          <w:rFonts w:ascii="Calibri" w:eastAsiaTheme="minorEastAsia" w:hAnsi="Calibri" w:cs="Calibri"/>
          <w:sz w:val="22"/>
          <w:szCs w:val="22"/>
        </w:rPr>
        <w:t xml:space="preserve"> </w:t>
      </w:r>
    </w:p>
    <w:p w14:paraId="4E613B98" w14:textId="77777777" w:rsidR="002D50D6" w:rsidRPr="009F1618" w:rsidRDefault="002D50D6" w:rsidP="009F1618">
      <w:pPr>
        <w:spacing w:after="0" w:line="240" w:lineRule="auto"/>
        <w:contextualSpacing/>
        <w:jc w:val="both"/>
        <w:rPr>
          <w:rFonts w:ascii="Calibri" w:eastAsiaTheme="minorEastAsia" w:hAnsi="Calibri" w:cs="Calibri"/>
          <w:sz w:val="22"/>
          <w:szCs w:val="22"/>
        </w:rPr>
      </w:pPr>
    </w:p>
    <w:p w14:paraId="5F2B4FB4" w14:textId="5847DE8B" w:rsidR="005A14EC" w:rsidRDefault="000E208D"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b/>
          <w:bCs/>
          <w:sz w:val="22"/>
          <w:szCs w:val="22"/>
        </w:rPr>
        <w:t>SMP</w:t>
      </w:r>
      <w:r w:rsidRPr="009F1618">
        <w:rPr>
          <w:rFonts w:ascii="Calibri" w:eastAsiaTheme="minorEastAsia" w:hAnsi="Calibri" w:cs="Calibri"/>
          <w:sz w:val="22"/>
          <w:szCs w:val="22"/>
        </w:rPr>
        <w:t>.</w:t>
      </w:r>
      <w:r w:rsidR="00404256" w:rsidRPr="009F1618">
        <w:rPr>
          <w:rFonts w:ascii="Calibri" w:eastAsiaTheme="minorEastAsia" w:hAnsi="Calibri" w:cs="Calibri"/>
          <w:sz w:val="22"/>
          <w:szCs w:val="22"/>
        </w:rPr>
        <w:t xml:space="preserve"> N</w:t>
      </w:r>
      <w:r w:rsidR="00B5279A">
        <w:rPr>
          <w:rFonts w:ascii="Calibri" w:eastAsiaTheme="minorEastAsia" w:hAnsi="Calibri" w:cs="Calibri"/>
          <w:sz w:val="22"/>
          <w:szCs w:val="22"/>
        </w:rPr>
        <w:t>ew Zea</w:t>
      </w:r>
      <w:r w:rsidR="00704711">
        <w:rPr>
          <w:rFonts w:ascii="Calibri" w:eastAsiaTheme="minorEastAsia" w:hAnsi="Calibri" w:cs="Calibri"/>
          <w:sz w:val="22"/>
          <w:szCs w:val="22"/>
        </w:rPr>
        <w:t>land and Australia</w:t>
      </w:r>
      <w:r w:rsidR="00404256" w:rsidRPr="009F1618">
        <w:rPr>
          <w:rFonts w:ascii="Calibri" w:eastAsiaTheme="minorEastAsia" w:hAnsi="Calibri" w:cs="Calibri"/>
          <w:sz w:val="22"/>
          <w:szCs w:val="22"/>
        </w:rPr>
        <w:t xml:space="preserve"> have statistically significant adjustment coefficients for both error-correction terms, while </w:t>
      </w:r>
      <w:r w:rsidR="00704711">
        <w:rPr>
          <w:rFonts w:ascii="Calibri" w:eastAsiaTheme="minorEastAsia" w:hAnsi="Calibri" w:cs="Calibri"/>
          <w:sz w:val="22"/>
          <w:szCs w:val="22"/>
        </w:rPr>
        <w:t>the European Union</w:t>
      </w:r>
      <w:r w:rsidR="00404256" w:rsidRPr="009F1618">
        <w:rPr>
          <w:rFonts w:ascii="Calibri" w:eastAsiaTheme="minorEastAsia" w:hAnsi="Calibri" w:cs="Calibri"/>
          <w:sz w:val="22"/>
          <w:szCs w:val="22"/>
        </w:rPr>
        <w:t xml:space="preserve"> </w:t>
      </w:r>
      <w:r w:rsidR="009D344F" w:rsidRPr="009F1618">
        <w:rPr>
          <w:rFonts w:ascii="Calibri" w:eastAsiaTheme="minorEastAsia" w:hAnsi="Calibri" w:cs="Calibri"/>
          <w:sz w:val="22"/>
          <w:szCs w:val="22"/>
        </w:rPr>
        <w:t>is</w:t>
      </w:r>
      <w:r w:rsidR="00900CA2" w:rsidRPr="009F1618">
        <w:rPr>
          <w:rFonts w:ascii="Calibri" w:eastAsiaTheme="minorEastAsia" w:hAnsi="Calibri" w:cs="Calibri"/>
          <w:sz w:val="22"/>
          <w:szCs w:val="22"/>
        </w:rPr>
        <w:t xml:space="preserve"> marginally </w:t>
      </w:r>
      <w:r w:rsidR="009D344F" w:rsidRPr="009F1618">
        <w:rPr>
          <w:rFonts w:ascii="Calibri" w:eastAsiaTheme="minorEastAsia" w:hAnsi="Calibri" w:cs="Calibri"/>
          <w:sz w:val="22"/>
          <w:szCs w:val="22"/>
        </w:rPr>
        <w:t>significant to the first error-correction term only</w:t>
      </w:r>
      <w:r w:rsidR="00D412FB" w:rsidRPr="009F1618">
        <w:rPr>
          <w:rFonts w:ascii="Calibri" w:eastAsiaTheme="minorEastAsia" w:hAnsi="Calibri" w:cs="Calibri"/>
          <w:sz w:val="22"/>
          <w:szCs w:val="22"/>
        </w:rPr>
        <w:t>.</w:t>
      </w:r>
      <w:r w:rsidR="006F0E79" w:rsidRPr="009F1618">
        <w:rPr>
          <w:rFonts w:ascii="Calibri" w:eastAsiaTheme="minorEastAsia" w:hAnsi="Calibri" w:cs="Calibri"/>
          <w:sz w:val="22"/>
          <w:szCs w:val="22"/>
        </w:rPr>
        <w:t xml:space="preserve"> The U</w:t>
      </w:r>
      <w:r w:rsidR="00704711">
        <w:rPr>
          <w:rFonts w:ascii="Calibri" w:eastAsiaTheme="minorEastAsia" w:hAnsi="Calibri" w:cs="Calibri"/>
          <w:sz w:val="22"/>
          <w:szCs w:val="22"/>
        </w:rPr>
        <w:t>nited States</w:t>
      </w:r>
      <w:r w:rsidR="006F0E79" w:rsidRPr="009F1618">
        <w:rPr>
          <w:rFonts w:ascii="Calibri" w:eastAsiaTheme="minorEastAsia" w:hAnsi="Calibri" w:cs="Calibri"/>
          <w:sz w:val="22"/>
          <w:szCs w:val="22"/>
        </w:rPr>
        <w:t xml:space="preserve"> </w:t>
      </w:r>
      <w:r w:rsidR="00A26736" w:rsidRPr="009F1618">
        <w:rPr>
          <w:rFonts w:ascii="Calibri" w:eastAsiaTheme="minorEastAsia" w:hAnsi="Calibri" w:cs="Calibri"/>
          <w:sz w:val="22"/>
          <w:szCs w:val="22"/>
        </w:rPr>
        <w:t xml:space="preserve">adjustment </w:t>
      </w:r>
      <w:r w:rsidR="006F0E79" w:rsidRPr="009F1618">
        <w:rPr>
          <w:rFonts w:ascii="Calibri" w:eastAsiaTheme="minorEastAsia" w:hAnsi="Calibri" w:cs="Calibri"/>
          <w:sz w:val="22"/>
          <w:szCs w:val="22"/>
        </w:rPr>
        <w:t xml:space="preserve">coefficients are not statistically significant. These results indicate that </w:t>
      </w:r>
      <w:r w:rsidR="00170E62" w:rsidRPr="009F1618">
        <w:rPr>
          <w:rFonts w:ascii="Calibri" w:eastAsiaTheme="minorEastAsia" w:hAnsi="Calibri" w:cs="Calibri"/>
          <w:sz w:val="22"/>
          <w:szCs w:val="22"/>
        </w:rPr>
        <w:t xml:space="preserve">adjustment towards the long-run equilibrium primarily occurs through </w:t>
      </w:r>
      <w:r w:rsidR="00704711" w:rsidRPr="009F1618">
        <w:rPr>
          <w:rFonts w:ascii="Calibri" w:eastAsiaTheme="minorEastAsia" w:hAnsi="Calibri" w:cs="Calibri"/>
          <w:sz w:val="22"/>
          <w:szCs w:val="22"/>
        </w:rPr>
        <w:t>N</w:t>
      </w:r>
      <w:r w:rsidR="00704711">
        <w:rPr>
          <w:rFonts w:ascii="Calibri" w:eastAsiaTheme="minorEastAsia" w:hAnsi="Calibri" w:cs="Calibri"/>
          <w:sz w:val="22"/>
          <w:szCs w:val="22"/>
        </w:rPr>
        <w:t>ew Zealand and Australia</w:t>
      </w:r>
      <w:r w:rsidR="00704711" w:rsidRPr="009F1618">
        <w:rPr>
          <w:rFonts w:ascii="Calibri" w:eastAsiaTheme="minorEastAsia" w:hAnsi="Calibri" w:cs="Calibri"/>
          <w:sz w:val="22"/>
          <w:szCs w:val="22"/>
        </w:rPr>
        <w:t xml:space="preserve"> </w:t>
      </w:r>
      <w:r w:rsidR="00170E62" w:rsidRPr="009F1618">
        <w:rPr>
          <w:rFonts w:ascii="Calibri" w:eastAsiaTheme="minorEastAsia" w:hAnsi="Calibri" w:cs="Calibri"/>
          <w:sz w:val="22"/>
          <w:szCs w:val="22"/>
        </w:rPr>
        <w:t xml:space="preserve">prices, with </w:t>
      </w:r>
      <w:r w:rsidR="00913ABC">
        <w:rPr>
          <w:rFonts w:ascii="Calibri" w:eastAsiaTheme="minorEastAsia" w:hAnsi="Calibri" w:cs="Calibri"/>
          <w:sz w:val="22"/>
          <w:szCs w:val="22"/>
        </w:rPr>
        <w:t>the European Union</w:t>
      </w:r>
      <w:r w:rsidR="00170E62" w:rsidRPr="009F1618">
        <w:rPr>
          <w:rFonts w:ascii="Calibri" w:eastAsiaTheme="minorEastAsia" w:hAnsi="Calibri" w:cs="Calibri"/>
          <w:sz w:val="22"/>
          <w:szCs w:val="22"/>
        </w:rPr>
        <w:t xml:space="preserve"> playing a </w:t>
      </w:r>
      <w:r w:rsidR="000C303A" w:rsidRPr="009F1618">
        <w:rPr>
          <w:rFonts w:ascii="Calibri" w:eastAsiaTheme="minorEastAsia" w:hAnsi="Calibri" w:cs="Calibri"/>
          <w:sz w:val="22"/>
          <w:szCs w:val="22"/>
        </w:rPr>
        <w:t>small role and the U</w:t>
      </w:r>
      <w:r w:rsidR="00913ABC">
        <w:rPr>
          <w:rFonts w:ascii="Calibri" w:eastAsiaTheme="minorEastAsia" w:hAnsi="Calibri" w:cs="Calibri"/>
          <w:sz w:val="22"/>
          <w:szCs w:val="22"/>
        </w:rPr>
        <w:t>nited States</w:t>
      </w:r>
      <w:r w:rsidR="000C303A" w:rsidRPr="009F1618">
        <w:rPr>
          <w:rFonts w:ascii="Calibri" w:eastAsiaTheme="minorEastAsia" w:hAnsi="Calibri" w:cs="Calibri"/>
          <w:sz w:val="22"/>
          <w:szCs w:val="22"/>
        </w:rPr>
        <w:t xml:space="preserve"> appearing </w:t>
      </w:r>
      <w:r w:rsidR="00913ABC">
        <w:rPr>
          <w:rFonts w:ascii="Calibri" w:eastAsiaTheme="minorEastAsia" w:hAnsi="Calibri" w:cs="Calibri"/>
          <w:sz w:val="22"/>
          <w:szCs w:val="22"/>
        </w:rPr>
        <w:t xml:space="preserve">as </w:t>
      </w:r>
      <w:r w:rsidR="000C303A" w:rsidRPr="009F1618">
        <w:rPr>
          <w:rFonts w:ascii="Calibri" w:eastAsiaTheme="minorEastAsia" w:hAnsi="Calibri" w:cs="Calibri"/>
          <w:sz w:val="22"/>
          <w:szCs w:val="22"/>
        </w:rPr>
        <w:t>weakly exogenous to the cointegrating relationships.</w:t>
      </w:r>
    </w:p>
    <w:p w14:paraId="1803AA2D" w14:textId="77777777" w:rsidR="002D50D6" w:rsidRPr="009F1618" w:rsidRDefault="002D50D6" w:rsidP="009F1618">
      <w:pPr>
        <w:spacing w:after="0" w:line="240" w:lineRule="auto"/>
        <w:contextualSpacing/>
        <w:jc w:val="both"/>
        <w:rPr>
          <w:rFonts w:ascii="Calibri" w:eastAsiaTheme="minorEastAsia" w:hAnsi="Calibri" w:cs="Calibri"/>
          <w:sz w:val="22"/>
          <w:szCs w:val="22"/>
        </w:rPr>
      </w:pPr>
    </w:p>
    <w:p w14:paraId="5F28D656" w14:textId="2DA261E8" w:rsidR="0079408B" w:rsidRDefault="0079408B"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b/>
          <w:bCs/>
          <w:sz w:val="22"/>
          <w:szCs w:val="22"/>
        </w:rPr>
        <w:t>WMP</w:t>
      </w:r>
      <w:r w:rsidRPr="009F1618">
        <w:rPr>
          <w:rFonts w:ascii="Calibri" w:eastAsiaTheme="minorEastAsia" w:hAnsi="Calibri" w:cs="Calibri"/>
          <w:sz w:val="22"/>
          <w:szCs w:val="22"/>
        </w:rPr>
        <w:t xml:space="preserve">. </w:t>
      </w:r>
      <w:r w:rsidR="00DE0AEE" w:rsidRPr="009F1618">
        <w:rPr>
          <w:rFonts w:ascii="Calibri" w:eastAsiaTheme="minorEastAsia" w:hAnsi="Calibri" w:cs="Calibri"/>
          <w:sz w:val="22"/>
          <w:szCs w:val="22"/>
        </w:rPr>
        <w:t xml:space="preserve">All four markets exhibit </w:t>
      </w:r>
      <w:r w:rsidR="00F21E6E" w:rsidRPr="009F1618">
        <w:rPr>
          <w:rFonts w:ascii="Calibri" w:eastAsiaTheme="minorEastAsia" w:hAnsi="Calibri" w:cs="Calibri"/>
          <w:sz w:val="22"/>
          <w:szCs w:val="22"/>
        </w:rPr>
        <w:t>statistically significant adjustment coefficients for at least</w:t>
      </w:r>
      <w:r w:rsidR="00F07780" w:rsidRPr="009F1618">
        <w:rPr>
          <w:rFonts w:ascii="Calibri" w:eastAsiaTheme="minorEastAsia" w:hAnsi="Calibri" w:cs="Calibri"/>
          <w:sz w:val="22"/>
          <w:szCs w:val="22"/>
        </w:rPr>
        <w:t xml:space="preserve"> one of the three error correction terms</w:t>
      </w:r>
      <w:r w:rsidR="008074E5" w:rsidRPr="009F1618">
        <w:rPr>
          <w:rFonts w:ascii="Calibri" w:eastAsiaTheme="minorEastAsia" w:hAnsi="Calibri" w:cs="Calibri"/>
          <w:sz w:val="22"/>
          <w:szCs w:val="22"/>
        </w:rPr>
        <w:t xml:space="preserve">, </w:t>
      </w:r>
      <w:r w:rsidR="005645DA" w:rsidRPr="009F1618">
        <w:rPr>
          <w:rFonts w:ascii="Calibri" w:eastAsiaTheme="minorEastAsia" w:hAnsi="Calibri" w:cs="Calibri"/>
          <w:sz w:val="22"/>
          <w:szCs w:val="22"/>
        </w:rPr>
        <w:t>supporting the view of a tigh</w:t>
      </w:r>
      <w:r w:rsidR="00424C39" w:rsidRPr="009F1618">
        <w:rPr>
          <w:rFonts w:ascii="Calibri" w:eastAsiaTheme="minorEastAsia" w:hAnsi="Calibri" w:cs="Calibri"/>
          <w:sz w:val="22"/>
          <w:szCs w:val="22"/>
        </w:rPr>
        <w:t xml:space="preserve">tly integrated </w:t>
      </w:r>
      <w:r w:rsidR="005645DA" w:rsidRPr="009F1618">
        <w:rPr>
          <w:rFonts w:ascii="Calibri" w:eastAsiaTheme="minorEastAsia" w:hAnsi="Calibri" w:cs="Calibri"/>
          <w:sz w:val="22"/>
          <w:szCs w:val="22"/>
        </w:rPr>
        <w:t xml:space="preserve">WMP </w:t>
      </w:r>
      <w:r w:rsidR="00424C39" w:rsidRPr="009F1618">
        <w:rPr>
          <w:rFonts w:ascii="Calibri" w:eastAsiaTheme="minorEastAsia" w:hAnsi="Calibri" w:cs="Calibri"/>
          <w:sz w:val="22"/>
          <w:szCs w:val="22"/>
        </w:rPr>
        <w:t xml:space="preserve">market </w:t>
      </w:r>
      <w:r w:rsidR="00C93E32" w:rsidRPr="009F1618">
        <w:rPr>
          <w:rFonts w:ascii="Calibri" w:eastAsiaTheme="minorEastAsia" w:hAnsi="Calibri" w:cs="Calibri"/>
          <w:sz w:val="22"/>
          <w:szCs w:val="22"/>
        </w:rPr>
        <w:t>in which</w:t>
      </w:r>
      <w:r w:rsidR="008074E5" w:rsidRPr="009F1618">
        <w:rPr>
          <w:rFonts w:ascii="Calibri" w:eastAsiaTheme="minorEastAsia" w:hAnsi="Calibri" w:cs="Calibri"/>
          <w:sz w:val="22"/>
          <w:szCs w:val="22"/>
        </w:rPr>
        <w:t xml:space="preserve"> each </w:t>
      </w:r>
      <w:r w:rsidR="00424C39" w:rsidRPr="009F1618">
        <w:rPr>
          <w:rFonts w:ascii="Calibri" w:eastAsiaTheme="minorEastAsia" w:hAnsi="Calibri" w:cs="Calibri"/>
          <w:sz w:val="22"/>
          <w:szCs w:val="22"/>
        </w:rPr>
        <w:t>region</w:t>
      </w:r>
      <w:r w:rsidR="008074E5" w:rsidRPr="009F1618">
        <w:rPr>
          <w:rFonts w:ascii="Calibri" w:eastAsiaTheme="minorEastAsia" w:hAnsi="Calibri" w:cs="Calibri"/>
          <w:sz w:val="22"/>
          <w:szCs w:val="22"/>
        </w:rPr>
        <w:t xml:space="preserve"> </w:t>
      </w:r>
      <w:r w:rsidR="00841484" w:rsidRPr="009F1618">
        <w:rPr>
          <w:rFonts w:ascii="Calibri" w:eastAsiaTheme="minorEastAsia" w:hAnsi="Calibri" w:cs="Calibri"/>
          <w:sz w:val="22"/>
          <w:szCs w:val="22"/>
        </w:rPr>
        <w:t>contributes to restoring the long-run equilibrium</w:t>
      </w:r>
      <w:r w:rsidR="00D41869" w:rsidRPr="009F1618">
        <w:rPr>
          <w:rFonts w:ascii="Calibri" w:eastAsiaTheme="minorEastAsia" w:hAnsi="Calibri" w:cs="Calibri"/>
          <w:sz w:val="22"/>
          <w:szCs w:val="22"/>
        </w:rPr>
        <w:t>.</w:t>
      </w:r>
    </w:p>
    <w:p w14:paraId="3C506CB4" w14:textId="77777777" w:rsidR="002D50D6" w:rsidRPr="009F1618" w:rsidRDefault="002D50D6" w:rsidP="009F1618">
      <w:pPr>
        <w:spacing w:after="0" w:line="240" w:lineRule="auto"/>
        <w:contextualSpacing/>
        <w:jc w:val="both"/>
        <w:rPr>
          <w:rFonts w:ascii="Calibri" w:eastAsiaTheme="minorEastAsia" w:hAnsi="Calibri" w:cs="Calibri"/>
          <w:sz w:val="22"/>
          <w:szCs w:val="22"/>
        </w:rPr>
      </w:pPr>
    </w:p>
    <w:p w14:paraId="7CED4430" w14:textId="51978BD5" w:rsidR="00BD5EDF" w:rsidRDefault="00FD20EE"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sz w:val="22"/>
          <w:szCs w:val="22"/>
        </w:rPr>
        <w:t xml:space="preserve">A consistent </w:t>
      </w:r>
      <w:r w:rsidR="00303636" w:rsidRPr="009F1618">
        <w:rPr>
          <w:rFonts w:ascii="Calibri" w:eastAsiaTheme="minorEastAsia" w:hAnsi="Calibri" w:cs="Calibri"/>
          <w:sz w:val="22"/>
          <w:szCs w:val="22"/>
        </w:rPr>
        <w:t>finding</w:t>
      </w:r>
      <w:r w:rsidRPr="009F1618">
        <w:rPr>
          <w:rFonts w:ascii="Calibri" w:eastAsiaTheme="minorEastAsia" w:hAnsi="Calibri" w:cs="Calibri"/>
          <w:sz w:val="22"/>
          <w:szCs w:val="22"/>
        </w:rPr>
        <w:t xml:space="preserve"> across all four </w:t>
      </w:r>
      <w:r w:rsidR="00A671A7" w:rsidRPr="009F1618">
        <w:rPr>
          <w:rFonts w:ascii="Calibri" w:eastAsiaTheme="minorEastAsia" w:hAnsi="Calibri" w:cs="Calibri"/>
          <w:sz w:val="22"/>
          <w:szCs w:val="22"/>
        </w:rPr>
        <w:t>product groups</w:t>
      </w:r>
      <w:r w:rsidRPr="009F1618">
        <w:rPr>
          <w:rFonts w:ascii="Calibri" w:eastAsiaTheme="minorEastAsia" w:hAnsi="Calibri" w:cs="Calibri"/>
          <w:sz w:val="22"/>
          <w:szCs w:val="22"/>
        </w:rPr>
        <w:t xml:space="preserve"> is that Australia parti</w:t>
      </w:r>
      <w:r w:rsidR="005A26BA" w:rsidRPr="009F1618">
        <w:rPr>
          <w:rFonts w:ascii="Calibri" w:eastAsiaTheme="minorEastAsia" w:hAnsi="Calibri" w:cs="Calibri"/>
          <w:sz w:val="22"/>
          <w:szCs w:val="22"/>
        </w:rPr>
        <w:t xml:space="preserve">cipates in error correction and does so significantly in every system. What </w:t>
      </w:r>
      <w:r w:rsidR="00AB5E0D" w:rsidRPr="009F1618">
        <w:rPr>
          <w:rFonts w:ascii="Calibri" w:eastAsiaTheme="minorEastAsia" w:hAnsi="Calibri" w:cs="Calibri"/>
          <w:sz w:val="22"/>
          <w:szCs w:val="22"/>
        </w:rPr>
        <w:t xml:space="preserve">sets cheese apart is that Australia is the only region to adjust, unlike butter, SMP and WMP, where at least one other region shares in restoring equilibrium. This </w:t>
      </w:r>
      <w:r w:rsidR="00D12CBE">
        <w:rPr>
          <w:rFonts w:ascii="Calibri" w:eastAsiaTheme="minorEastAsia" w:hAnsi="Calibri" w:cs="Calibri"/>
          <w:sz w:val="22"/>
          <w:szCs w:val="22"/>
        </w:rPr>
        <w:t>would</w:t>
      </w:r>
      <w:r w:rsidR="003C43F2" w:rsidRPr="009F1618">
        <w:rPr>
          <w:rFonts w:ascii="Calibri" w:eastAsiaTheme="minorEastAsia" w:hAnsi="Calibri" w:cs="Calibri"/>
          <w:sz w:val="22"/>
          <w:szCs w:val="22"/>
        </w:rPr>
        <w:t xml:space="preserve"> </w:t>
      </w:r>
      <w:r w:rsidR="0054293E" w:rsidRPr="009F1618">
        <w:rPr>
          <w:rFonts w:ascii="Calibri" w:eastAsiaTheme="minorEastAsia" w:hAnsi="Calibri" w:cs="Calibri"/>
          <w:sz w:val="22"/>
          <w:szCs w:val="22"/>
        </w:rPr>
        <w:t>suggest that</w:t>
      </w:r>
      <w:r w:rsidR="00AB5E0D" w:rsidRPr="009F1618">
        <w:rPr>
          <w:rFonts w:ascii="Calibri" w:eastAsiaTheme="minorEastAsia" w:hAnsi="Calibri" w:cs="Calibri"/>
          <w:sz w:val="22"/>
          <w:szCs w:val="22"/>
        </w:rPr>
        <w:t xml:space="preserve"> cheese </w:t>
      </w:r>
      <w:r w:rsidR="0054293E" w:rsidRPr="009F1618">
        <w:rPr>
          <w:rFonts w:ascii="Calibri" w:eastAsiaTheme="minorEastAsia" w:hAnsi="Calibri" w:cs="Calibri"/>
          <w:sz w:val="22"/>
          <w:szCs w:val="22"/>
        </w:rPr>
        <w:t>is</w:t>
      </w:r>
      <w:r w:rsidR="00AB5E0D" w:rsidRPr="009F1618">
        <w:rPr>
          <w:rFonts w:ascii="Calibri" w:eastAsiaTheme="minorEastAsia" w:hAnsi="Calibri" w:cs="Calibri"/>
          <w:sz w:val="22"/>
          <w:szCs w:val="22"/>
        </w:rPr>
        <w:t xml:space="preserve"> the least integrated of the four </w:t>
      </w:r>
      <w:r w:rsidR="00145D4B" w:rsidRPr="009F1618">
        <w:rPr>
          <w:rFonts w:ascii="Calibri" w:eastAsiaTheme="minorEastAsia" w:hAnsi="Calibri" w:cs="Calibri"/>
          <w:sz w:val="22"/>
          <w:szCs w:val="22"/>
        </w:rPr>
        <w:t>product groups</w:t>
      </w:r>
      <w:r w:rsidR="00AB5E0D" w:rsidRPr="009F1618">
        <w:rPr>
          <w:rFonts w:ascii="Calibri" w:eastAsiaTheme="minorEastAsia" w:hAnsi="Calibri" w:cs="Calibri"/>
          <w:sz w:val="22"/>
          <w:szCs w:val="22"/>
        </w:rPr>
        <w:t>.</w:t>
      </w:r>
      <w:r w:rsidR="009E1C01" w:rsidRPr="009F1618">
        <w:rPr>
          <w:rFonts w:ascii="Calibri" w:eastAsiaTheme="minorEastAsia" w:hAnsi="Calibri" w:cs="Calibri"/>
          <w:sz w:val="22"/>
          <w:szCs w:val="22"/>
        </w:rPr>
        <w:t xml:space="preserve"> </w:t>
      </w:r>
    </w:p>
    <w:p w14:paraId="2FBA87E0" w14:textId="77777777" w:rsidR="002D50D6" w:rsidRPr="009F1618" w:rsidRDefault="002D50D6" w:rsidP="009F1618">
      <w:pPr>
        <w:spacing w:after="0" w:line="240" w:lineRule="auto"/>
        <w:contextualSpacing/>
        <w:jc w:val="both"/>
        <w:rPr>
          <w:rFonts w:ascii="Calibri" w:eastAsiaTheme="minorEastAsia" w:hAnsi="Calibri" w:cs="Calibri"/>
          <w:sz w:val="22"/>
          <w:szCs w:val="22"/>
        </w:rPr>
      </w:pPr>
    </w:p>
    <w:p w14:paraId="0649D413" w14:textId="225539D4" w:rsidR="00FF47E1" w:rsidRDefault="009E1C01"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sz w:val="22"/>
          <w:szCs w:val="22"/>
        </w:rPr>
        <w:t xml:space="preserve">One </w:t>
      </w:r>
      <w:r w:rsidR="00C22F30" w:rsidRPr="009F1618">
        <w:rPr>
          <w:rFonts w:ascii="Calibri" w:eastAsiaTheme="minorEastAsia" w:hAnsi="Calibri" w:cs="Calibri"/>
          <w:sz w:val="22"/>
          <w:szCs w:val="22"/>
        </w:rPr>
        <w:t>possible</w:t>
      </w:r>
      <w:r w:rsidRPr="009F1618">
        <w:rPr>
          <w:rFonts w:ascii="Calibri" w:eastAsiaTheme="minorEastAsia" w:hAnsi="Calibri" w:cs="Calibri"/>
          <w:sz w:val="22"/>
          <w:szCs w:val="22"/>
        </w:rPr>
        <w:t xml:space="preserve"> explanation is that </w:t>
      </w:r>
      <w:r w:rsidR="003A2D93" w:rsidRPr="009F1618">
        <w:rPr>
          <w:rFonts w:ascii="Calibri" w:eastAsiaTheme="minorEastAsia" w:hAnsi="Calibri" w:cs="Calibri"/>
          <w:sz w:val="22"/>
          <w:szCs w:val="22"/>
        </w:rPr>
        <w:t>the mix of products underlying th</w:t>
      </w:r>
      <w:r w:rsidR="00A036E6">
        <w:rPr>
          <w:rFonts w:ascii="Calibri" w:eastAsiaTheme="minorEastAsia" w:hAnsi="Calibri" w:cs="Calibri"/>
          <w:sz w:val="22"/>
          <w:szCs w:val="22"/>
        </w:rPr>
        <w:t>e aggregate cheese product group series</w:t>
      </w:r>
      <w:r w:rsidR="003A2D93" w:rsidRPr="009F1618">
        <w:rPr>
          <w:rFonts w:ascii="Calibri" w:eastAsiaTheme="minorEastAsia" w:hAnsi="Calibri" w:cs="Calibri"/>
          <w:sz w:val="22"/>
          <w:szCs w:val="22"/>
        </w:rPr>
        <w:t xml:space="preserve"> does not necessarily match </w:t>
      </w:r>
      <w:r w:rsidR="00974A7C" w:rsidRPr="009F1618">
        <w:rPr>
          <w:rFonts w:ascii="Calibri" w:eastAsiaTheme="minorEastAsia" w:hAnsi="Calibri" w:cs="Calibri"/>
          <w:sz w:val="22"/>
          <w:szCs w:val="22"/>
        </w:rPr>
        <w:t>from one region to the next.</w:t>
      </w:r>
      <w:r w:rsidR="0047404E" w:rsidRPr="009F1618">
        <w:rPr>
          <w:rFonts w:ascii="Calibri" w:eastAsiaTheme="minorEastAsia" w:hAnsi="Calibri" w:cs="Calibri"/>
          <w:sz w:val="22"/>
          <w:szCs w:val="22"/>
        </w:rPr>
        <w:t xml:space="preserve"> </w:t>
      </w:r>
      <w:r w:rsidR="004140AC" w:rsidRPr="009F1618">
        <w:rPr>
          <w:rFonts w:ascii="Calibri" w:eastAsiaTheme="minorEastAsia" w:hAnsi="Calibri" w:cs="Calibri"/>
          <w:sz w:val="22"/>
          <w:szCs w:val="22"/>
        </w:rPr>
        <w:t xml:space="preserve">This means that each </w:t>
      </w:r>
      <w:r w:rsidR="0047404E" w:rsidRPr="009F1618">
        <w:rPr>
          <w:rFonts w:ascii="Calibri" w:eastAsiaTheme="minorEastAsia" w:hAnsi="Calibri" w:cs="Calibri"/>
          <w:sz w:val="22"/>
          <w:szCs w:val="22"/>
        </w:rPr>
        <w:t xml:space="preserve">region’s </w:t>
      </w:r>
      <w:r w:rsidR="00EE3A67" w:rsidRPr="009F1618">
        <w:rPr>
          <w:rFonts w:ascii="Calibri" w:eastAsiaTheme="minorEastAsia" w:hAnsi="Calibri" w:cs="Calibri"/>
          <w:sz w:val="22"/>
          <w:szCs w:val="22"/>
        </w:rPr>
        <w:t>group</w:t>
      </w:r>
      <w:r w:rsidR="0047404E" w:rsidRPr="009F1618">
        <w:rPr>
          <w:rFonts w:ascii="Calibri" w:eastAsiaTheme="minorEastAsia" w:hAnsi="Calibri" w:cs="Calibri"/>
          <w:sz w:val="22"/>
          <w:szCs w:val="22"/>
        </w:rPr>
        <w:t xml:space="preserve"> </w:t>
      </w:r>
      <w:r w:rsidR="00CE4E32" w:rsidRPr="009F1618">
        <w:rPr>
          <w:rFonts w:ascii="Calibri" w:eastAsiaTheme="minorEastAsia" w:hAnsi="Calibri" w:cs="Calibri"/>
          <w:sz w:val="22"/>
          <w:szCs w:val="22"/>
        </w:rPr>
        <w:t>may not represent quite the same basket of products, which could weaken the appearance of integration even if the underlying markets are, in reality,</w:t>
      </w:r>
      <w:r w:rsidR="00EE79E9" w:rsidRPr="009F1618">
        <w:rPr>
          <w:rFonts w:ascii="Calibri" w:eastAsiaTheme="minorEastAsia" w:hAnsi="Calibri" w:cs="Calibri"/>
          <w:sz w:val="22"/>
          <w:szCs w:val="22"/>
        </w:rPr>
        <w:t xml:space="preserve"> closely linked.</w:t>
      </w:r>
      <w:r w:rsidR="00D3382C" w:rsidRPr="009F1618">
        <w:rPr>
          <w:rFonts w:ascii="Calibri" w:eastAsiaTheme="minorEastAsia" w:hAnsi="Calibri" w:cs="Calibri"/>
          <w:sz w:val="22"/>
          <w:szCs w:val="22"/>
        </w:rPr>
        <w:t xml:space="preserve"> </w:t>
      </w:r>
    </w:p>
    <w:p w14:paraId="4599FD2C" w14:textId="77777777" w:rsidR="002D50D6" w:rsidRPr="009F1618" w:rsidRDefault="002D50D6" w:rsidP="009F1618">
      <w:pPr>
        <w:spacing w:after="0" w:line="240" w:lineRule="auto"/>
        <w:contextualSpacing/>
        <w:jc w:val="both"/>
        <w:rPr>
          <w:rFonts w:ascii="Calibri" w:eastAsiaTheme="minorEastAsia" w:hAnsi="Calibri" w:cs="Calibri"/>
          <w:sz w:val="22"/>
          <w:szCs w:val="22"/>
        </w:rPr>
      </w:pPr>
    </w:p>
    <w:p w14:paraId="1CCC7907" w14:textId="70A6FB65" w:rsidR="00DD7FE2" w:rsidRDefault="00BD5EDF"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sz w:val="22"/>
          <w:szCs w:val="22"/>
        </w:rPr>
        <w:t>An alternative explanation is that</w:t>
      </w:r>
      <w:r w:rsidR="00AD64C1" w:rsidRPr="009F1618">
        <w:rPr>
          <w:rFonts w:ascii="Calibri" w:eastAsiaTheme="minorEastAsia" w:hAnsi="Calibri" w:cs="Calibri"/>
          <w:sz w:val="22"/>
          <w:szCs w:val="22"/>
        </w:rPr>
        <w:t xml:space="preserve"> the</w:t>
      </w:r>
      <w:r w:rsidRPr="009F1618">
        <w:rPr>
          <w:rFonts w:ascii="Calibri" w:eastAsiaTheme="minorEastAsia" w:hAnsi="Calibri" w:cs="Calibri"/>
          <w:sz w:val="22"/>
          <w:szCs w:val="22"/>
        </w:rPr>
        <w:t xml:space="preserve"> cheese </w:t>
      </w:r>
      <w:r w:rsidR="00AD64C1" w:rsidRPr="009F1618">
        <w:rPr>
          <w:rFonts w:ascii="Calibri" w:eastAsiaTheme="minorEastAsia" w:hAnsi="Calibri" w:cs="Calibri"/>
          <w:sz w:val="22"/>
          <w:szCs w:val="22"/>
        </w:rPr>
        <w:t xml:space="preserve">product group </w:t>
      </w:r>
      <w:r w:rsidRPr="009F1618">
        <w:rPr>
          <w:rFonts w:ascii="Calibri" w:eastAsiaTheme="minorEastAsia" w:hAnsi="Calibri" w:cs="Calibri"/>
          <w:sz w:val="22"/>
          <w:szCs w:val="22"/>
        </w:rPr>
        <w:t xml:space="preserve">spans a </w:t>
      </w:r>
      <w:r w:rsidR="00CD1E8A" w:rsidRPr="009F1618">
        <w:rPr>
          <w:rFonts w:ascii="Calibri" w:eastAsiaTheme="minorEastAsia" w:hAnsi="Calibri" w:cs="Calibri"/>
          <w:sz w:val="22"/>
          <w:szCs w:val="22"/>
        </w:rPr>
        <w:t xml:space="preserve">wide range of </w:t>
      </w:r>
      <w:r w:rsidR="00894B38" w:rsidRPr="009F1618">
        <w:rPr>
          <w:rFonts w:ascii="Calibri" w:eastAsiaTheme="minorEastAsia" w:hAnsi="Calibri" w:cs="Calibri"/>
          <w:sz w:val="22"/>
          <w:szCs w:val="22"/>
        </w:rPr>
        <w:t>heterogeneous</w:t>
      </w:r>
      <w:r w:rsidR="00CD1E8A" w:rsidRPr="009F1618">
        <w:rPr>
          <w:rFonts w:ascii="Calibri" w:eastAsiaTheme="minorEastAsia" w:hAnsi="Calibri" w:cs="Calibri"/>
          <w:sz w:val="22"/>
          <w:szCs w:val="22"/>
        </w:rPr>
        <w:t xml:space="preserve"> products</w:t>
      </w:r>
      <w:r w:rsidR="00CF5B75" w:rsidRPr="009F1618">
        <w:rPr>
          <w:rFonts w:ascii="Calibri" w:eastAsiaTheme="minorEastAsia" w:hAnsi="Calibri" w:cs="Calibri"/>
          <w:sz w:val="22"/>
          <w:szCs w:val="22"/>
        </w:rPr>
        <w:t xml:space="preserve"> – cheddar, </w:t>
      </w:r>
      <w:r w:rsidR="00693A7C" w:rsidRPr="009F1618">
        <w:rPr>
          <w:rFonts w:ascii="Calibri" w:eastAsiaTheme="minorEastAsia" w:hAnsi="Calibri" w:cs="Calibri"/>
          <w:sz w:val="22"/>
          <w:szCs w:val="22"/>
        </w:rPr>
        <w:t>fresh</w:t>
      </w:r>
      <w:r w:rsidR="000E3569" w:rsidRPr="009F1618">
        <w:rPr>
          <w:rFonts w:ascii="Calibri" w:eastAsiaTheme="minorEastAsia" w:hAnsi="Calibri" w:cs="Calibri"/>
          <w:sz w:val="22"/>
          <w:szCs w:val="22"/>
        </w:rPr>
        <w:t xml:space="preserve">, </w:t>
      </w:r>
      <w:r w:rsidR="00693A7C" w:rsidRPr="009F1618">
        <w:rPr>
          <w:rFonts w:ascii="Calibri" w:eastAsiaTheme="minorEastAsia" w:hAnsi="Calibri" w:cs="Calibri"/>
          <w:sz w:val="22"/>
          <w:szCs w:val="22"/>
        </w:rPr>
        <w:t>mould</w:t>
      </w:r>
      <w:r w:rsidR="000E3569" w:rsidRPr="009F1618">
        <w:rPr>
          <w:rFonts w:ascii="Calibri" w:eastAsiaTheme="minorEastAsia" w:hAnsi="Calibri" w:cs="Calibri"/>
          <w:sz w:val="22"/>
          <w:szCs w:val="22"/>
        </w:rPr>
        <w:t xml:space="preserve">, </w:t>
      </w:r>
      <w:r w:rsidR="00693A7C" w:rsidRPr="009F1618">
        <w:rPr>
          <w:rFonts w:ascii="Calibri" w:eastAsiaTheme="minorEastAsia" w:hAnsi="Calibri" w:cs="Calibri"/>
          <w:sz w:val="22"/>
          <w:szCs w:val="22"/>
        </w:rPr>
        <w:t>processed, semi-hard</w:t>
      </w:r>
      <w:r w:rsidR="000E3569" w:rsidRPr="009F1618">
        <w:rPr>
          <w:rFonts w:ascii="Calibri" w:eastAsiaTheme="minorEastAsia" w:hAnsi="Calibri" w:cs="Calibri"/>
          <w:sz w:val="22"/>
          <w:szCs w:val="22"/>
        </w:rPr>
        <w:t xml:space="preserve"> – </w:t>
      </w:r>
      <w:r w:rsidR="00894B38" w:rsidRPr="009F1618">
        <w:rPr>
          <w:rFonts w:ascii="Calibri" w:eastAsiaTheme="minorEastAsia" w:hAnsi="Calibri" w:cs="Calibri"/>
          <w:sz w:val="22"/>
          <w:szCs w:val="22"/>
        </w:rPr>
        <w:t xml:space="preserve">compared to </w:t>
      </w:r>
      <w:r w:rsidR="00CD1E8A" w:rsidRPr="009F1618">
        <w:rPr>
          <w:rFonts w:ascii="Calibri" w:eastAsiaTheme="minorEastAsia" w:hAnsi="Calibri" w:cs="Calibri"/>
          <w:sz w:val="22"/>
          <w:szCs w:val="22"/>
        </w:rPr>
        <w:t xml:space="preserve">SMP or WMP, which are </w:t>
      </w:r>
      <w:r w:rsidR="0053670B" w:rsidRPr="009F1618">
        <w:rPr>
          <w:rFonts w:ascii="Calibri" w:eastAsiaTheme="minorEastAsia" w:hAnsi="Calibri" w:cs="Calibri"/>
          <w:sz w:val="22"/>
          <w:szCs w:val="22"/>
        </w:rPr>
        <w:t xml:space="preserve">largely undifferentiated </w:t>
      </w:r>
      <w:r w:rsidR="003C43F2" w:rsidRPr="009F1618">
        <w:rPr>
          <w:rFonts w:ascii="Calibri" w:eastAsiaTheme="minorEastAsia" w:hAnsi="Calibri" w:cs="Calibri"/>
          <w:sz w:val="22"/>
          <w:szCs w:val="22"/>
        </w:rPr>
        <w:t>products</w:t>
      </w:r>
      <w:r w:rsidR="0053670B" w:rsidRPr="009F1618">
        <w:rPr>
          <w:rFonts w:ascii="Calibri" w:eastAsiaTheme="minorEastAsia" w:hAnsi="Calibri" w:cs="Calibri"/>
          <w:sz w:val="22"/>
          <w:szCs w:val="22"/>
        </w:rPr>
        <w:t>.</w:t>
      </w:r>
      <w:r w:rsidR="00DD7FE2" w:rsidRPr="009F1618">
        <w:rPr>
          <w:rFonts w:ascii="Calibri" w:eastAsiaTheme="minorEastAsia" w:hAnsi="Calibri" w:cs="Calibri"/>
          <w:sz w:val="22"/>
          <w:szCs w:val="22"/>
        </w:rPr>
        <w:t xml:space="preserve"> Future work could disaggregate the cheese </w:t>
      </w:r>
      <w:r w:rsidR="00880E52" w:rsidRPr="009F1618">
        <w:rPr>
          <w:rFonts w:ascii="Calibri" w:eastAsiaTheme="minorEastAsia" w:hAnsi="Calibri" w:cs="Calibri"/>
          <w:sz w:val="22"/>
          <w:szCs w:val="22"/>
        </w:rPr>
        <w:t>group</w:t>
      </w:r>
      <w:r w:rsidR="00DD7FE2" w:rsidRPr="009F1618">
        <w:rPr>
          <w:rFonts w:ascii="Calibri" w:eastAsiaTheme="minorEastAsia" w:hAnsi="Calibri" w:cs="Calibri"/>
          <w:sz w:val="22"/>
          <w:szCs w:val="22"/>
        </w:rPr>
        <w:t xml:space="preserve"> into more detailed product categories.</w:t>
      </w:r>
    </w:p>
    <w:p w14:paraId="14C84DB9" w14:textId="77777777" w:rsidR="0022549B" w:rsidRPr="009F1618" w:rsidRDefault="0022549B" w:rsidP="009F1618">
      <w:pPr>
        <w:spacing w:after="0" w:line="240" w:lineRule="auto"/>
        <w:contextualSpacing/>
        <w:jc w:val="both"/>
        <w:rPr>
          <w:rFonts w:ascii="Calibri" w:eastAsiaTheme="minorEastAsia" w:hAnsi="Calibri" w:cs="Calibri"/>
          <w:sz w:val="22"/>
          <w:szCs w:val="22"/>
        </w:rPr>
      </w:pPr>
    </w:p>
    <w:p w14:paraId="1CA3E6CC" w14:textId="49C6EF4F" w:rsidR="00B23B8B" w:rsidRPr="00E76711" w:rsidRDefault="00E76711" w:rsidP="00E76711">
      <w:pPr>
        <w:pStyle w:val="ListParagraph"/>
        <w:spacing w:after="0" w:line="240" w:lineRule="auto"/>
        <w:ind w:left="0"/>
        <w:jc w:val="both"/>
        <w:rPr>
          <w:rFonts w:ascii="Calibri" w:eastAsiaTheme="minorEastAsia" w:hAnsi="Calibri" w:cs="Calibri"/>
          <w:b/>
          <w:bCs/>
        </w:rPr>
      </w:pPr>
      <w:r w:rsidRPr="00E76711">
        <w:rPr>
          <w:rFonts w:ascii="Calibri" w:eastAsiaTheme="minorEastAsia" w:hAnsi="Calibri" w:cs="Calibri"/>
          <w:b/>
          <w:bCs/>
        </w:rPr>
        <w:t>I</w:t>
      </w:r>
      <w:r w:rsidR="00B23B8B" w:rsidRPr="00E76711">
        <w:rPr>
          <w:rFonts w:ascii="Calibri" w:eastAsiaTheme="minorEastAsia" w:hAnsi="Calibri" w:cs="Calibri"/>
          <w:b/>
          <w:bCs/>
        </w:rPr>
        <w:t xml:space="preserve">mpulse </w:t>
      </w:r>
      <w:r>
        <w:rPr>
          <w:rFonts w:ascii="Calibri" w:eastAsiaTheme="minorEastAsia" w:hAnsi="Calibri" w:cs="Calibri"/>
          <w:b/>
          <w:bCs/>
        </w:rPr>
        <w:t>R</w:t>
      </w:r>
      <w:r w:rsidR="00B23B8B" w:rsidRPr="00E76711">
        <w:rPr>
          <w:rFonts w:ascii="Calibri" w:eastAsiaTheme="minorEastAsia" w:hAnsi="Calibri" w:cs="Calibri"/>
          <w:b/>
          <w:bCs/>
        </w:rPr>
        <w:t xml:space="preserve">esponse </w:t>
      </w:r>
      <w:r>
        <w:rPr>
          <w:rFonts w:ascii="Calibri" w:eastAsiaTheme="minorEastAsia" w:hAnsi="Calibri" w:cs="Calibri"/>
          <w:b/>
          <w:bCs/>
        </w:rPr>
        <w:t>A</w:t>
      </w:r>
      <w:r w:rsidR="00B23B8B" w:rsidRPr="00E76711">
        <w:rPr>
          <w:rFonts w:ascii="Calibri" w:eastAsiaTheme="minorEastAsia" w:hAnsi="Calibri" w:cs="Calibri"/>
          <w:b/>
          <w:bCs/>
        </w:rPr>
        <w:t>nalysis</w:t>
      </w:r>
    </w:p>
    <w:p w14:paraId="5C15182C" w14:textId="77777777" w:rsidR="00E76711" w:rsidRPr="009F1618" w:rsidRDefault="00E76711" w:rsidP="00E76711">
      <w:pPr>
        <w:pStyle w:val="ListParagraph"/>
        <w:spacing w:after="0" w:line="240" w:lineRule="auto"/>
        <w:ind w:left="0"/>
        <w:jc w:val="both"/>
        <w:rPr>
          <w:rFonts w:ascii="Calibri" w:eastAsiaTheme="minorEastAsia" w:hAnsi="Calibri" w:cs="Calibri"/>
          <w:b/>
          <w:bCs/>
          <w:sz w:val="22"/>
          <w:szCs w:val="22"/>
        </w:rPr>
      </w:pPr>
    </w:p>
    <w:p w14:paraId="17AFF6E5" w14:textId="44203AD5" w:rsidR="00AA2558" w:rsidRPr="009F1618" w:rsidRDefault="00AA2558"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sz w:val="22"/>
          <w:szCs w:val="22"/>
        </w:rPr>
        <w:lastRenderedPageBreak/>
        <w:t xml:space="preserve">To analyse the dynamic transmission of price shocks across regions, impulse response functions (IRFs) and forecast error variance decompositions (FEVDs) are estimated. IRFs trace the response of all prices to a one standard deviation shock in a single region over a 36-month </w:t>
      </w:r>
      <w:r w:rsidR="00736653" w:rsidRPr="009F1618">
        <w:rPr>
          <w:rFonts w:ascii="Calibri" w:eastAsiaTheme="minorEastAsia" w:hAnsi="Calibri" w:cs="Calibri"/>
          <w:sz w:val="22"/>
          <w:szCs w:val="22"/>
        </w:rPr>
        <w:t>horizon and</w:t>
      </w:r>
      <w:r w:rsidR="006D426F" w:rsidRPr="009F1618">
        <w:rPr>
          <w:rFonts w:ascii="Calibri" w:eastAsiaTheme="minorEastAsia" w:hAnsi="Calibri" w:cs="Calibri"/>
          <w:sz w:val="22"/>
          <w:szCs w:val="22"/>
        </w:rPr>
        <w:t xml:space="preserve"> are especially useful when there are two or more cointegrating relations that may be difficult to interpret on economic grounds alone (Chang and Griffith</w:t>
      </w:r>
      <w:r w:rsidR="002D3495">
        <w:rPr>
          <w:rFonts w:ascii="Calibri" w:eastAsiaTheme="minorEastAsia" w:hAnsi="Calibri" w:cs="Calibri"/>
          <w:sz w:val="22"/>
          <w:szCs w:val="22"/>
        </w:rPr>
        <w:t>,</w:t>
      </w:r>
      <w:r w:rsidR="006D426F" w:rsidRPr="009F1618">
        <w:rPr>
          <w:rFonts w:ascii="Calibri" w:eastAsiaTheme="minorEastAsia" w:hAnsi="Calibri" w:cs="Calibri"/>
          <w:sz w:val="22"/>
          <w:szCs w:val="22"/>
        </w:rPr>
        <w:t xml:space="preserve"> 1998), as is the case </w:t>
      </w:r>
      <w:r w:rsidR="00736653" w:rsidRPr="009F1618">
        <w:rPr>
          <w:rFonts w:ascii="Calibri" w:eastAsiaTheme="minorEastAsia" w:hAnsi="Calibri" w:cs="Calibri"/>
          <w:sz w:val="22"/>
          <w:szCs w:val="22"/>
        </w:rPr>
        <w:t>with</w:t>
      </w:r>
      <w:r w:rsidR="006D426F" w:rsidRPr="009F1618">
        <w:rPr>
          <w:rFonts w:ascii="Calibri" w:eastAsiaTheme="minorEastAsia" w:hAnsi="Calibri" w:cs="Calibri"/>
          <w:sz w:val="22"/>
          <w:szCs w:val="22"/>
        </w:rPr>
        <w:t xml:space="preserve"> </w:t>
      </w:r>
      <w:r w:rsidR="003260E6">
        <w:rPr>
          <w:rFonts w:ascii="Calibri" w:eastAsiaTheme="minorEastAsia" w:hAnsi="Calibri" w:cs="Calibri"/>
          <w:sz w:val="22"/>
          <w:szCs w:val="22"/>
        </w:rPr>
        <w:t xml:space="preserve">SMP and </w:t>
      </w:r>
      <w:r w:rsidR="006D426F" w:rsidRPr="009F1618">
        <w:rPr>
          <w:rFonts w:ascii="Calibri" w:eastAsiaTheme="minorEastAsia" w:hAnsi="Calibri" w:cs="Calibri"/>
          <w:sz w:val="22"/>
          <w:szCs w:val="22"/>
        </w:rPr>
        <w:t>WMP.</w:t>
      </w:r>
      <w:r w:rsidRPr="009F1618">
        <w:rPr>
          <w:rFonts w:ascii="Calibri" w:eastAsiaTheme="minorEastAsia" w:hAnsi="Calibri" w:cs="Calibri"/>
          <w:sz w:val="22"/>
          <w:szCs w:val="22"/>
        </w:rPr>
        <w:t xml:space="preserve"> </w:t>
      </w:r>
      <w:r w:rsidR="004C3D8D" w:rsidRPr="009F1618">
        <w:rPr>
          <w:rFonts w:ascii="Calibri" w:eastAsiaTheme="minorEastAsia" w:hAnsi="Calibri" w:cs="Calibri"/>
          <w:sz w:val="22"/>
          <w:szCs w:val="22"/>
        </w:rPr>
        <w:t>T</w:t>
      </w:r>
      <w:r w:rsidR="006B5A88" w:rsidRPr="009F1618">
        <w:rPr>
          <w:rFonts w:ascii="Calibri" w:eastAsiaTheme="minorEastAsia" w:hAnsi="Calibri" w:cs="Calibri"/>
          <w:sz w:val="22"/>
          <w:szCs w:val="22"/>
        </w:rPr>
        <w:t xml:space="preserve">he </w:t>
      </w:r>
      <w:r w:rsidR="004E4ADF" w:rsidRPr="009F1618">
        <w:rPr>
          <w:rFonts w:ascii="Calibri" w:eastAsiaTheme="minorEastAsia" w:hAnsi="Calibri" w:cs="Calibri"/>
          <w:sz w:val="22"/>
          <w:szCs w:val="22"/>
        </w:rPr>
        <w:t>FEVDs show how much of the variation in each region’s price can be attributed to shocks originating elsewhere</w:t>
      </w:r>
      <w:r w:rsidR="00B55B22" w:rsidRPr="009F1618">
        <w:rPr>
          <w:rFonts w:ascii="Calibri" w:eastAsiaTheme="minorEastAsia" w:hAnsi="Calibri" w:cs="Calibri"/>
          <w:sz w:val="22"/>
          <w:szCs w:val="22"/>
        </w:rPr>
        <w:t xml:space="preserve"> over the </w:t>
      </w:r>
      <w:r w:rsidR="00C77C6E" w:rsidRPr="009F1618">
        <w:rPr>
          <w:rFonts w:ascii="Calibri" w:eastAsiaTheme="minorEastAsia" w:hAnsi="Calibri" w:cs="Calibri"/>
          <w:sz w:val="22"/>
          <w:szCs w:val="22"/>
        </w:rPr>
        <w:t xml:space="preserve">same </w:t>
      </w:r>
      <w:r w:rsidR="006B5A88" w:rsidRPr="009F1618">
        <w:rPr>
          <w:rFonts w:ascii="Calibri" w:eastAsiaTheme="minorEastAsia" w:hAnsi="Calibri" w:cs="Calibri"/>
          <w:sz w:val="22"/>
          <w:szCs w:val="22"/>
        </w:rPr>
        <w:t>horizon</w:t>
      </w:r>
      <w:r w:rsidR="004E4ADF" w:rsidRPr="009F1618">
        <w:rPr>
          <w:rFonts w:ascii="Calibri" w:eastAsiaTheme="minorEastAsia" w:hAnsi="Calibri" w:cs="Calibri"/>
          <w:sz w:val="22"/>
          <w:szCs w:val="22"/>
        </w:rPr>
        <w:t>.</w:t>
      </w:r>
      <w:r w:rsidRPr="009F1618">
        <w:rPr>
          <w:rFonts w:ascii="Calibri" w:eastAsiaTheme="minorEastAsia" w:hAnsi="Calibri" w:cs="Calibri"/>
          <w:sz w:val="22"/>
          <w:szCs w:val="22"/>
        </w:rPr>
        <w:t xml:space="preserve"> Together, </w:t>
      </w:r>
      <w:r w:rsidR="0053073E" w:rsidRPr="009F1618">
        <w:rPr>
          <w:rFonts w:ascii="Calibri" w:eastAsiaTheme="minorEastAsia" w:hAnsi="Calibri" w:cs="Calibri"/>
          <w:sz w:val="22"/>
          <w:szCs w:val="22"/>
        </w:rPr>
        <w:t>they</w:t>
      </w:r>
      <w:r w:rsidRPr="009F1618">
        <w:rPr>
          <w:rFonts w:ascii="Calibri" w:eastAsiaTheme="minorEastAsia" w:hAnsi="Calibri" w:cs="Calibri"/>
          <w:sz w:val="22"/>
          <w:szCs w:val="22"/>
        </w:rPr>
        <w:t xml:space="preserve"> </w:t>
      </w:r>
      <w:r w:rsidR="0053073E" w:rsidRPr="009F1618">
        <w:rPr>
          <w:rFonts w:ascii="Calibri" w:eastAsiaTheme="minorEastAsia" w:hAnsi="Calibri" w:cs="Calibri"/>
          <w:sz w:val="22"/>
          <w:szCs w:val="22"/>
        </w:rPr>
        <w:t>give an indication of</w:t>
      </w:r>
      <w:r w:rsidRPr="009F1618">
        <w:rPr>
          <w:rFonts w:ascii="Calibri" w:eastAsiaTheme="minorEastAsia" w:hAnsi="Calibri" w:cs="Calibri"/>
          <w:sz w:val="22"/>
          <w:szCs w:val="22"/>
        </w:rPr>
        <w:t xml:space="preserve"> which regions </w:t>
      </w:r>
      <w:r w:rsidR="00E02E9C" w:rsidRPr="009F1618">
        <w:rPr>
          <w:rFonts w:ascii="Calibri" w:eastAsiaTheme="minorEastAsia" w:hAnsi="Calibri" w:cs="Calibri"/>
          <w:sz w:val="22"/>
          <w:szCs w:val="22"/>
        </w:rPr>
        <w:t xml:space="preserve">behave </w:t>
      </w:r>
      <w:r w:rsidRPr="009F1618">
        <w:rPr>
          <w:rFonts w:ascii="Calibri" w:eastAsiaTheme="minorEastAsia" w:hAnsi="Calibri" w:cs="Calibri"/>
          <w:sz w:val="22"/>
          <w:szCs w:val="22"/>
        </w:rPr>
        <w:t>as price-makers and which as price-</w:t>
      </w:r>
      <w:r w:rsidR="00AD1977" w:rsidRPr="009F1618">
        <w:rPr>
          <w:rFonts w:ascii="Calibri" w:eastAsiaTheme="minorEastAsia" w:hAnsi="Calibri" w:cs="Calibri"/>
          <w:sz w:val="22"/>
          <w:szCs w:val="22"/>
        </w:rPr>
        <w:t>takers</w:t>
      </w:r>
      <w:r w:rsidRPr="009F1618">
        <w:rPr>
          <w:rFonts w:ascii="Calibri" w:eastAsiaTheme="minorEastAsia" w:hAnsi="Calibri" w:cs="Calibri"/>
          <w:sz w:val="22"/>
          <w:szCs w:val="22"/>
        </w:rPr>
        <w:t xml:space="preserve"> in global dairy markets.</w:t>
      </w:r>
    </w:p>
    <w:p w14:paraId="28BC4D52" w14:textId="77777777" w:rsidR="004D0879" w:rsidRDefault="004D0879" w:rsidP="009F1618">
      <w:pPr>
        <w:spacing w:after="0" w:line="240" w:lineRule="auto"/>
        <w:contextualSpacing/>
        <w:jc w:val="both"/>
        <w:rPr>
          <w:rFonts w:ascii="Calibri" w:eastAsiaTheme="minorEastAsia" w:hAnsi="Calibri" w:cs="Calibri"/>
          <w:sz w:val="22"/>
          <w:szCs w:val="22"/>
        </w:rPr>
      </w:pPr>
    </w:p>
    <w:p w14:paraId="549F7EFD" w14:textId="603B4697" w:rsidR="00AA2558" w:rsidRPr="009F1618" w:rsidRDefault="00AA2558"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sz w:val="22"/>
          <w:szCs w:val="22"/>
        </w:rPr>
        <w:t xml:space="preserve">Both methods </w:t>
      </w:r>
      <w:r w:rsidR="0036330F" w:rsidRPr="009F1618">
        <w:rPr>
          <w:rFonts w:ascii="Calibri" w:eastAsiaTheme="minorEastAsia" w:hAnsi="Calibri" w:cs="Calibri"/>
          <w:sz w:val="22"/>
          <w:szCs w:val="22"/>
        </w:rPr>
        <w:t>are dependent on the</w:t>
      </w:r>
      <w:r w:rsidRPr="009F1618">
        <w:rPr>
          <w:rFonts w:ascii="Calibri" w:eastAsiaTheme="minorEastAsia" w:hAnsi="Calibri" w:cs="Calibri"/>
          <w:sz w:val="22"/>
          <w:szCs w:val="22"/>
        </w:rPr>
        <w:t xml:space="preserve"> order of </w:t>
      </w:r>
      <w:r w:rsidR="00EC3465" w:rsidRPr="009F1618">
        <w:rPr>
          <w:rFonts w:ascii="Calibri" w:eastAsiaTheme="minorEastAsia" w:hAnsi="Calibri" w:cs="Calibri"/>
          <w:sz w:val="22"/>
          <w:szCs w:val="22"/>
        </w:rPr>
        <w:t xml:space="preserve">the </w:t>
      </w:r>
      <w:r w:rsidR="004E4ADF" w:rsidRPr="009F1618">
        <w:rPr>
          <w:rFonts w:ascii="Calibri" w:eastAsiaTheme="minorEastAsia" w:hAnsi="Calibri" w:cs="Calibri"/>
          <w:sz w:val="22"/>
          <w:szCs w:val="22"/>
        </w:rPr>
        <w:t>variables</w:t>
      </w:r>
      <w:r w:rsidR="00EC3465" w:rsidRPr="009F1618">
        <w:rPr>
          <w:rFonts w:ascii="Calibri" w:eastAsiaTheme="minorEastAsia" w:hAnsi="Calibri" w:cs="Calibri"/>
          <w:sz w:val="22"/>
          <w:szCs w:val="22"/>
        </w:rPr>
        <w:t xml:space="preserve"> based</w:t>
      </w:r>
      <w:r w:rsidRPr="009F1618">
        <w:rPr>
          <w:rFonts w:ascii="Calibri" w:eastAsiaTheme="minorEastAsia" w:hAnsi="Calibri" w:cs="Calibri"/>
          <w:sz w:val="22"/>
          <w:szCs w:val="22"/>
        </w:rPr>
        <w:t xml:space="preserve"> on </w:t>
      </w:r>
      <w:r w:rsidRPr="009F1618">
        <w:rPr>
          <w:rFonts w:ascii="Calibri" w:eastAsiaTheme="minorEastAsia" w:hAnsi="Calibri" w:cs="Calibri"/>
          <w:i/>
          <w:iCs/>
          <w:sz w:val="22"/>
          <w:szCs w:val="22"/>
        </w:rPr>
        <w:t>a priori</w:t>
      </w:r>
      <w:r w:rsidRPr="009F1618">
        <w:rPr>
          <w:rFonts w:ascii="Calibri" w:eastAsiaTheme="minorEastAsia" w:hAnsi="Calibri" w:cs="Calibri"/>
          <w:sz w:val="22"/>
          <w:szCs w:val="22"/>
        </w:rPr>
        <w:t xml:space="preserve"> grounds. There is a reasonable case for placing N</w:t>
      </w:r>
      <w:r w:rsidR="004D0879">
        <w:rPr>
          <w:rFonts w:ascii="Calibri" w:eastAsiaTheme="minorEastAsia" w:hAnsi="Calibri" w:cs="Calibri"/>
          <w:sz w:val="22"/>
          <w:szCs w:val="22"/>
        </w:rPr>
        <w:t>ew Zealand</w:t>
      </w:r>
      <w:r w:rsidRPr="009F1618">
        <w:rPr>
          <w:rFonts w:ascii="Calibri" w:eastAsiaTheme="minorEastAsia" w:hAnsi="Calibri" w:cs="Calibri"/>
          <w:sz w:val="22"/>
          <w:szCs w:val="22"/>
        </w:rPr>
        <w:t xml:space="preserve"> first, as the world's largest dairy exporter and home of the Global Dairy Trade (GDT)</w:t>
      </w:r>
      <w:r w:rsidR="009C5417" w:rsidRPr="009F1618">
        <w:rPr>
          <w:rFonts w:ascii="Calibri" w:eastAsiaTheme="minorEastAsia" w:hAnsi="Calibri" w:cs="Calibri"/>
          <w:sz w:val="22"/>
          <w:szCs w:val="22"/>
        </w:rPr>
        <w:t xml:space="preserve"> platform</w:t>
      </w:r>
      <w:r w:rsidRPr="009F1618">
        <w:rPr>
          <w:rFonts w:ascii="Calibri" w:eastAsiaTheme="minorEastAsia" w:hAnsi="Calibri" w:cs="Calibri"/>
          <w:sz w:val="22"/>
          <w:szCs w:val="22"/>
        </w:rPr>
        <w:t xml:space="preserve">, which has become an increasingly </w:t>
      </w:r>
      <w:r w:rsidR="00BB4DD7" w:rsidRPr="009F1618">
        <w:rPr>
          <w:rFonts w:ascii="Calibri" w:eastAsiaTheme="minorEastAsia" w:hAnsi="Calibri" w:cs="Calibri"/>
          <w:sz w:val="22"/>
          <w:szCs w:val="22"/>
        </w:rPr>
        <w:t>credible</w:t>
      </w:r>
      <w:r w:rsidRPr="009F1618">
        <w:rPr>
          <w:rFonts w:ascii="Calibri" w:eastAsiaTheme="minorEastAsia" w:hAnsi="Calibri" w:cs="Calibri"/>
          <w:sz w:val="22"/>
          <w:szCs w:val="22"/>
        </w:rPr>
        <w:t xml:space="preserve"> global price reference for dairy commodities. Australia follows given </w:t>
      </w:r>
      <w:r w:rsidR="005C1E5B" w:rsidRPr="009F1618">
        <w:rPr>
          <w:rFonts w:ascii="Calibri" w:eastAsiaTheme="minorEastAsia" w:hAnsi="Calibri" w:cs="Calibri"/>
          <w:sz w:val="22"/>
          <w:szCs w:val="22"/>
        </w:rPr>
        <w:t>its</w:t>
      </w:r>
      <w:r w:rsidR="00B06891" w:rsidRPr="009F1618">
        <w:rPr>
          <w:rFonts w:ascii="Calibri" w:eastAsiaTheme="minorEastAsia" w:hAnsi="Calibri" w:cs="Calibri"/>
          <w:sz w:val="22"/>
          <w:szCs w:val="22"/>
        </w:rPr>
        <w:t xml:space="preserve"> similar econ</w:t>
      </w:r>
      <w:r w:rsidR="005C1E5B" w:rsidRPr="009F1618">
        <w:rPr>
          <w:rFonts w:ascii="Calibri" w:eastAsiaTheme="minorEastAsia" w:hAnsi="Calibri" w:cs="Calibri"/>
          <w:sz w:val="22"/>
          <w:szCs w:val="22"/>
        </w:rPr>
        <w:t>omy and policy stance and</w:t>
      </w:r>
      <w:r w:rsidRPr="009F1618">
        <w:rPr>
          <w:rFonts w:ascii="Calibri" w:eastAsiaTheme="minorEastAsia" w:hAnsi="Calibri" w:cs="Calibri"/>
          <w:sz w:val="22"/>
          <w:szCs w:val="22"/>
        </w:rPr>
        <w:t xml:space="preserve"> geographic proximity to N</w:t>
      </w:r>
      <w:r w:rsidR="009F587B">
        <w:rPr>
          <w:rFonts w:ascii="Calibri" w:eastAsiaTheme="minorEastAsia" w:hAnsi="Calibri" w:cs="Calibri"/>
          <w:sz w:val="22"/>
          <w:szCs w:val="22"/>
        </w:rPr>
        <w:t>ew Zealand</w:t>
      </w:r>
      <w:r w:rsidRPr="009F1618">
        <w:rPr>
          <w:rFonts w:ascii="Calibri" w:eastAsiaTheme="minorEastAsia" w:hAnsi="Calibri" w:cs="Calibri"/>
          <w:sz w:val="22"/>
          <w:szCs w:val="22"/>
        </w:rPr>
        <w:t>. The E</w:t>
      </w:r>
      <w:r w:rsidR="009F587B">
        <w:rPr>
          <w:rFonts w:ascii="Calibri" w:eastAsiaTheme="minorEastAsia" w:hAnsi="Calibri" w:cs="Calibri"/>
          <w:sz w:val="22"/>
          <w:szCs w:val="22"/>
        </w:rPr>
        <w:t>uropean Union</w:t>
      </w:r>
      <w:r w:rsidRPr="009F1618">
        <w:rPr>
          <w:rFonts w:ascii="Calibri" w:eastAsiaTheme="minorEastAsia" w:hAnsi="Calibri" w:cs="Calibri"/>
          <w:sz w:val="22"/>
          <w:szCs w:val="22"/>
        </w:rPr>
        <w:t xml:space="preserve"> and </w:t>
      </w:r>
      <w:r w:rsidR="009F587B">
        <w:rPr>
          <w:rFonts w:ascii="Calibri" w:eastAsiaTheme="minorEastAsia" w:hAnsi="Calibri" w:cs="Calibri"/>
          <w:sz w:val="22"/>
          <w:szCs w:val="22"/>
        </w:rPr>
        <w:t xml:space="preserve">the </w:t>
      </w:r>
      <w:r w:rsidRPr="009F1618">
        <w:rPr>
          <w:rFonts w:ascii="Calibri" w:eastAsiaTheme="minorEastAsia" w:hAnsi="Calibri" w:cs="Calibri"/>
          <w:sz w:val="22"/>
          <w:szCs w:val="22"/>
        </w:rPr>
        <w:t>U</w:t>
      </w:r>
      <w:r w:rsidR="009F587B">
        <w:rPr>
          <w:rFonts w:ascii="Calibri" w:eastAsiaTheme="minorEastAsia" w:hAnsi="Calibri" w:cs="Calibri"/>
          <w:sz w:val="22"/>
          <w:szCs w:val="22"/>
        </w:rPr>
        <w:t>nited States</w:t>
      </w:r>
      <w:r w:rsidRPr="009F1618">
        <w:rPr>
          <w:rFonts w:ascii="Calibri" w:eastAsiaTheme="minorEastAsia" w:hAnsi="Calibri" w:cs="Calibri"/>
          <w:sz w:val="22"/>
          <w:szCs w:val="22"/>
        </w:rPr>
        <w:t xml:space="preserve"> are placed last, reflecting the greater insulation of their markets from global price signals </w:t>
      </w:r>
      <w:r w:rsidR="00343898" w:rsidRPr="009F1618">
        <w:rPr>
          <w:rFonts w:ascii="Calibri" w:eastAsiaTheme="minorEastAsia" w:hAnsi="Calibri" w:cs="Calibri"/>
          <w:sz w:val="22"/>
          <w:szCs w:val="22"/>
        </w:rPr>
        <w:t>as a result of policy interventions</w:t>
      </w:r>
      <w:r w:rsidR="00FC1069" w:rsidRPr="009F1618">
        <w:rPr>
          <w:rFonts w:ascii="Calibri" w:eastAsiaTheme="minorEastAsia" w:hAnsi="Calibri" w:cs="Calibri"/>
          <w:sz w:val="22"/>
          <w:szCs w:val="22"/>
        </w:rPr>
        <w:t>. The U</w:t>
      </w:r>
      <w:r w:rsidR="007E333D">
        <w:rPr>
          <w:rFonts w:ascii="Calibri" w:eastAsiaTheme="minorEastAsia" w:hAnsi="Calibri" w:cs="Calibri"/>
          <w:sz w:val="22"/>
          <w:szCs w:val="22"/>
        </w:rPr>
        <w:t>nited States</w:t>
      </w:r>
      <w:r w:rsidR="00FC1069" w:rsidRPr="009F1618">
        <w:rPr>
          <w:rFonts w:ascii="Calibri" w:eastAsiaTheme="minorEastAsia" w:hAnsi="Calibri" w:cs="Calibri"/>
          <w:sz w:val="22"/>
          <w:szCs w:val="22"/>
        </w:rPr>
        <w:t xml:space="preserve"> is ordered after the E</w:t>
      </w:r>
      <w:r w:rsidR="007E333D">
        <w:rPr>
          <w:rFonts w:ascii="Calibri" w:eastAsiaTheme="minorEastAsia" w:hAnsi="Calibri" w:cs="Calibri"/>
          <w:sz w:val="22"/>
          <w:szCs w:val="22"/>
        </w:rPr>
        <w:t>uropean Union</w:t>
      </w:r>
      <w:r w:rsidR="00FC1069" w:rsidRPr="009F1618">
        <w:rPr>
          <w:rFonts w:ascii="Calibri" w:eastAsiaTheme="minorEastAsia" w:hAnsi="Calibri" w:cs="Calibri"/>
          <w:sz w:val="22"/>
          <w:szCs w:val="22"/>
        </w:rPr>
        <w:t xml:space="preserve"> given its weaker price leadership role in international dairy markets, as suggested by Fousekis et al. (2017) and Rezitis and Rokopanos (2019)</w:t>
      </w:r>
      <w:r w:rsidR="00242815" w:rsidRPr="009F1618">
        <w:rPr>
          <w:rFonts w:ascii="Calibri" w:eastAsiaTheme="minorEastAsia" w:hAnsi="Calibri" w:cs="Calibri"/>
          <w:sz w:val="22"/>
          <w:szCs w:val="22"/>
        </w:rPr>
        <w:t>, as well as the fact that they were insignificant exporters at the start of the sample period.</w:t>
      </w:r>
    </w:p>
    <w:p w14:paraId="48F2FD50" w14:textId="77777777" w:rsidR="007E333D" w:rsidRDefault="007E333D" w:rsidP="009F1618">
      <w:pPr>
        <w:spacing w:after="0" w:line="240" w:lineRule="auto"/>
        <w:contextualSpacing/>
        <w:jc w:val="both"/>
        <w:rPr>
          <w:rFonts w:ascii="Calibri" w:eastAsiaTheme="minorEastAsia" w:hAnsi="Calibri" w:cs="Calibri"/>
          <w:sz w:val="22"/>
          <w:szCs w:val="22"/>
        </w:rPr>
      </w:pPr>
    </w:p>
    <w:p w14:paraId="05D79AE9" w14:textId="6F8F0E1C" w:rsidR="00AA2558" w:rsidRDefault="00EA3EDB" w:rsidP="009F1618">
      <w:pPr>
        <w:spacing w:after="0" w:line="240" w:lineRule="auto"/>
        <w:contextualSpacing/>
        <w:jc w:val="both"/>
        <w:rPr>
          <w:rFonts w:ascii="Calibri" w:eastAsiaTheme="minorEastAsia" w:hAnsi="Calibri" w:cs="Calibri"/>
          <w:sz w:val="22"/>
          <w:szCs w:val="22"/>
        </w:rPr>
      </w:pPr>
      <w:r>
        <w:rPr>
          <w:rFonts w:ascii="Calibri" w:eastAsiaTheme="minorEastAsia" w:hAnsi="Calibri" w:cs="Calibri"/>
          <w:sz w:val="22"/>
          <w:szCs w:val="22"/>
        </w:rPr>
        <w:t>As an additional check on the assumed ordering</w:t>
      </w:r>
      <w:r w:rsidR="00AA2558" w:rsidRPr="009F1618">
        <w:rPr>
          <w:rFonts w:ascii="Calibri" w:eastAsiaTheme="minorEastAsia" w:hAnsi="Calibri" w:cs="Calibri"/>
          <w:sz w:val="22"/>
          <w:szCs w:val="22"/>
        </w:rPr>
        <w:t xml:space="preserve">, Granger causality tests are conducted for each pair of regions, with results reported in Table </w:t>
      </w:r>
      <w:r w:rsidR="00103C7C" w:rsidRPr="009F1618">
        <w:rPr>
          <w:rFonts w:ascii="Calibri" w:eastAsiaTheme="minorEastAsia" w:hAnsi="Calibri" w:cs="Calibri"/>
          <w:sz w:val="22"/>
          <w:szCs w:val="22"/>
        </w:rPr>
        <w:t>5</w:t>
      </w:r>
      <w:r w:rsidR="00AA2558" w:rsidRPr="009F1618">
        <w:rPr>
          <w:rFonts w:ascii="Calibri" w:eastAsiaTheme="minorEastAsia" w:hAnsi="Calibri" w:cs="Calibri"/>
          <w:sz w:val="22"/>
          <w:szCs w:val="22"/>
        </w:rPr>
        <w:t xml:space="preserve">. </w:t>
      </w:r>
      <w:r w:rsidR="001E13FA" w:rsidRPr="009F1618">
        <w:rPr>
          <w:rFonts w:ascii="Calibri" w:eastAsiaTheme="minorEastAsia" w:hAnsi="Calibri" w:cs="Calibri"/>
          <w:sz w:val="22"/>
          <w:szCs w:val="22"/>
        </w:rPr>
        <w:t xml:space="preserve">These results are also of interest in their own right as evidence of the direction of causality across </w:t>
      </w:r>
      <w:r w:rsidR="001479B9" w:rsidRPr="009F1618">
        <w:rPr>
          <w:rFonts w:ascii="Calibri" w:eastAsiaTheme="minorEastAsia" w:hAnsi="Calibri" w:cs="Calibri"/>
          <w:sz w:val="22"/>
          <w:szCs w:val="22"/>
        </w:rPr>
        <w:t>regions</w:t>
      </w:r>
      <w:r w:rsidR="001E13FA" w:rsidRPr="009F1618">
        <w:rPr>
          <w:rFonts w:ascii="Calibri" w:eastAsiaTheme="minorEastAsia" w:hAnsi="Calibri" w:cs="Calibri"/>
          <w:sz w:val="22"/>
          <w:szCs w:val="22"/>
        </w:rPr>
        <w:t xml:space="preserve">. </w:t>
      </w:r>
      <w:r w:rsidR="00E9682B" w:rsidRPr="00E9682B">
        <w:rPr>
          <w:rFonts w:ascii="Calibri" w:eastAsiaTheme="minorEastAsia" w:hAnsi="Calibri" w:cs="Calibri"/>
          <w:sz w:val="22"/>
          <w:szCs w:val="22"/>
        </w:rPr>
        <w:t xml:space="preserve">See also Griffith et al. (2026) for Granger causality tests of </w:t>
      </w:r>
      <w:r w:rsidR="00B84792">
        <w:rPr>
          <w:rFonts w:ascii="Calibri" w:eastAsiaTheme="minorEastAsia" w:hAnsi="Calibri" w:cs="Calibri"/>
          <w:sz w:val="22"/>
          <w:szCs w:val="22"/>
        </w:rPr>
        <w:t xml:space="preserve">the same </w:t>
      </w:r>
      <w:r w:rsidR="00E9682B" w:rsidRPr="00E9682B">
        <w:rPr>
          <w:rFonts w:ascii="Calibri" w:eastAsiaTheme="minorEastAsia" w:hAnsi="Calibri" w:cs="Calibri"/>
          <w:sz w:val="22"/>
          <w:szCs w:val="22"/>
        </w:rPr>
        <w:t>prices before log</w:t>
      </w:r>
      <w:r w:rsidR="00B84792">
        <w:rPr>
          <w:rFonts w:ascii="Calibri" w:eastAsiaTheme="minorEastAsia" w:hAnsi="Calibri" w:cs="Calibri"/>
          <w:sz w:val="22"/>
          <w:szCs w:val="22"/>
        </w:rPr>
        <w:t xml:space="preserve"> </w:t>
      </w:r>
      <w:r w:rsidR="00E9682B" w:rsidRPr="00E9682B">
        <w:rPr>
          <w:rFonts w:ascii="Calibri" w:eastAsiaTheme="minorEastAsia" w:hAnsi="Calibri" w:cs="Calibri"/>
          <w:sz w:val="22"/>
          <w:szCs w:val="22"/>
        </w:rPr>
        <w:t>transform</w:t>
      </w:r>
      <w:r w:rsidR="00B84792">
        <w:rPr>
          <w:rFonts w:ascii="Calibri" w:eastAsiaTheme="minorEastAsia" w:hAnsi="Calibri" w:cs="Calibri"/>
          <w:sz w:val="22"/>
          <w:szCs w:val="22"/>
        </w:rPr>
        <w:t>ation</w:t>
      </w:r>
      <w:r w:rsidR="00E9682B" w:rsidRPr="00E9682B">
        <w:rPr>
          <w:rFonts w:ascii="Calibri" w:eastAsiaTheme="minorEastAsia" w:hAnsi="Calibri" w:cs="Calibri"/>
          <w:sz w:val="22"/>
          <w:szCs w:val="22"/>
        </w:rPr>
        <w:t>.</w:t>
      </w:r>
      <w:r w:rsidR="00E9682B">
        <w:rPr>
          <w:rFonts w:ascii="Calibri" w:eastAsiaTheme="minorEastAsia" w:hAnsi="Calibri" w:cs="Calibri"/>
          <w:sz w:val="22"/>
          <w:szCs w:val="22"/>
        </w:rPr>
        <w:t xml:space="preserve"> </w:t>
      </w:r>
      <w:r w:rsidR="00B84792">
        <w:rPr>
          <w:rFonts w:ascii="Calibri" w:eastAsiaTheme="minorEastAsia" w:hAnsi="Calibri" w:cs="Calibri"/>
          <w:sz w:val="22"/>
          <w:szCs w:val="22"/>
        </w:rPr>
        <w:t>The</w:t>
      </w:r>
      <w:r w:rsidR="00AA2558" w:rsidRPr="009F1618">
        <w:rPr>
          <w:rFonts w:ascii="Calibri" w:eastAsiaTheme="minorEastAsia" w:hAnsi="Calibri" w:cs="Calibri"/>
          <w:sz w:val="22"/>
          <w:szCs w:val="22"/>
        </w:rPr>
        <w:t xml:space="preserve"> results are broadly </w:t>
      </w:r>
      <w:r w:rsidR="007237E2">
        <w:rPr>
          <w:rFonts w:ascii="Calibri" w:eastAsiaTheme="minorEastAsia" w:hAnsi="Calibri" w:cs="Calibri"/>
          <w:sz w:val="22"/>
          <w:szCs w:val="22"/>
        </w:rPr>
        <w:t>in favour of</w:t>
      </w:r>
      <w:r w:rsidR="00AA2558" w:rsidRPr="009F1618">
        <w:rPr>
          <w:rFonts w:ascii="Calibri" w:eastAsiaTheme="minorEastAsia" w:hAnsi="Calibri" w:cs="Calibri"/>
          <w:sz w:val="22"/>
          <w:szCs w:val="22"/>
        </w:rPr>
        <w:t xml:space="preserve"> the assumed ordering. N</w:t>
      </w:r>
      <w:r w:rsidR="00CF5EF3">
        <w:rPr>
          <w:rFonts w:ascii="Calibri" w:eastAsiaTheme="minorEastAsia" w:hAnsi="Calibri" w:cs="Calibri"/>
          <w:sz w:val="22"/>
          <w:szCs w:val="22"/>
        </w:rPr>
        <w:t>ew Zealand</w:t>
      </w:r>
      <w:r w:rsidR="00AA2558" w:rsidRPr="009F1618">
        <w:rPr>
          <w:rFonts w:ascii="Calibri" w:eastAsiaTheme="minorEastAsia" w:hAnsi="Calibri" w:cs="Calibri"/>
          <w:sz w:val="22"/>
          <w:szCs w:val="22"/>
        </w:rPr>
        <w:t xml:space="preserve"> prices most consistently Granger-cause movements in other regions, with A</w:t>
      </w:r>
      <w:r w:rsidR="00087E2E">
        <w:rPr>
          <w:rFonts w:ascii="Calibri" w:eastAsiaTheme="minorEastAsia" w:hAnsi="Calibri" w:cs="Calibri"/>
          <w:sz w:val="22"/>
          <w:szCs w:val="22"/>
        </w:rPr>
        <w:t>ustralia</w:t>
      </w:r>
      <w:r w:rsidR="00AA2558" w:rsidRPr="009F1618">
        <w:rPr>
          <w:rFonts w:ascii="Calibri" w:eastAsiaTheme="minorEastAsia" w:hAnsi="Calibri" w:cs="Calibri"/>
          <w:sz w:val="22"/>
          <w:szCs w:val="22"/>
        </w:rPr>
        <w:t xml:space="preserve"> proving particularly responsive across all four </w:t>
      </w:r>
      <w:r w:rsidR="00343898" w:rsidRPr="009F1618">
        <w:rPr>
          <w:rFonts w:ascii="Calibri" w:eastAsiaTheme="minorEastAsia" w:hAnsi="Calibri" w:cs="Calibri"/>
          <w:sz w:val="22"/>
          <w:szCs w:val="22"/>
        </w:rPr>
        <w:t>product groups</w:t>
      </w:r>
      <w:r w:rsidR="00AA2558" w:rsidRPr="009F1618">
        <w:rPr>
          <w:rFonts w:ascii="Calibri" w:eastAsiaTheme="minorEastAsia" w:hAnsi="Calibri" w:cs="Calibri"/>
          <w:sz w:val="22"/>
          <w:szCs w:val="22"/>
        </w:rPr>
        <w:t>. SMP is the most globally connected, with all regions Granger-causing one another, followed by butter, while cheese is the least integrated. WMP presents the clearest case for N</w:t>
      </w:r>
      <w:r w:rsidR="00087E2E">
        <w:rPr>
          <w:rFonts w:ascii="Calibri" w:eastAsiaTheme="minorEastAsia" w:hAnsi="Calibri" w:cs="Calibri"/>
          <w:sz w:val="22"/>
          <w:szCs w:val="22"/>
        </w:rPr>
        <w:t>ew Zealand</w:t>
      </w:r>
      <w:r w:rsidR="00AA2558" w:rsidRPr="009F1618">
        <w:rPr>
          <w:rFonts w:ascii="Calibri" w:eastAsiaTheme="minorEastAsia" w:hAnsi="Calibri" w:cs="Calibri"/>
          <w:sz w:val="22"/>
          <w:szCs w:val="22"/>
        </w:rPr>
        <w:t xml:space="preserve"> price leadership, with causation running predominantly from N</w:t>
      </w:r>
      <w:r w:rsidR="00087E2E">
        <w:rPr>
          <w:rFonts w:ascii="Calibri" w:eastAsiaTheme="minorEastAsia" w:hAnsi="Calibri" w:cs="Calibri"/>
          <w:sz w:val="22"/>
          <w:szCs w:val="22"/>
        </w:rPr>
        <w:t>ew Zealand</w:t>
      </w:r>
      <w:r w:rsidR="00AA2558" w:rsidRPr="009F1618">
        <w:rPr>
          <w:rFonts w:ascii="Calibri" w:eastAsiaTheme="minorEastAsia" w:hAnsi="Calibri" w:cs="Calibri"/>
          <w:sz w:val="22"/>
          <w:szCs w:val="22"/>
        </w:rPr>
        <w:t xml:space="preserve"> outward.</w:t>
      </w:r>
    </w:p>
    <w:p w14:paraId="67EAA03F" w14:textId="77777777" w:rsidR="00087E2E" w:rsidRPr="009F1618" w:rsidRDefault="00087E2E" w:rsidP="009F1618">
      <w:pPr>
        <w:spacing w:after="0" w:line="240" w:lineRule="auto"/>
        <w:contextualSpacing/>
        <w:jc w:val="both"/>
        <w:rPr>
          <w:rFonts w:ascii="Calibri" w:eastAsiaTheme="minorEastAsia" w:hAnsi="Calibri" w:cs="Calibri"/>
          <w:sz w:val="22"/>
          <w:szCs w:val="22"/>
        </w:rPr>
      </w:pPr>
    </w:p>
    <w:p w14:paraId="3B5E9ECF" w14:textId="71345326" w:rsidR="00AA2558" w:rsidRDefault="00AA2558"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sz w:val="22"/>
          <w:szCs w:val="22"/>
        </w:rPr>
        <w:t xml:space="preserve">Figure </w:t>
      </w:r>
      <w:r w:rsidR="008B3F52">
        <w:rPr>
          <w:rFonts w:ascii="Calibri" w:eastAsiaTheme="minorEastAsia" w:hAnsi="Calibri" w:cs="Calibri"/>
          <w:sz w:val="22"/>
          <w:szCs w:val="22"/>
        </w:rPr>
        <w:t>2</w:t>
      </w:r>
      <w:r w:rsidRPr="009F1618">
        <w:rPr>
          <w:rFonts w:ascii="Calibri" w:eastAsiaTheme="minorEastAsia" w:hAnsi="Calibri" w:cs="Calibri"/>
          <w:sz w:val="22"/>
          <w:szCs w:val="22"/>
        </w:rPr>
        <w:t xml:space="preserve"> presents the IRFs for butter, cheese, SMP and WMP. In each figure, columns identify the region in which the shock </w:t>
      </w:r>
      <w:r w:rsidR="008D544B" w:rsidRPr="009F1618">
        <w:rPr>
          <w:rFonts w:ascii="Calibri" w:eastAsiaTheme="minorEastAsia" w:hAnsi="Calibri" w:cs="Calibri"/>
          <w:sz w:val="22"/>
          <w:szCs w:val="22"/>
        </w:rPr>
        <w:t>originates,</w:t>
      </w:r>
      <w:r w:rsidRPr="009F1618">
        <w:rPr>
          <w:rFonts w:ascii="Calibri" w:eastAsiaTheme="minorEastAsia" w:hAnsi="Calibri" w:cs="Calibri"/>
          <w:sz w:val="22"/>
          <w:szCs w:val="22"/>
        </w:rPr>
        <w:t xml:space="preserve"> and rows identify the responding region</w:t>
      </w:r>
      <w:r w:rsidR="00EC44B2">
        <w:rPr>
          <w:rFonts w:ascii="Calibri" w:eastAsiaTheme="minorEastAsia" w:hAnsi="Calibri" w:cs="Calibri"/>
          <w:sz w:val="22"/>
          <w:szCs w:val="22"/>
        </w:rPr>
        <w:t>, with</w:t>
      </w:r>
      <w:r w:rsidR="00B86F19">
        <w:rPr>
          <w:rFonts w:ascii="Calibri" w:eastAsiaTheme="minorEastAsia" w:hAnsi="Calibri" w:cs="Calibri"/>
          <w:sz w:val="22"/>
          <w:szCs w:val="22"/>
        </w:rPr>
        <w:t xml:space="preserve"> </w:t>
      </w:r>
      <w:r w:rsidRPr="009F1618">
        <w:rPr>
          <w:rFonts w:ascii="Calibri" w:eastAsiaTheme="minorEastAsia" w:hAnsi="Calibri" w:cs="Calibri"/>
          <w:sz w:val="22"/>
          <w:szCs w:val="22"/>
        </w:rPr>
        <w:t>95</w:t>
      </w:r>
      <w:r w:rsidR="008B3F52">
        <w:rPr>
          <w:rFonts w:ascii="Calibri" w:eastAsiaTheme="minorEastAsia" w:hAnsi="Calibri" w:cs="Calibri"/>
          <w:sz w:val="22"/>
          <w:szCs w:val="22"/>
        </w:rPr>
        <w:t xml:space="preserve"> per cent</w:t>
      </w:r>
      <w:r w:rsidRPr="009F1618">
        <w:rPr>
          <w:rFonts w:ascii="Calibri" w:eastAsiaTheme="minorEastAsia" w:hAnsi="Calibri" w:cs="Calibri"/>
          <w:sz w:val="22"/>
          <w:szCs w:val="22"/>
        </w:rPr>
        <w:t xml:space="preserve"> bootstrap confidence intervals constructed from 2,000 replications</w:t>
      </w:r>
      <w:r w:rsidR="00EC44B2">
        <w:rPr>
          <w:rFonts w:ascii="Calibri" w:eastAsiaTheme="minorEastAsia" w:hAnsi="Calibri" w:cs="Calibri"/>
          <w:sz w:val="22"/>
          <w:szCs w:val="22"/>
        </w:rPr>
        <w:t xml:space="preserve"> represented by the shaded areas</w:t>
      </w:r>
      <w:r w:rsidRPr="009F1618">
        <w:rPr>
          <w:rFonts w:ascii="Calibri" w:eastAsiaTheme="minorEastAsia" w:hAnsi="Calibri" w:cs="Calibri"/>
          <w:sz w:val="22"/>
          <w:szCs w:val="22"/>
        </w:rPr>
        <w:t>. The results confirm that shocks to N</w:t>
      </w:r>
      <w:r w:rsidR="008B3F52">
        <w:rPr>
          <w:rFonts w:ascii="Calibri" w:eastAsiaTheme="minorEastAsia" w:hAnsi="Calibri" w:cs="Calibri"/>
          <w:sz w:val="22"/>
          <w:szCs w:val="22"/>
        </w:rPr>
        <w:t>ew Zealand</w:t>
      </w:r>
      <w:r w:rsidRPr="009F1618">
        <w:rPr>
          <w:rFonts w:ascii="Calibri" w:eastAsiaTheme="minorEastAsia" w:hAnsi="Calibri" w:cs="Calibri"/>
          <w:sz w:val="22"/>
          <w:szCs w:val="22"/>
        </w:rPr>
        <w:t xml:space="preserve"> prices have the largest and most persistent effect on the system across all commodities, with A</w:t>
      </w:r>
      <w:r w:rsidR="008B3F52">
        <w:rPr>
          <w:rFonts w:ascii="Calibri" w:eastAsiaTheme="minorEastAsia" w:hAnsi="Calibri" w:cs="Calibri"/>
          <w:sz w:val="22"/>
          <w:szCs w:val="22"/>
        </w:rPr>
        <w:t>ustralia</w:t>
      </w:r>
      <w:r w:rsidR="0018600D">
        <w:rPr>
          <w:rFonts w:ascii="Calibri" w:eastAsiaTheme="minorEastAsia" w:hAnsi="Calibri" w:cs="Calibri"/>
          <w:sz w:val="22"/>
          <w:szCs w:val="22"/>
        </w:rPr>
        <w:t>n</w:t>
      </w:r>
      <w:r w:rsidRPr="009F1618">
        <w:rPr>
          <w:rFonts w:ascii="Calibri" w:eastAsiaTheme="minorEastAsia" w:hAnsi="Calibri" w:cs="Calibri"/>
          <w:sz w:val="22"/>
          <w:szCs w:val="22"/>
        </w:rPr>
        <w:t xml:space="preserve"> prices adjusting most strongly. </w:t>
      </w:r>
    </w:p>
    <w:p w14:paraId="13A5DC55" w14:textId="77777777" w:rsidR="0018600D" w:rsidRPr="009F1618" w:rsidRDefault="0018600D" w:rsidP="009F1618">
      <w:pPr>
        <w:spacing w:after="0" w:line="240" w:lineRule="auto"/>
        <w:contextualSpacing/>
        <w:jc w:val="both"/>
        <w:rPr>
          <w:rFonts w:ascii="Calibri" w:eastAsiaTheme="minorEastAsia" w:hAnsi="Calibri" w:cs="Calibri"/>
          <w:sz w:val="22"/>
          <w:szCs w:val="22"/>
        </w:rPr>
      </w:pPr>
    </w:p>
    <w:p w14:paraId="29B3D630" w14:textId="3C012FF9" w:rsidR="001574B2" w:rsidRPr="009F1618" w:rsidRDefault="00E74201" w:rsidP="009F1618">
      <w:pPr>
        <w:spacing w:after="0" w:line="240" w:lineRule="auto"/>
        <w:contextualSpacing/>
        <w:jc w:val="both"/>
        <w:rPr>
          <w:rFonts w:ascii="Calibri" w:eastAsiaTheme="minorEastAsia" w:hAnsi="Calibri" w:cs="Calibri"/>
          <w:sz w:val="22"/>
          <w:szCs w:val="22"/>
        </w:rPr>
      </w:pPr>
      <w:r w:rsidRPr="009F1618">
        <w:rPr>
          <w:rFonts w:ascii="Calibri" w:eastAsiaTheme="minorEastAsia" w:hAnsi="Calibri" w:cs="Calibri"/>
          <w:sz w:val="22"/>
          <w:szCs w:val="22"/>
        </w:rPr>
        <w:t>This is reinforced by the FEVD results in</w:t>
      </w:r>
      <w:r w:rsidR="00AA2558" w:rsidRPr="009F1618">
        <w:rPr>
          <w:rFonts w:ascii="Calibri" w:eastAsiaTheme="minorEastAsia" w:hAnsi="Calibri" w:cs="Calibri"/>
          <w:sz w:val="22"/>
          <w:szCs w:val="22"/>
        </w:rPr>
        <w:t xml:space="preserve"> Figure </w:t>
      </w:r>
      <w:r w:rsidR="0018600D">
        <w:rPr>
          <w:rFonts w:ascii="Calibri" w:eastAsiaTheme="minorEastAsia" w:hAnsi="Calibri" w:cs="Calibri"/>
          <w:sz w:val="22"/>
          <w:szCs w:val="22"/>
        </w:rPr>
        <w:t>3</w:t>
      </w:r>
      <w:r w:rsidRPr="009F1618">
        <w:rPr>
          <w:rFonts w:ascii="Calibri" w:eastAsiaTheme="minorEastAsia" w:hAnsi="Calibri" w:cs="Calibri"/>
          <w:sz w:val="22"/>
          <w:szCs w:val="22"/>
        </w:rPr>
        <w:t xml:space="preserve">. </w:t>
      </w:r>
      <w:r w:rsidR="00AA2558" w:rsidRPr="009F1618">
        <w:rPr>
          <w:rFonts w:ascii="Calibri" w:eastAsiaTheme="minorEastAsia" w:hAnsi="Calibri" w:cs="Calibri"/>
          <w:sz w:val="22"/>
          <w:szCs w:val="22"/>
        </w:rPr>
        <w:t>The forecast error variance of N</w:t>
      </w:r>
      <w:r w:rsidR="0018600D">
        <w:rPr>
          <w:rFonts w:ascii="Calibri" w:eastAsiaTheme="minorEastAsia" w:hAnsi="Calibri" w:cs="Calibri"/>
          <w:sz w:val="22"/>
          <w:szCs w:val="22"/>
        </w:rPr>
        <w:t>ew Zealand</w:t>
      </w:r>
      <w:r w:rsidR="00AA2558" w:rsidRPr="009F1618">
        <w:rPr>
          <w:rFonts w:ascii="Calibri" w:eastAsiaTheme="minorEastAsia" w:hAnsi="Calibri" w:cs="Calibri"/>
          <w:sz w:val="22"/>
          <w:szCs w:val="22"/>
        </w:rPr>
        <w:t xml:space="preserve"> prices is largely explained by N</w:t>
      </w:r>
      <w:r w:rsidR="0018600D">
        <w:rPr>
          <w:rFonts w:ascii="Calibri" w:eastAsiaTheme="minorEastAsia" w:hAnsi="Calibri" w:cs="Calibri"/>
          <w:sz w:val="22"/>
          <w:szCs w:val="22"/>
        </w:rPr>
        <w:t xml:space="preserve">ew </w:t>
      </w:r>
      <w:r w:rsidR="00AA2558" w:rsidRPr="009F1618">
        <w:rPr>
          <w:rFonts w:ascii="Calibri" w:eastAsiaTheme="minorEastAsia" w:hAnsi="Calibri" w:cs="Calibri"/>
          <w:sz w:val="22"/>
          <w:szCs w:val="22"/>
        </w:rPr>
        <w:t>Z</w:t>
      </w:r>
      <w:r w:rsidR="000C3E55">
        <w:rPr>
          <w:rFonts w:ascii="Calibri" w:eastAsiaTheme="minorEastAsia" w:hAnsi="Calibri" w:cs="Calibri"/>
          <w:sz w:val="22"/>
          <w:szCs w:val="22"/>
        </w:rPr>
        <w:t>ealand</w:t>
      </w:r>
      <w:r w:rsidR="00AA2558" w:rsidRPr="009F1618">
        <w:rPr>
          <w:rFonts w:ascii="Calibri" w:eastAsiaTheme="minorEastAsia" w:hAnsi="Calibri" w:cs="Calibri"/>
          <w:sz w:val="22"/>
          <w:szCs w:val="22"/>
        </w:rPr>
        <w:t>'s own shocks, consistent with its role as a price-maker, while N</w:t>
      </w:r>
      <w:r w:rsidR="000C3E55">
        <w:rPr>
          <w:rFonts w:ascii="Calibri" w:eastAsiaTheme="minorEastAsia" w:hAnsi="Calibri" w:cs="Calibri"/>
          <w:sz w:val="22"/>
          <w:szCs w:val="22"/>
        </w:rPr>
        <w:t>ew Zealand</w:t>
      </w:r>
      <w:r w:rsidR="00AA2558" w:rsidRPr="009F1618">
        <w:rPr>
          <w:rFonts w:ascii="Calibri" w:eastAsiaTheme="minorEastAsia" w:hAnsi="Calibri" w:cs="Calibri"/>
          <w:sz w:val="22"/>
          <w:szCs w:val="22"/>
        </w:rPr>
        <w:t xml:space="preserve"> shocks account for a substantial and growing share of forecast error variance in other regions over the 36-month horizon. A</w:t>
      </w:r>
      <w:r w:rsidR="000C3E55">
        <w:rPr>
          <w:rFonts w:ascii="Calibri" w:eastAsiaTheme="minorEastAsia" w:hAnsi="Calibri" w:cs="Calibri"/>
          <w:sz w:val="22"/>
          <w:szCs w:val="22"/>
        </w:rPr>
        <w:t>ustralian</w:t>
      </w:r>
      <w:r w:rsidR="00AA2558" w:rsidRPr="009F1618">
        <w:rPr>
          <w:rFonts w:ascii="Calibri" w:eastAsiaTheme="minorEastAsia" w:hAnsi="Calibri" w:cs="Calibri"/>
          <w:sz w:val="22"/>
          <w:szCs w:val="22"/>
        </w:rPr>
        <w:t xml:space="preserve"> prices show relatively low self-explanation</w:t>
      </w:r>
      <w:r w:rsidR="00702B68" w:rsidRPr="009F1618">
        <w:rPr>
          <w:rFonts w:ascii="Calibri" w:eastAsiaTheme="minorEastAsia" w:hAnsi="Calibri" w:cs="Calibri"/>
          <w:sz w:val="22"/>
          <w:szCs w:val="22"/>
        </w:rPr>
        <w:t xml:space="preserve"> and </w:t>
      </w:r>
      <w:r w:rsidR="00382F67" w:rsidRPr="009F1618">
        <w:rPr>
          <w:rFonts w:ascii="Calibri" w:eastAsiaTheme="minorEastAsia" w:hAnsi="Calibri" w:cs="Calibri"/>
          <w:sz w:val="22"/>
          <w:szCs w:val="22"/>
        </w:rPr>
        <w:t>limited</w:t>
      </w:r>
      <w:r w:rsidR="00702B68" w:rsidRPr="009F1618">
        <w:rPr>
          <w:rFonts w:ascii="Calibri" w:eastAsiaTheme="minorEastAsia" w:hAnsi="Calibri" w:cs="Calibri"/>
          <w:sz w:val="22"/>
          <w:szCs w:val="22"/>
        </w:rPr>
        <w:t xml:space="preserve"> </w:t>
      </w:r>
      <w:r w:rsidR="00382F67" w:rsidRPr="009F1618">
        <w:rPr>
          <w:rFonts w:ascii="Calibri" w:eastAsiaTheme="minorEastAsia" w:hAnsi="Calibri" w:cs="Calibri"/>
          <w:sz w:val="22"/>
          <w:szCs w:val="22"/>
        </w:rPr>
        <w:t>sway</w:t>
      </w:r>
      <w:r w:rsidR="00702B68" w:rsidRPr="009F1618">
        <w:rPr>
          <w:rFonts w:ascii="Calibri" w:eastAsiaTheme="minorEastAsia" w:hAnsi="Calibri" w:cs="Calibri"/>
          <w:sz w:val="22"/>
          <w:szCs w:val="22"/>
        </w:rPr>
        <w:t xml:space="preserve"> </w:t>
      </w:r>
      <w:r w:rsidR="00382F67" w:rsidRPr="009F1618">
        <w:rPr>
          <w:rFonts w:ascii="Calibri" w:eastAsiaTheme="minorEastAsia" w:hAnsi="Calibri" w:cs="Calibri"/>
          <w:sz w:val="22"/>
          <w:szCs w:val="22"/>
        </w:rPr>
        <w:t>in other regions</w:t>
      </w:r>
      <w:r w:rsidR="00082A09" w:rsidRPr="009F1618">
        <w:rPr>
          <w:rFonts w:ascii="Calibri" w:eastAsiaTheme="minorEastAsia" w:hAnsi="Calibri" w:cs="Calibri"/>
          <w:sz w:val="22"/>
          <w:szCs w:val="22"/>
        </w:rPr>
        <w:t>,</w:t>
      </w:r>
      <w:r w:rsidR="00AA2558" w:rsidRPr="009F1618">
        <w:rPr>
          <w:rFonts w:ascii="Calibri" w:eastAsiaTheme="minorEastAsia" w:hAnsi="Calibri" w:cs="Calibri"/>
          <w:sz w:val="22"/>
          <w:szCs w:val="22"/>
        </w:rPr>
        <w:t xml:space="preserve"> indicating a price-</w:t>
      </w:r>
      <w:r w:rsidR="00E66CC4" w:rsidRPr="009F1618">
        <w:rPr>
          <w:rFonts w:ascii="Calibri" w:eastAsiaTheme="minorEastAsia" w:hAnsi="Calibri" w:cs="Calibri"/>
          <w:sz w:val="22"/>
          <w:szCs w:val="22"/>
        </w:rPr>
        <w:t>taker</w:t>
      </w:r>
      <w:r w:rsidR="00AA2558" w:rsidRPr="009F1618">
        <w:rPr>
          <w:rFonts w:ascii="Calibri" w:eastAsiaTheme="minorEastAsia" w:hAnsi="Calibri" w:cs="Calibri"/>
          <w:sz w:val="22"/>
          <w:szCs w:val="22"/>
        </w:rPr>
        <w:t xml:space="preserve"> role. E</w:t>
      </w:r>
      <w:r w:rsidR="000C3E55">
        <w:rPr>
          <w:rFonts w:ascii="Calibri" w:eastAsiaTheme="minorEastAsia" w:hAnsi="Calibri" w:cs="Calibri"/>
          <w:sz w:val="22"/>
          <w:szCs w:val="22"/>
        </w:rPr>
        <w:t>uropean Union</w:t>
      </w:r>
      <w:r w:rsidR="00AA2558" w:rsidRPr="009F1618">
        <w:rPr>
          <w:rFonts w:ascii="Calibri" w:eastAsiaTheme="minorEastAsia" w:hAnsi="Calibri" w:cs="Calibri"/>
          <w:sz w:val="22"/>
          <w:szCs w:val="22"/>
        </w:rPr>
        <w:t xml:space="preserve"> and U</w:t>
      </w:r>
      <w:r w:rsidR="00802A14">
        <w:rPr>
          <w:rFonts w:ascii="Calibri" w:eastAsiaTheme="minorEastAsia" w:hAnsi="Calibri" w:cs="Calibri"/>
          <w:sz w:val="22"/>
          <w:szCs w:val="22"/>
        </w:rPr>
        <w:t>nited States</w:t>
      </w:r>
      <w:r w:rsidR="00AA2558" w:rsidRPr="009F1618">
        <w:rPr>
          <w:rFonts w:ascii="Calibri" w:eastAsiaTheme="minorEastAsia" w:hAnsi="Calibri" w:cs="Calibri"/>
          <w:sz w:val="22"/>
          <w:szCs w:val="22"/>
        </w:rPr>
        <w:t xml:space="preserve"> prices exhibit higher self-explanation than </w:t>
      </w:r>
      <w:r w:rsidR="00802A14">
        <w:rPr>
          <w:rFonts w:ascii="Calibri" w:eastAsiaTheme="minorEastAsia" w:hAnsi="Calibri" w:cs="Calibri"/>
          <w:sz w:val="22"/>
          <w:szCs w:val="22"/>
        </w:rPr>
        <w:t>does Australian prices</w:t>
      </w:r>
      <w:r w:rsidR="00AA2558" w:rsidRPr="009F1618">
        <w:rPr>
          <w:rFonts w:ascii="Calibri" w:eastAsiaTheme="minorEastAsia" w:hAnsi="Calibri" w:cs="Calibri"/>
          <w:sz w:val="22"/>
          <w:szCs w:val="22"/>
        </w:rPr>
        <w:t>,</w:t>
      </w:r>
      <w:r w:rsidR="00760469" w:rsidRPr="009F1618">
        <w:rPr>
          <w:rFonts w:ascii="Calibri" w:eastAsiaTheme="minorEastAsia" w:hAnsi="Calibri" w:cs="Calibri"/>
          <w:sz w:val="22"/>
          <w:szCs w:val="22"/>
        </w:rPr>
        <w:t xml:space="preserve"> but </w:t>
      </w:r>
      <w:r w:rsidR="0008596D" w:rsidRPr="009F1618">
        <w:rPr>
          <w:rFonts w:ascii="Calibri" w:eastAsiaTheme="minorEastAsia" w:hAnsi="Calibri" w:cs="Calibri"/>
          <w:sz w:val="22"/>
          <w:szCs w:val="22"/>
        </w:rPr>
        <w:t>do</w:t>
      </w:r>
      <w:r w:rsidR="000A2DA6" w:rsidRPr="009F1618">
        <w:rPr>
          <w:rFonts w:ascii="Calibri" w:eastAsiaTheme="minorEastAsia" w:hAnsi="Calibri" w:cs="Calibri"/>
          <w:sz w:val="22"/>
          <w:szCs w:val="22"/>
        </w:rPr>
        <w:t xml:space="preserve"> n</w:t>
      </w:r>
      <w:r w:rsidR="0008596D" w:rsidRPr="009F1618">
        <w:rPr>
          <w:rFonts w:ascii="Calibri" w:eastAsiaTheme="minorEastAsia" w:hAnsi="Calibri" w:cs="Calibri"/>
          <w:sz w:val="22"/>
          <w:szCs w:val="22"/>
        </w:rPr>
        <w:t>ot</w:t>
      </w:r>
      <w:r w:rsidR="00874831" w:rsidRPr="009F1618">
        <w:rPr>
          <w:rFonts w:ascii="Calibri" w:eastAsiaTheme="minorEastAsia" w:hAnsi="Calibri" w:cs="Calibri"/>
          <w:sz w:val="22"/>
          <w:szCs w:val="22"/>
        </w:rPr>
        <w:t xml:space="preserve"> explain much variation elsewhere either. </w:t>
      </w:r>
    </w:p>
    <w:p w14:paraId="79C17A36" w14:textId="77777777" w:rsidR="00802A14" w:rsidRDefault="00802A14" w:rsidP="009F1618">
      <w:pPr>
        <w:spacing w:after="0" w:line="240" w:lineRule="auto"/>
        <w:contextualSpacing/>
        <w:jc w:val="both"/>
        <w:rPr>
          <w:rFonts w:ascii="Calibri" w:eastAsiaTheme="minorEastAsia" w:hAnsi="Calibri" w:cs="Calibri"/>
          <w:sz w:val="22"/>
          <w:szCs w:val="22"/>
        </w:rPr>
      </w:pPr>
    </w:p>
    <w:p w14:paraId="645D1457" w14:textId="25E4E0D9" w:rsidR="00D811F7" w:rsidRPr="009F1618" w:rsidRDefault="00950658" w:rsidP="009F1618">
      <w:pPr>
        <w:spacing w:after="0" w:line="240" w:lineRule="auto"/>
        <w:contextualSpacing/>
        <w:jc w:val="both"/>
        <w:rPr>
          <w:rFonts w:ascii="Calibri" w:eastAsiaTheme="minorEastAsia" w:hAnsi="Calibri" w:cs="Calibri"/>
          <w:sz w:val="22"/>
          <w:szCs w:val="22"/>
        </w:rPr>
      </w:pPr>
      <w:r>
        <w:rPr>
          <w:rFonts w:ascii="Calibri" w:eastAsiaTheme="minorEastAsia" w:hAnsi="Calibri" w:cs="Calibri"/>
          <w:sz w:val="22"/>
          <w:szCs w:val="22"/>
        </w:rPr>
        <w:t>As noted above, t</w:t>
      </w:r>
      <w:r w:rsidR="006A72A5" w:rsidRPr="009F1618">
        <w:rPr>
          <w:rFonts w:ascii="Calibri" w:eastAsiaTheme="minorEastAsia" w:hAnsi="Calibri" w:cs="Calibri"/>
          <w:sz w:val="22"/>
          <w:szCs w:val="22"/>
        </w:rPr>
        <w:t xml:space="preserve">his likely reflects the insulation of </w:t>
      </w:r>
      <w:r w:rsidR="00802A14">
        <w:rPr>
          <w:rFonts w:ascii="Calibri" w:eastAsiaTheme="minorEastAsia" w:hAnsi="Calibri" w:cs="Calibri"/>
          <w:sz w:val="22"/>
          <w:szCs w:val="22"/>
        </w:rPr>
        <w:t xml:space="preserve">the </w:t>
      </w:r>
      <w:r w:rsidR="006A72A5" w:rsidRPr="009F1618">
        <w:rPr>
          <w:rFonts w:ascii="Calibri" w:eastAsiaTheme="minorEastAsia" w:hAnsi="Calibri" w:cs="Calibri"/>
          <w:sz w:val="22"/>
          <w:szCs w:val="22"/>
        </w:rPr>
        <w:t>E</w:t>
      </w:r>
      <w:r w:rsidR="00802A14">
        <w:rPr>
          <w:rFonts w:ascii="Calibri" w:eastAsiaTheme="minorEastAsia" w:hAnsi="Calibri" w:cs="Calibri"/>
          <w:sz w:val="22"/>
          <w:szCs w:val="22"/>
        </w:rPr>
        <w:t>uropean Union and United States</w:t>
      </w:r>
      <w:r w:rsidR="006A72A5" w:rsidRPr="009F1618">
        <w:rPr>
          <w:rFonts w:ascii="Calibri" w:eastAsiaTheme="minorEastAsia" w:hAnsi="Calibri" w:cs="Calibri"/>
          <w:sz w:val="22"/>
          <w:szCs w:val="22"/>
        </w:rPr>
        <w:t xml:space="preserve"> markets from global price signals through policy interventions during the sample period</w:t>
      </w:r>
      <w:r w:rsidR="00377096" w:rsidRPr="009F1618">
        <w:rPr>
          <w:rFonts w:ascii="Calibri" w:eastAsiaTheme="minorEastAsia" w:hAnsi="Calibri" w:cs="Calibri"/>
          <w:sz w:val="22"/>
          <w:szCs w:val="22"/>
        </w:rPr>
        <w:t xml:space="preserve"> </w:t>
      </w:r>
      <w:r w:rsidR="00F16A25" w:rsidRPr="009F1618">
        <w:rPr>
          <w:rFonts w:ascii="Calibri" w:eastAsiaTheme="minorEastAsia" w:hAnsi="Calibri" w:cs="Calibri"/>
          <w:sz w:val="22"/>
          <w:szCs w:val="22"/>
        </w:rPr>
        <w:t>(see Selvan et al.</w:t>
      </w:r>
      <w:r w:rsidR="00DE3657">
        <w:rPr>
          <w:rFonts w:ascii="Calibri" w:eastAsiaTheme="minorEastAsia" w:hAnsi="Calibri" w:cs="Calibri"/>
          <w:sz w:val="22"/>
          <w:szCs w:val="22"/>
        </w:rPr>
        <w:t>,</w:t>
      </w:r>
      <w:r w:rsidR="00F16A25" w:rsidRPr="009F1618">
        <w:rPr>
          <w:rFonts w:ascii="Calibri" w:eastAsiaTheme="minorEastAsia" w:hAnsi="Calibri" w:cs="Calibri"/>
          <w:sz w:val="22"/>
          <w:szCs w:val="22"/>
        </w:rPr>
        <w:t xml:space="preserve"> 2026</w:t>
      </w:r>
      <w:r w:rsidR="00EC44B2">
        <w:rPr>
          <w:rFonts w:ascii="Calibri" w:eastAsiaTheme="minorEastAsia" w:hAnsi="Calibri" w:cs="Calibri"/>
          <w:sz w:val="22"/>
          <w:szCs w:val="22"/>
        </w:rPr>
        <w:t>a</w:t>
      </w:r>
      <w:r w:rsidR="001E04DC">
        <w:rPr>
          <w:rFonts w:ascii="Calibri" w:eastAsiaTheme="minorEastAsia" w:hAnsi="Calibri" w:cs="Calibri"/>
          <w:sz w:val="22"/>
          <w:szCs w:val="22"/>
        </w:rPr>
        <w:t xml:space="preserve">; Vitaliano, </w:t>
      </w:r>
      <w:r w:rsidR="00DE3657">
        <w:rPr>
          <w:rFonts w:ascii="Calibri" w:eastAsiaTheme="minorEastAsia" w:hAnsi="Calibri" w:cs="Calibri"/>
          <w:sz w:val="22"/>
          <w:szCs w:val="22"/>
        </w:rPr>
        <w:t>2016</w:t>
      </w:r>
      <w:r w:rsidR="00F16A25" w:rsidRPr="009F1618">
        <w:rPr>
          <w:rFonts w:ascii="Calibri" w:eastAsiaTheme="minorEastAsia" w:hAnsi="Calibri" w:cs="Calibri"/>
          <w:sz w:val="22"/>
          <w:szCs w:val="22"/>
        </w:rPr>
        <w:t>)</w:t>
      </w:r>
      <w:r w:rsidR="006A72A5" w:rsidRPr="009F1618">
        <w:rPr>
          <w:rFonts w:ascii="Calibri" w:eastAsiaTheme="minorEastAsia" w:hAnsi="Calibri" w:cs="Calibri"/>
          <w:sz w:val="22"/>
          <w:szCs w:val="22"/>
        </w:rPr>
        <w:t>.</w:t>
      </w:r>
      <w:r w:rsidR="00E70257" w:rsidRPr="009F1618">
        <w:rPr>
          <w:rFonts w:ascii="Calibri" w:eastAsiaTheme="minorEastAsia" w:hAnsi="Calibri" w:cs="Calibri"/>
          <w:sz w:val="22"/>
          <w:szCs w:val="22"/>
        </w:rPr>
        <w:t xml:space="preserve"> </w:t>
      </w:r>
      <w:r w:rsidR="00AC4187" w:rsidRPr="009F1618">
        <w:rPr>
          <w:rFonts w:ascii="Calibri" w:eastAsiaTheme="minorEastAsia" w:hAnsi="Calibri" w:cs="Calibri"/>
          <w:sz w:val="22"/>
          <w:szCs w:val="22"/>
        </w:rPr>
        <w:t>Although some</w:t>
      </w:r>
      <w:r w:rsidR="00E70257" w:rsidRPr="009F1618">
        <w:rPr>
          <w:rFonts w:ascii="Calibri" w:eastAsiaTheme="minorEastAsia" w:hAnsi="Calibri" w:cs="Calibri"/>
          <w:sz w:val="22"/>
          <w:szCs w:val="22"/>
        </w:rPr>
        <w:t xml:space="preserve"> of these policies were </w:t>
      </w:r>
      <w:r w:rsidR="00AC4187" w:rsidRPr="009F1618">
        <w:rPr>
          <w:rFonts w:ascii="Calibri" w:eastAsiaTheme="minorEastAsia" w:hAnsi="Calibri" w:cs="Calibri"/>
          <w:sz w:val="22"/>
          <w:szCs w:val="22"/>
        </w:rPr>
        <w:t>removed</w:t>
      </w:r>
      <w:r w:rsidR="00E026C4" w:rsidRPr="009F1618">
        <w:rPr>
          <w:rFonts w:ascii="Calibri" w:eastAsiaTheme="minorEastAsia" w:hAnsi="Calibri" w:cs="Calibri"/>
          <w:sz w:val="22"/>
          <w:szCs w:val="22"/>
        </w:rPr>
        <w:t>, others persisted or were replaced</w:t>
      </w:r>
      <w:r w:rsidR="00F2110C" w:rsidRPr="009F1618">
        <w:rPr>
          <w:rFonts w:ascii="Calibri" w:eastAsiaTheme="minorEastAsia" w:hAnsi="Calibri" w:cs="Calibri"/>
          <w:sz w:val="22"/>
          <w:szCs w:val="22"/>
        </w:rPr>
        <w:t xml:space="preserve"> by new measures</w:t>
      </w:r>
      <w:r w:rsidR="00E026C4" w:rsidRPr="009F1618">
        <w:rPr>
          <w:rFonts w:ascii="Calibri" w:eastAsiaTheme="minorEastAsia" w:hAnsi="Calibri" w:cs="Calibri"/>
          <w:sz w:val="22"/>
          <w:szCs w:val="22"/>
        </w:rPr>
        <w:t>.</w:t>
      </w:r>
      <w:r w:rsidR="006A72A5" w:rsidRPr="009F1618">
        <w:rPr>
          <w:rFonts w:ascii="Calibri" w:eastAsiaTheme="minorEastAsia" w:hAnsi="Calibri" w:cs="Calibri"/>
          <w:sz w:val="22"/>
          <w:szCs w:val="22"/>
        </w:rPr>
        <w:t xml:space="preserve"> </w:t>
      </w:r>
      <w:r w:rsidR="004D2A3F" w:rsidRPr="009F1618">
        <w:rPr>
          <w:rFonts w:ascii="Calibri" w:eastAsiaTheme="minorEastAsia" w:hAnsi="Calibri" w:cs="Calibri"/>
          <w:sz w:val="22"/>
          <w:szCs w:val="22"/>
        </w:rPr>
        <w:t>As a result</w:t>
      </w:r>
      <w:r w:rsidR="00CB2136" w:rsidRPr="009F1618">
        <w:rPr>
          <w:rFonts w:ascii="Calibri" w:eastAsiaTheme="minorEastAsia" w:hAnsi="Calibri" w:cs="Calibri"/>
          <w:sz w:val="22"/>
          <w:szCs w:val="22"/>
        </w:rPr>
        <w:t xml:space="preserve">, </w:t>
      </w:r>
      <w:r w:rsidR="006A72A5" w:rsidRPr="009F1618">
        <w:rPr>
          <w:rFonts w:ascii="Calibri" w:eastAsiaTheme="minorEastAsia" w:hAnsi="Calibri" w:cs="Calibri"/>
          <w:sz w:val="22"/>
          <w:szCs w:val="22"/>
        </w:rPr>
        <w:t>E</w:t>
      </w:r>
      <w:r w:rsidR="00B95A1F">
        <w:rPr>
          <w:rFonts w:ascii="Calibri" w:eastAsiaTheme="minorEastAsia" w:hAnsi="Calibri" w:cs="Calibri"/>
          <w:sz w:val="22"/>
          <w:szCs w:val="22"/>
        </w:rPr>
        <w:t xml:space="preserve">uropean Union </w:t>
      </w:r>
      <w:r w:rsidR="006A72A5" w:rsidRPr="009F1618">
        <w:rPr>
          <w:rFonts w:ascii="Calibri" w:eastAsiaTheme="minorEastAsia" w:hAnsi="Calibri" w:cs="Calibri"/>
          <w:sz w:val="22"/>
          <w:szCs w:val="22"/>
        </w:rPr>
        <w:t>and U</w:t>
      </w:r>
      <w:r w:rsidR="00B95A1F">
        <w:rPr>
          <w:rFonts w:ascii="Calibri" w:eastAsiaTheme="minorEastAsia" w:hAnsi="Calibri" w:cs="Calibri"/>
          <w:sz w:val="22"/>
          <w:szCs w:val="22"/>
        </w:rPr>
        <w:t xml:space="preserve">nited </w:t>
      </w:r>
      <w:r w:rsidR="006A72A5" w:rsidRPr="009F1618">
        <w:rPr>
          <w:rFonts w:ascii="Calibri" w:eastAsiaTheme="minorEastAsia" w:hAnsi="Calibri" w:cs="Calibri"/>
          <w:sz w:val="22"/>
          <w:szCs w:val="22"/>
        </w:rPr>
        <w:t>S</w:t>
      </w:r>
      <w:r w:rsidR="00B95A1F">
        <w:rPr>
          <w:rFonts w:ascii="Calibri" w:eastAsiaTheme="minorEastAsia" w:hAnsi="Calibri" w:cs="Calibri"/>
          <w:sz w:val="22"/>
          <w:szCs w:val="22"/>
        </w:rPr>
        <w:t>tates</w:t>
      </w:r>
      <w:r w:rsidR="006A72A5" w:rsidRPr="009F1618">
        <w:rPr>
          <w:rFonts w:ascii="Calibri" w:eastAsiaTheme="minorEastAsia" w:hAnsi="Calibri" w:cs="Calibri"/>
          <w:sz w:val="22"/>
          <w:szCs w:val="22"/>
        </w:rPr>
        <w:t xml:space="preserve"> prices were being actively managed rather than freely responding to global price signals</w:t>
      </w:r>
      <w:r w:rsidR="00CB2136" w:rsidRPr="009F1618">
        <w:rPr>
          <w:rFonts w:ascii="Calibri" w:eastAsiaTheme="minorEastAsia" w:hAnsi="Calibri" w:cs="Calibri"/>
          <w:sz w:val="22"/>
          <w:szCs w:val="22"/>
        </w:rPr>
        <w:t>.</w:t>
      </w:r>
      <w:r w:rsidR="00004EB4">
        <w:rPr>
          <w:rFonts w:ascii="Calibri" w:eastAsiaTheme="minorEastAsia" w:hAnsi="Calibri" w:cs="Calibri"/>
          <w:sz w:val="22"/>
          <w:szCs w:val="22"/>
        </w:rPr>
        <w:t xml:space="preserve"> </w:t>
      </w:r>
    </w:p>
    <w:p w14:paraId="4E4CCBBF" w14:textId="435BCA0B" w:rsidR="006B3EE5" w:rsidRDefault="006B3EE5" w:rsidP="009F1618">
      <w:pPr>
        <w:spacing w:after="0" w:line="240" w:lineRule="auto"/>
        <w:contextualSpacing/>
        <w:jc w:val="both"/>
        <w:rPr>
          <w:rFonts w:ascii="Calibri" w:eastAsiaTheme="minorEastAsia" w:hAnsi="Calibri" w:cs="Calibri"/>
          <w:sz w:val="22"/>
          <w:szCs w:val="22"/>
        </w:rPr>
      </w:pPr>
    </w:p>
    <w:p w14:paraId="5D379E37" w14:textId="77777777" w:rsidR="0022549B" w:rsidRDefault="0022549B" w:rsidP="009F1618">
      <w:pPr>
        <w:spacing w:after="0" w:line="240" w:lineRule="auto"/>
        <w:contextualSpacing/>
        <w:jc w:val="both"/>
        <w:rPr>
          <w:rFonts w:ascii="Calibri" w:eastAsiaTheme="minorEastAsia" w:hAnsi="Calibri" w:cs="Calibri"/>
          <w:sz w:val="22"/>
          <w:szCs w:val="22"/>
        </w:rPr>
      </w:pPr>
    </w:p>
    <w:p w14:paraId="3A3C7D29" w14:textId="77777777" w:rsidR="0022549B" w:rsidRDefault="0022549B" w:rsidP="009F1618">
      <w:pPr>
        <w:spacing w:after="0" w:line="240" w:lineRule="auto"/>
        <w:contextualSpacing/>
        <w:jc w:val="both"/>
        <w:rPr>
          <w:rFonts w:ascii="Calibri" w:eastAsiaTheme="minorEastAsia" w:hAnsi="Calibri" w:cs="Calibri"/>
          <w:sz w:val="22"/>
          <w:szCs w:val="22"/>
        </w:rPr>
      </w:pPr>
    </w:p>
    <w:p w14:paraId="6945150D" w14:textId="77777777" w:rsidR="0022549B" w:rsidRDefault="0022549B" w:rsidP="009F1618">
      <w:pPr>
        <w:spacing w:after="0" w:line="240" w:lineRule="auto"/>
        <w:contextualSpacing/>
        <w:jc w:val="both"/>
        <w:rPr>
          <w:rFonts w:ascii="Calibri" w:eastAsiaTheme="minorEastAsia" w:hAnsi="Calibri" w:cs="Calibri"/>
          <w:sz w:val="22"/>
          <w:szCs w:val="22"/>
        </w:rPr>
      </w:pPr>
    </w:p>
    <w:tbl>
      <w:tblPr>
        <w:tblStyle w:val="TableGrid"/>
        <w:tblW w:w="0" w:type="auto"/>
        <w:tblLook w:val="04A0" w:firstRow="1" w:lastRow="0" w:firstColumn="1" w:lastColumn="0" w:noHBand="0" w:noVBand="1"/>
      </w:tblPr>
      <w:tblGrid>
        <w:gridCol w:w="999"/>
        <w:gridCol w:w="2004"/>
        <w:gridCol w:w="2004"/>
        <w:gridCol w:w="2004"/>
        <w:gridCol w:w="2005"/>
      </w:tblGrid>
      <w:tr w:rsidR="00B40009" w:rsidRPr="009F1618" w14:paraId="322A089C" w14:textId="77777777" w:rsidTr="00DE2164">
        <w:trPr>
          <w:cantSplit/>
        </w:trPr>
        <w:tc>
          <w:tcPr>
            <w:tcW w:w="9016" w:type="dxa"/>
            <w:gridSpan w:val="5"/>
            <w:tcBorders>
              <w:top w:val="nil"/>
              <w:left w:val="nil"/>
              <w:bottom w:val="double" w:sz="4" w:space="0" w:color="auto"/>
              <w:right w:val="nil"/>
            </w:tcBorders>
          </w:tcPr>
          <w:p w14:paraId="595786FA" w14:textId="7FC7FF0F"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b/>
                <w:bCs/>
                <w:color w:val="000000"/>
                <w:kern w:val="0"/>
                <w:sz w:val="22"/>
                <w:szCs w:val="22"/>
                <w:lang w:eastAsia="en-AU"/>
                <w14:ligatures w14:val="none"/>
              </w:rPr>
              <w:lastRenderedPageBreak/>
              <w:t xml:space="preserve">Table </w:t>
            </w:r>
            <w:r w:rsidR="00103C7C" w:rsidRPr="009F1618">
              <w:rPr>
                <w:rFonts w:ascii="Calibri" w:eastAsia="Times New Roman" w:hAnsi="Calibri" w:cs="Calibri"/>
                <w:b/>
                <w:bCs/>
                <w:color w:val="000000"/>
                <w:kern w:val="0"/>
                <w:sz w:val="22"/>
                <w:szCs w:val="22"/>
                <w:lang w:eastAsia="en-AU"/>
                <w14:ligatures w14:val="none"/>
              </w:rPr>
              <w:t>5</w:t>
            </w:r>
            <w:r w:rsidR="00CF5EF3">
              <w:rPr>
                <w:rFonts w:ascii="Calibri" w:eastAsia="Times New Roman" w:hAnsi="Calibri" w:cs="Calibri"/>
                <w:b/>
                <w:bCs/>
                <w:color w:val="000000"/>
                <w:kern w:val="0"/>
                <w:sz w:val="22"/>
                <w:szCs w:val="22"/>
                <w:lang w:eastAsia="en-AU"/>
                <w14:ligatures w14:val="none"/>
              </w:rPr>
              <w:t>.</w:t>
            </w:r>
            <w:r w:rsidRPr="009F1618">
              <w:rPr>
                <w:rFonts w:ascii="Calibri" w:eastAsia="Times New Roman" w:hAnsi="Calibri" w:cs="Calibri"/>
                <w:color w:val="000000"/>
                <w:kern w:val="0"/>
                <w:sz w:val="22"/>
                <w:szCs w:val="22"/>
                <w:lang w:eastAsia="en-AU"/>
                <w14:ligatures w14:val="none"/>
              </w:rPr>
              <w:t xml:space="preserve"> Granger causality tests</w:t>
            </w:r>
          </w:p>
          <w:p w14:paraId="0DE20016"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p>
        </w:tc>
      </w:tr>
      <w:tr w:rsidR="00B40009" w:rsidRPr="009F1618" w14:paraId="3A8030C1" w14:textId="77777777" w:rsidTr="00DE2164">
        <w:trPr>
          <w:cantSplit/>
        </w:trPr>
        <w:tc>
          <w:tcPr>
            <w:tcW w:w="9016" w:type="dxa"/>
            <w:gridSpan w:val="5"/>
            <w:tcBorders>
              <w:top w:val="double" w:sz="4" w:space="0" w:color="auto"/>
              <w:left w:val="nil"/>
              <w:bottom w:val="single" w:sz="4" w:space="0" w:color="auto"/>
              <w:right w:val="nil"/>
            </w:tcBorders>
          </w:tcPr>
          <w:p w14:paraId="1199207E"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Butter</w:t>
            </w:r>
          </w:p>
        </w:tc>
      </w:tr>
      <w:tr w:rsidR="00B40009" w:rsidRPr="009F1618" w14:paraId="5EFF323A" w14:textId="77777777" w:rsidTr="00DE2164">
        <w:trPr>
          <w:cantSplit/>
        </w:trPr>
        <w:tc>
          <w:tcPr>
            <w:tcW w:w="999" w:type="dxa"/>
            <w:tcBorders>
              <w:top w:val="single" w:sz="4" w:space="0" w:color="auto"/>
              <w:left w:val="nil"/>
              <w:bottom w:val="nil"/>
              <w:right w:val="nil"/>
            </w:tcBorders>
            <w:vAlign w:val="center"/>
          </w:tcPr>
          <w:p w14:paraId="62DB31AE"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p>
        </w:tc>
        <w:tc>
          <w:tcPr>
            <w:tcW w:w="2004" w:type="dxa"/>
            <w:tcBorders>
              <w:top w:val="single" w:sz="4" w:space="0" w:color="auto"/>
              <w:left w:val="nil"/>
              <w:bottom w:val="nil"/>
              <w:right w:val="nil"/>
            </w:tcBorders>
            <w:vAlign w:val="center"/>
          </w:tcPr>
          <w:p w14:paraId="0E0DCAB0" w14:textId="41C254C4"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AU</w:t>
            </w:r>
            <w:r w:rsidR="00A16A1D" w:rsidRPr="009F1618">
              <w:rPr>
                <w:rFonts w:ascii="Calibri" w:eastAsia="Times New Roman" w:hAnsi="Calibri" w:cs="Calibri"/>
                <w:color w:val="000000"/>
                <w:kern w:val="0"/>
                <w:sz w:val="22"/>
                <w:szCs w:val="22"/>
                <w:lang w:eastAsia="en-AU"/>
                <w14:ligatures w14:val="none"/>
              </w:rPr>
              <w:t xml:space="preserve"> Cause</w:t>
            </w:r>
            <w:r w:rsidR="00D41F94" w:rsidRPr="009F1618">
              <w:rPr>
                <w:rFonts w:ascii="Calibri" w:eastAsia="Times New Roman" w:hAnsi="Calibri" w:cs="Calibri"/>
                <w:color w:val="000000"/>
                <w:kern w:val="0"/>
                <w:sz w:val="22"/>
                <w:szCs w:val="22"/>
                <w:lang w:eastAsia="en-AU"/>
                <w14:ligatures w14:val="none"/>
              </w:rPr>
              <w:t>s</w:t>
            </w:r>
          </w:p>
        </w:tc>
        <w:tc>
          <w:tcPr>
            <w:tcW w:w="2004" w:type="dxa"/>
            <w:tcBorders>
              <w:top w:val="single" w:sz="4" w:space="0" w:color="auto"/>
              <w:left w:val="nil"/>
              <w:bottom w:val="nil"/>
              <w:right w:val="nil"/>
            </w:tcBorders>
            <w:vAlign w:val="center"/>
          </w:tcPr>
          <w:p w14:paraId="422579AF" w14:textId="49072EF4"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NZ</w:t>
            </w:r>
            <w:r w:rsidR="00B9339F" w:rsidRPr="009F1618">
              <w:rPr>
                <w:rFonts w:ascii="Calibri" w:eastAsia="Times New Roman" w:hAnsi="Calibri" w:cs="Calibri"/>
                <w:color w:val="000000"/>
                <w:kern w:val="0"/>
                <w:sz w:val="22"/>
                <w:szCs w:val="22"/>
                <w:lang w:eastAsia="en-AU"/>
                <w14:ligatures w14:val="none"/>
              </w:rPr>
              <w:t xml:space="preserve"> Cause</w:t>
            </w:r>
            <w:r w:rsidR="00D41F94" w:rsidRPr="009F1618">
              <w:rPr>
                <w:rFonts w:ascii="Calibri" w:eastAsia="Times New Roman" w:hAnsi="Calibri" w:cs="Calibri"/>
                <w:color w:val="000000"/>
                <w:kern w:val="0"/>
                <w:sz w:val="22"/>
                <w:szCs w:val="22"/>
                <w:lang w:eastAsia="en-AU"/>
                <w14:ligatures w14:val="none"/>
              </w:rPr>
              <w:t>s</w:t>
            </w:r>
          </w:p>
        </w:tc>
        <w:tc>
          <w:tcPr>
            <w:tcW w:w="2004" w:type="dxa"/>
            <w:tcBorders>
              <w:top w:val="single" w:sz="4" w:space="0" w:color="auto"/>
              <w:left w:val="nil"/>
              <w:bottom w:val="nil"/>
              <w:right w:val="nil"/>
            </w:tcBorders>
            <w:vAlign w:val="center"/>
          </w:tcPr>
          <w:p w14:paraId="32BA0DCF" w14:textId="08104100"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EU</w:t>
            </w:r>
            <w:r w:rsidR="00B9339F" w:rsidRPr="009F1618">
              <w:rPr>
                <w:rFonts w:ascii="Calibri" w:eastAsia="Times New Roman" w:hAnsi="Calibri" w:cs="Calibri"/>
                <w:color w:val="000000"/>
                <w:kern w:val="0"/>
                <w:sz w:val="22"/>
                <w:szCs w:val="22"/>
                <w:lang w:eastAsia="en-AU"/>
                <w14:ligatures w14:val="none"/>
              </w:rPr>
              <w:t xml:space="preserve"> Cause</w:t>
            </w:r>
            <w:r w:rsidR="00D41F94" w:rsidRPr="009F1618">
              <w:rPr>
                <w:rFonts w:ascii="Calibri" w:eastAsia="Times New Roman" w:hAnsi="Calibri" w:cs="Calibri"/>
                <w:color w:val="000000"/>
                <w:kern w:val="0"/>
                <w:sz w:val="22"/>
                <w:szCs w:val="22"/>
                <w:lang w:eastAsia="en-AU"/>
                <w14:ligatures w14:val="none"/>
              </w:rPr>
              <w:t>s</w:t>
            </w:r>
          </w:p>
        </w:tc>
        <w:tc>
          <w:tcPr>
            <w:tcW w:w="2005" w:type="dxa"/>
            <w:tcBorders>
              <w:top w:val="single" w:sz="4" w:space="0" w:color="auto"/>
              <w:left w:val="nil"/>
              <w:bottom w:val="nil"/>
              <w:right w:val="nil"/>
            </w:tcBorders>
            <w:vAlign w:val="center"/>
          </w:tcPr>
          <w:p w14:paraId="26B092DF" w14:textId="566430BB"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US</w:t>
            </w:r>
            <w:r w:rsidR="00B9339F" w:rsidRPr="009F1618">
              <w:rPr>
                <w:rFonts w:ascii="Calibri" w:eastAsia="Times New Roman" w:hAnsi="Calibri" w:cs="Calibri"/>
                <w:color w:val="000000"/>
                <w:kern w:val="0"/>
                <w:sz w:val="22"/>
                <w:szCs w:val="22"/>
                <w:lang w:eastAsia="en-AU"/>
                <w14:ligatures w14:val="none"/>
              </w:rPr>
              <w:t xml:space="preserve"> Cause</w:t>
            </w:r>
            <w:r w:rsidR="00D41F94" w:rsidRPr="009F1618">
              <w:rPr>
                <w:rFonts w:ascii="Calibri" w:eastAsia="Times New Roman" w:hAnsi="Calibri" w:cs="Calibri"/>
                <w:color w:val="000000"/>
                <w:kern w:val="0"/>
                <w:sz w:val="22"/>
                <w:szCs w:val="22"/>
                <w:lang w:eastAsia="en-AU"/>
                <w14:ligatures w14:val="none"/>
              </w:rPr>
              <w:t>s</w:t>
            </w:r>
          </w:p>
        </w:tc>
      </w:tr>
      <w:tr w:rsidR="00B40009" w:rsidRPr="009F1618" w14:paraId="5AB3BA7F" w14:textId="77777777" w:rsidTr="00DE2164">
        <w:trPr>
          <w:cantSplit/>
        </w:trPr>
        <w:tc>
          <w:tcPr>
            <w:tcW w:w="999" w:type="dxa"/>
            <w:tcBorders>
              <w:top w:val="nil"/>
              <w:left w:val="nil"/>
              <w:bottom w:val="nil"/>
              <w:right w:val="nil"/>
            </w:tcBorders>
            <w:vAlign w:val="center"/>
          </w:tcPr>
          <w:p w14:paraId="7F36C444" w14:textId="4BD1FA38"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AU </w:t>
            </w:r>
          </w:p>
        </w:tc>
        <w:tc>
          <w:tcPr>
            <w:tcW w:w="2004" w:type="dxa"/>
            <w:tcBorders>
              <w:top w:val="nil"/>
              <w:left w:val="nil"/>
              <w:bottom w:val="nil"/>
              <w:right w:val="nil"/>
            </w:tcBorders>
            <w:vAlign w:val="center"/>
          </w:tcPr>
          <w:p w14:paraId="731465CD"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4" w:type="dxa"/>
            <w:tcBorders>
              <w:top w:val="nil"/>
              <w:left w:val="nil"/>
              <w:bottom w:val="nil"/>
              <w:right w:val="nil"/>
            </w:tcBorders>
            <w:vAlign w:val="center"/>
          </w:tcPr>
          <w:p w14:paraId="70926879"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16.848***</w:t>
            </w:r>
          </w:p>
        </w:tc>
        <w:tc>
          <w:tcPr>
            <w:tcW w:w="2004" w:type="dxa"/>
            <w:tcBorders>
              <w:top w:val="nil"/>
              <w:left w:val="nil"/>
              <w:bottom w:val="nil"/>
              <w:right w:val="nil"/>
            </w:tcBorders>
            <w:vAlign w:val="center"/>
          </w:tcPr>
          <w:p w14:paraId="3BBEE5AA"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8.696***</w:t>
            </w:r>
          </w:p>
        </w:tc>
        <w:tc>
          <w:tcPr>
            <w:tcW w:w="2005" w:type="dxa"/>
            <w:tcBorders>
              <w:top w:val="nil"/>
              <w:left w:val="nil"/>
              <w:bottom w:val="nil"/>
              <w:right w:val="nil"/>
            </w:tcBorders>
            <w:vAlign w:val="center"/>
          </w:tcPr>
          <w:p w14:paraId="257D8067"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2.285*</w:t>
            </w:r>
          </w:p>
        </w:tc>
      </w:tr>
      <w:tr w:rsidR="00B40009" w:rsidRPr="009F1618" w14:paraId="0B397CBB" w14:textId="77777777" w:rsidTr="00DE2164">
        <w:trPr>
          <w:cantSplit/>
        </w:trPr>
        <w:tc>
          <w:tcPr>
            <w:tcW w:w="999" w:type="dxa"/>
            <w:tcBorders>
              <w:top w:val="nil"/>
              <w:left w:val="nil"/>
              <w:bottom w:val="nil"/>
              <w:right w:val="nil"/>
            </w:tcBorders>
            <w:vAlign w:val="center"/>
          </w:tcPr>
          <w:p w14:paraId="3C067420" w14:textId="517924A3"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NZ </w:t>
            </w:r>
          </w:p>
        </w:tc>
        <w:tc>
          <w:tcPr>
            <w:tcW w:w="2004" w:type="dxa"/>
            <w:tcBorders>
              <w:top w:val="nil"/>
              <w:left w:val="nil"/>
              <w:bottom w:val="nil"/>
              <w:right w:val="nil"/>
            </w:tcBorders>
            <w:vAlign w:val="center"/>
          </w:tcPr>
          <w:p w14:paraId="5EA1CF3B"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5.674***</w:t>
            </w:r>
          </w:p>
        </w:tc>
        <w:tc>
          <w:tcPr>
            <w:tcW w:w="2004" w:type="dxa"/>
            <w:tcBorders>
              <w:top w:val="nil"/>
              <w:left w:val="nil"/>
              <w:bottom w:val="nil"/>
              <w:right w:val="nil"/>
            </w:tcBorders>
            <w:vAlign w:val="center"/>
          </w:tcPr>
          <w:p w14:paraId="009801F3"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4" w:type="dxa"/>
            <w:tcBorders>
              <w:top w:val="nil"/>
              <w:left w:val="nil"/>
              <w:bottom w:val="nil"/>
              <w:right w:val="nil"/>
            </w:tcBorders>
            <w:vAlign w:val="center"/>
          </w:tcPr>
          <w:p w14:paraId="628F6FE3"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3.287**</w:t>
            </w:r>
          </w:p>
        </w:tc>
        <w:tc>
          <w:tcPr>
            <w:tcW w:w="2005" w:type="dxa"/>
            <w:tcBorders>
              <w:top w:val="nil"/>
              <w:left w:val="nil"/>
              <w:bottom w:val="nil"/>
              <w:right w:val="nil"/>
            </w:tcBorders>
            <w:vAlign w:val="center"/>
          </w:tcPr>
          <w:p w14:paraId="33C4428A"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1.523</w:t>
            </w:r>
          </w:p>
        </w:tc>
      </w:tr>
      <w:tr w:rsidR="00B40009" w:rsidRPr="009F1618" w14:paraId="48BB7EC0" w14:textId="77777777" w:rsidTr="00DE2164">
        <w:trPr>
          <w:cantSplit/>
        </w:trPr>
        <w:tc>
          <w:tcPr>
            <w:tcW w:w="999" w:type="dxa"/>
            <w:tcBorders>
              <w:top w:val="nil"/>
              <w:left w:val="nil"/>
              <w:bottom w:val="nil"/>
              <w:right w:val="nil"/>
            </w:tcBorders>
            <w:vAlign w:val="center"/>
          </w:tcPr>
          <w:p w14:paraId="3772C82F" w14:textId="2F7F6971"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EU </w:t>
            </w:r>
          </w:p>
        </w:tc>
        <w:tc>
          <w:tcPr>
            <w:tcW w:w="2004" w:type="dxa"/>
            <w:tcBorders>
              <w:top w:val="nil"/>
              <w:left w:val="nil"/>
              <w:bottom w:val="nil"/>
              <w:right w:val="nil"/>
            </w:tcBorders>
            <w:vAlign w:val="center"/>
          </w:tcPr>
          <w:p w14:paraId="49767A08"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2.812**</w:t>
            </w:r>
          </w:p>
        </w:tc>
        <w:tc>
          <w:tcPr>
            <w:tcW w:w="2004" w:type="dxa"/>
            <w:tcBorders>
              <w:top w:val="nil"/>
              <w:left w:val="nil"/>
              <w:bottom w:val="nil"/>
              <w:right w:val="nil"/>
            </w:tcBorders>
            <w:vAlign w:val="center"/>
          </w:tcPr>
          <w:p w14:paraId="61345F45"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4.817***</w:t>
            </w:r>
          </w:p>
        </w:tc>
        <w:tc>
          <w:tcPr>
            <w:tcW w:w="2004" w:type="dxa"/>
            <w:tcBorders>
              <w:top w:val="nil"/>
              <w:left w:val="nil"/>
              <w:bottom w:val="nil"/>
              <w:right w:val="nil"/>
            </w:tcBorders>
            <w:vAlign w:val="center"/>
          </w:tcPr>
          <w:p w14:paraId="3137B628"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5" w:type="dxa"/>
            <w:tcBorders>
              <w:top w:val="nil"/>
              <w:left w:val="nil"/>
              <w:bottom w:val="nil"/>
              <w:right w:val="nil"/>
            </w:tcBorders>
            <w:vAlign w:val="center"/>
          </w:tcPr>
          <w:p w14:paraId="4153D913"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1.974</w:t>
            </w:r>
          </w:p>
        </w:tc>
      </w:tr>
      <w:tr w:rsidR="00B40009" w:rsidRPr="009F1618" w14:paraId="6069AE43" w14:textId="77777777" w:rsidTr="00DE2164">
        <w:trPr>
          <w:cantSplit/>
        </w:trPr>
        <w:tc>
          <w:tcPr>
            <w:tcW w:w="999" w:type="dxa"/>
            <w:tcBorders>
              <w:top w:val="nil"/>
              <w:left w:val="nil"/>
              <w:bottom w:val="single" w:sz="4" w:space="0" w:color="auto"/>
              <w:right w:val="nil"/>
            </w:tcBorders>
            <w:vAlign w:val="center"/>
          </w:tcPr>
          <w:p w14:paraId="5BFA6537" w14:textId="45FCE0ED"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US </w:t>
            </w:r>
          </w:p>
        </w:tc>
        <w:tc>
          <w:tcPr>
            <w:tcW w:w="2004" w:type="dxa"/>
            <w:tcBorders>
              <w:top w:val="nil"/>
              <w:left w:val="nil"/>
              <w:bottom w:val="single" w:sz="4" w:space="0" w:color="auto"/>
              <w:right w:val="nil"/>
            </w:tcBorders>
            <w:vAlign w:val="center"/>
          </w:tcPr>
          <w:p w14:paraId="3009C42D"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2.727**</w:t>
            </w:r>
          </w:p>
        </w:tc>
        <w:tc>
          <w:tcPr>
            <w:tcW w:w="2004" w:type="dxa"/>
            <w:tcBorders>
              <w:top w:val="nil"/>
              <w:left w:val="nil"/>
              <w:bottom w:val="single" w:sz="4" w:space="0" w:color="auto"/>
              <w:right w:val="nil"/>
            </w:tcBorders>
            <w:vAlign w:val="center"/>
          </w:tcPr>
          <w:p w14:paraId="01B7B9FC"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4.016***</w:t>
            </w:r>
          </w:p>
        </w:tc>
        <w:tc>
          <w:tcPr>
            <w:tcW w:w="2004" w:type="dxa"/>
            <w:tcBorders>
              <w:top w:val="nil"/>
              <w:left w:val="nil"/>
              <w:bottom w:val="single" w:sz="4" w:space="0" w:color="auto"/>
              <w:right w:val="nil"/>
            </w:tcBorders>
            <w:vAlign w:val="center"/>
          </w:tcPr>
          <w:p w14:paraId="00669E8A"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0.9204</w:t>
            </w:r>
          </w:p>
        </w:tc>
        <w:tc>
          <w:tcPr>
            <w:tcW w:w="2005" w:type="dxa"/>
            <w:tcBorders>
              <w:top w:val="nil"/>
              <w:left w:val="nil"/>
              <w:bottom w:val="single" w:sz="4" w:space="0" w:color="auto"/>
              <w:right w:val="nil"/>
            </w:tcBorders>
            <w:vAlign w:val="center"/>
          </w:tcPr>
          <w:p w14:paraId="7BDCCB21"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r>
      <w:tr w:rsidR="00B40009" w:rsidRPr="009F1618" w14:paraId="644A15C2" w14:textId="77777777" w:rsidTr="00DE2164">
        <w:trPr>
          <w:cantSplit/>
        </w:trPr>
        <w:tc>
          <w:tcPr>
            <w:tcW w:w="9016" w:type="dxa"/>
            <w:gridSpan w:val="5"/>
            <w:tcBorders>
              <w:top w:val="single" w:sz="4" w:space="0" w:color="auto"/>
              <w:left w:val="nil"/>
              <w:bottom w:val="single" w:sz="4" w:space="0" w:color="auto"/>
              <w:right w:val="nil"/>
            </w:tcBorders>
            <w:vAlign w:val="center"/>
          </w:tcPr>
          <w:p w14:paraId="514F24F8" w14:textId="77777777" w:rsidR="00B40009" w:rsidRPr="009F1618" w:rsidRDefault="00B40009"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Cheese</w:t>
            </w:r>
          </w:p>
        </w:tc>
      </w:tr>
      <w:tr w:rsidR="00EB3622" w:rsidRPr="009F1618" w14:paraId="1C52CA2F" w14:textId="77777777" w:rsidTr="00DE2164">
        <w:trPr>
          <w:cantSplit/>
        </w:trPr>
        <w:tc>
          <w:tcPr>
            <w:tcW w:w="999" w:type="dxa"/>
            <w:tcBorders>
              <w:top w:val="single" w:sz="4" w:space="0" w:color="auto"/>
              <w:left w:val="nil"/>
              <w:bottom w:val="nil"/>
              <w:right w:val="nil"/>
            </w:tcBorders>
            <w:vAlign w:val="center"/>
          </w:tcPr>
          <w:p w14:paraId="0931A140"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p>
        </w:tc>
        <w:tc>
          <w:tcPr>
            <w:tcW w:w="2004" w:type="dxa"/>
            <w:tcBorders>
              <w:top w:val="single" w:sz="4" w:space="0" w:color="auto"/>
              <w:left w:val="nil"/>
              <w:bottom w:val="nil"/>
              <w:right w:val="nil"/>
            </w:tcBorders>
            <w:vAlign w:val="center"/>
          </w:tcPr>
          <w:p w14:paraId="5003CBB2" w14:textId="114DCBE0"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AU Causes</w:t>
            </w:r>
          </w:p>
        </w:tc>
        <w:tc>
          <w:tcPr>
            <w:tcW w:w="2004" w:type="dxa"/>
            <w:tcBorders>
              <w:top w:val="single" w:sz="4" w:space="0" w:color="auto"/>
              <w:left w:val="nil"/>
              <w:bottom w:val="nil"/>
              <w:right w:val="nil"/>
            </w:tcBorders>
            <w:vAlign w:val="center"/>
          </w:tcPr>
          <w:p w14:paraId="3CAA5563" w14:textId="709319CD"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NZ Causes</w:t>
            </w:r>
          </w:p>
        </w:tc>
        <w:tc>
          <w:tcPr>
            <w:tcW w:w="2004" w:type="dxa"/>
            <w:tcBorders>
              <w:top w:val="single" w:sz="4" w:space="0" w:color="auto"/>
              <w:left w:val="nil"/>
              <w:bottom w:val="nil"/>
              <w:right w:val="nil"/>
            </w:tcBorders>
            <w:vAlign w:val="center"/>
          </w:tcPr>
          <w:p w14:paraId="6D9A9C1E" w14:textId="5651CDF9"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EU Causes</w:t>
            </w:r>
          </w:p>
        </w:tc>
        <w:tc>
          <w:tcPr>
            <w:tcW w:w="2005" w:type="dxa"/>
            <w:tcBorders>
              <w:top w:val="single" w:sz="4" w:space="0" w:color="auto"/>
              <w:left w:val="nil"/>
              <w:bottom w:val="nil"/>
              <w:right w:val="nil"/>
            </w:tcBorders>
            <w:vAlign w:val="center"/>
          </w:tcPr>
          <w:p w14:paraId="5F640CFA" w14:textId="1B57B714"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US Causes</w:t>
            </w:r>
          </w:p>
        </w:tc>
      </w:tr>
      <w:tr w:rsidR="00EB3622" w:rsidRPr="009F1618" w14:paraId="4678C589" w14:textId="77777777" w:rsidTr="00DE2164">
        <w:trPr>
          <w:cantSplit/>
        </w:trPr>
        <w:tc>
          <w:tcPr>
            <w:tcW w:w="999" w:type="dxa"/>
            <w:tcBorders>
              <w:top w:val="nil"/>
              <w:left w:val="nil"/>
              <w:bottom w:val="nil"/>
              <w:right w:val="nil"/>
            </w:tcBorders>
            <w:vAlign w:val="center"/>
          </w:tcPr>
          <w:p w14:paraId="2F232E1D" w14:textId="0F174A24"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AU </w:t>
            </w:r>
          </w:p>
        </w:tc>
        <w:tc>
          <w:tcPr>
            <w:tcW w:w="2004" w:type="dxa"/>
            <w:tcBorders>
              <w:top w:val="nil"/>
              <w:left w:val="nil"/>
              <w:bottom w:val="nil"/>
              <w:right w:val="nil"/>
            </w:tcBorders>
            <w:vAlign w:val="center"/>
          </w:tcPr>
          <w:p w14:paraId="73ACDB7C"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4" w:type="dxa"/>
            <w:tcBorders>
              <w:top w:val="nil"/>
              <w:left w:val="nil"/>
              <w:bottom w:val="nil"/>
              <w:right w:val="nil"/>
            </w:tcBorders>
            <w:vAlign w:val="center"/>
          </w:tcPr>
          <w:p w14:paraId="496D12CA"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16.032***</w:t>
            </w:r>
          </w:p>
        </w:tc>
        <w:tc>
          <w:tcPr>
            <w:tcW w:w="2004" w:type="dxa"/>
            <w:tcBorders>
              <w:top w:val="nil"/>
              <w:left w:val="nil"/>
              <w:bottom w:val="nil"/>
              <w:right w:val="nil"/>
            </w:tcBorders>
            <w:vAlign w:val="center"/>
          </w:tcPr>
          <w:p w14:paraId="7876BB34"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0.611</w:t>
            </w:r>
          </w:p>
        </w:tc>
        <w:tc>
          <w:tcPr>
            <w:tcW w:w="2005" w:type="dxa"/>
            <w:tcBorders>
              <w:top w:val="nil"/>
              <w:left w:val="nil"/>
              <w:bottom w:val="nil"/>
              <w:right w:val="nil"/>
            </w:tcBorders>
            <w:vAlign w:val="center"/>
          </w:tcPr>
          <w:p w14:paraId="7DF8A256"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1.177</w:t>
            </w:r>
          </w:p>
        </w:tc>
      </w:tr>
      <w:tr w:rsidR="00EB3622" w:rsidRPr="009F1618" w14:paraId="20EB7BF8" w14:textId="77777777" w:rsidTr="00DE2164">
        <w:trPr>
          <w:cantSplit/>
        </w:trPr>
        <w:tc>
          <w:tcPr>
            <w:tcW w:w="999" w:type="dxa"/>
            <w:tcBorders>
              <w:top w:val="nil"/>
              <w:left w:val="nil"/>
              <w:bottom w:val="nil"/>
              <w:right w:val="nil"/>
            </w:tcBorders>
            <w:vAlign w:val="center"/>
          </w:tcPr>
          <w:p w14:paraId="223F0232" w14:textId="0B8412AF"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NZ </w:t>
            </w:r>
          </w:p>
        </w:tc>
        <w:tc>
          <w:tcPr>
            <w:tcW w:w="2004" w:type="dxa"/>
            <w:tcBorders>
              <w:top w:val="nil"/>
              <w:left w:val="nil"/>
              <w:bottom w:val="nil"/>
              <w:right w:val="nil"/>
            </w:tcBorders>
            <w:vAlign w:val="center"/>
          </w:tcPr>
          <w:p w14:paraId="66440171"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1.062</w:t>
            </w:r>
          </w:p>
        </w:tc>
        <w:tc>
          <w:tcPr>
            <w:tcW w:w="2004" w:type="dxa"/>
            <w:tcBorders>
              <w:top w:val="nil"/>
              <w:left w:val="nil"/>
              <w:bottom w:val="nil"/>
              <w:right w:val="nil"/>
            </w:tcBorders>
            <w:vAlign w:val="center"/>
          </w:tcPr>
          <w:p w14:paraId="59F83E9D"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4" w:type="dxa"/>
            <w:tcBorders>
              <w:top w:val="nil"/>
              <w:left w:val="nil"/>
              <w:bottom w:val="nil"/>
              <w:right w:val="nil"/>
            </w:tcBorders>
            <w:vAlign w:val="center"/>
          </w:tcPr>
          <w:p w14:paraId="238702D3"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0.490</w:t>
            </w:r>
          </w:p>
        </w:tc>
        <w:tc>
          <w:tcPr>
            <w:tcW w:w="2005" w:type="dxa"/>
            <w:tcBorders>
              <w:top w:val="nil"/>
              <w:left w:val="nil"/>
              <w:bottom w:val="nil"/>
              <w:right w:val="nil"/>
            </w:tcBorders>
            <w:vAlign w:val="center"/>
          </w:tcPr>
          <w:p w14:paraId="0D8420D0"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0.528</w:t>
            </w:r>
          </w:p>
        </w:tc>
      </w:tr>
      <w:tr w:rsidR="00EB3622" w:rsidRPr="009F1618" w14:paraId="7BE9C9E3" w14:textId="77777777" w:rsidTr="00DE2164">
        <w:trPr>
          <w:cantSplit/>
        </w:trPr>
        <w:tc>
          <w:tcPr>
            <w:tcW w:w="999" w:type="dxa"/>
            <w:tcBorders>
              <w:top w:val="nil"/>
              <w:left w:val="nil"/>
              <w:bottom w:val="nil"/>
              <w:right w:val="nil"/>
            </w:tcBorders>
            <w:vAlign w:val="center"/>
          </w:tcPr>
          <w:p w14:paraId="04FF999C" w14:textId="64CD819D"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EU </w:t>
            </w:r>
          </w:p>
        </w:tc>
        <w:tc>
          <w:tcPr>
            <w:tcW w:w="2004" w:type="dxa"/>
            <w:tcBorders>
              <w:top w:val="nil"/>
              <w:left w:val="nil"/>
              <w:bottom w:val="nil"/>
              <w:right w:val="nil"/>
            </w:tcBorders>
            <w:vAlign w:val="center"/>
          </w:tcPr>
          <w:p w14:paraId="5CB4B835"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0.014</w:t>
            </w:r>
          </w:p>
        </w:tc>
        <w:tc>
          <w:tcPr>
            <w:tcW w:w="2004" w:type="dxa"/>
            <w:tcBorders>
              <w:top w:val="nil"/>
              <w:left w:val="nil"/>
              <w:bottom w:val="nil"/>
              <w:right w:val="nil"/>
            </w:tcBorders>
            <w:vAlign w:val="center"/>
          </w:tcPr>
          <w:p w14:paraId="1C0BAE7C"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1.012</w:t>
            </w:r>
          </w:p>
        </w:tc>
        <w:tc>
          <w:tcPr>
            <w:tcW w:w="2004" w:type="dxa"/>
            <w:tcBorders>
              <w:top w:val="nil"/>
              <w:left w:val="nil"/>
              <w:bottom w:val="nil"/>
              <w:right w:val="nil"/>
            </w:tcBorders>
            <w:vAlign w:val="center"/>
          </w:tcPr>
          <w:p w14:paraId="07318DBD"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5" w:type="dxa"/>
            <w:tcBorders>
              <w:top w:val="nil"/>
              <w:left w:val="nil"/>
              <w:bottom w:val="nil"/>
              <w:right w:val="nil"/>
            </w:tcBorders>
            <w:vAlign w:val="center"/>
          </w:tcPr>
          <w:p w14:paraId="1317321A"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0.533</w:t>
            </w:r>
          </w:p>
        </w:tc>
      </w:tr>
      <w:tr w:rsidR="00EB3622" w:rsidRPr="009F1618" w14:paraId="45CD7707" w14:textId="77777777" w:rsidTr="00DE2164">
        <w:trPr>
          <w:cantSplit/>
        </w:trPr>
        <w:tc>
          <w:tcPr>
            <w:tcW w:w="999" w:type="dxa"/>
            <w:tcBorders>
              <w:top w:val="nil"/>
              <w:left w:val="nil"/>
              <w:bottom w:val="single" w:sz="4" w:space="0" w:color="auto"/>
              <w:right w:val="nil"/>
            </w:tcBorders>
            <w:vAlign w:val="center"/>
          </w:tcPr>
          <w:p w14:paraId="52F2FD61" w14:textId="3AF24D29"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US </w:t>
            </w:r>
          </w:p>
        </w:tc>
        <w:tc>
          <w:tcPr>
            <w:tcW w:w="2004" w:type="dxa"/>
            <w:tcBorders>
              <w:top w:val="nil"/>
              <w:left w:val="nil"/>
              <w:bottom w:val="single" w:sz="4" w:space="0" w:color="auto"/>
              <w:right w:val="nil"/>
            </w:tcBorders>
            <w:vAlign w:val="center"/>
          </w:tcPr>
          <w:p w14:paraId="4EEF4C14"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2.385*</w:t>
            </w:r>
          </w:p>
        </w:tc>
        <w:tc>
          <w:tcPr>
            <w:tcW w:w="2004" w:type="dxa"/>
            <w:tcBorders>
              <w:top w:val="nil"/>
              <w:left w:val="nil"/>
              <w:bottom w:val="single" w:sz="4" w:space="0" w:color="auto"/>
              <w:right w:val="nil"/>
            </w:tcBorders>
            <w:vAlign w:val="center"/>
          </w:tcPr>
          <w:p w14:paraId="4D466CF0"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2.402*</w:t>
            </w:r>
          </w:p>
        </w:tc>
        <w:tc>
          <w:tcPr>
            <w:tcW w:w="2004" w:type="dxa"/>
            <w:tcBorders>
              <w:top w:val="nil"/>
              <w:left w:val="nil"/>
              <w:bottom w:val="single" w:sz="4" w:space="0" w:color="auto"/>
              <w:right w:val="nil"/>
            </w:tcBorders>
            <w:vAlign w:val="center"/>
          </w:tcPr>
          <w:p w14:paraId="21CE0C94"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3.197**</w:t>
            </w:r>
          </w:p>
        </w:tc>
        <w:tc>
          <w:tcPr>
            <w:tcW w:w="2005" w:type="dxa"/>
            <w:tcBorders>
              <w:top w:val="nil"/>
              <w:left w:val="nil"/>
              <w:bottom w:val="single" w:sz="4" w:space="0" w:color="auto"/>
              <w:right w:val="nil"/>
            </w:tcBorders>
            <w:vAlign w:val="center"/>
          </w:tcPr>
          <w:p w14:paraId="78C557FD"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r>
      <w:tr w:rsidR="00EB3622" w:rsidRPr="009F1618" w14:paraId="45689612" w14:textId="77777777" w:rsidTr="00DE2164">
        <w:trPr>
          <w:cantSplit/>
        </w:trPr>
        <w:tc>
          <w:tcPr>
            <w:tcW w:w="9016" w:type="dxa"/>
            <w:gridSpan w:val="5"/>
            <w:tcBorders>
              <w:top w:val="single" w:sz="4" w:space="0" w:color="auto"/>
              <w:left w:val="nil"/>
              <w:bottom w:val="single" w:sz="4" w:space="0" w:color="auto"/>
              <w:right w:val="nil"/>
            </w:tcBorders>
            <w:vAlign w:val="center"/>
          </w:tcPr>
          <w:p w14:paraId="765C1398"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SMP</w:t>
            </w:r>
          </w:p>
        </w:tc>
      </w:tr>
      <w:tr w:rsidR="00EB3622" w:rsidRPr="009F1618" w14:paraId="7E546467" w14:textId="77777777" w:rsidTr="00DE2164">
        <w:trPr>
          <w:cantSplit/>
        </w:trPr>
        <w:tc>
          <w:tcPr>
            <w:tcW w:w="999" w:type="dxa"/>
            <w:tcBorders>
              <w:top w:val="single" w:sz="4" w:space="0" w:color="auto"/>
              <w:left w:val="nil"/>
              <w:bottom w:val="nil"/>
              <w:right w:val="nil"/>
            </w:tcBorders>
            <w:vAlign w:val="center"/>
          </w:tcPr>
          <w:p w14:paraId="58520116"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p>
        </w:tc>
        <w:tc>
          <w:tcPr>
            <w:tcW w:w="2004" w:type="dxa"/>
            <w:tcBorders>
              <w:top w:val="single" w:sz="4" w:space="0" w:color="auto"/>
              <w:left w:val="nil"/>
              <w:bottom w:val="nil"/>
              <w:right w:val="nil"/>
            </w:tcBorders>
            <w:vAlign w:val="center"/>
          </w:tcPr>
          <w:p w14:paraId="5D008CF2" w14:textId="7C86F1A9"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AU Causes</w:t>
            </w:r>
          </w:p>
        </w:tc>
        <w:tc>
          <w:tcPr>
            <w:tcW w:w="2004" w:type="dxa"/>
            <w:tcBorders>
              <w:top w:val="single" w:sz="4" w:space="0" w:color="auto"/>
              <w:left w:val="nil"/>
              <w:bottom w:val="nil"/>
              <w:right w:val="nil"/>
            </w:tcBorders>
            <w:vAlign w:val="center"/>
          </w:tcPr>
          <w:p w14:paraId="792C0597" w14:textId="5FF1E371"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NZ Causes</w:t>
            </w:r>
          </w:p>
        </w:tc>
        <w:tc>
          <w:tcPr>
            <w:tcW w:w="2004" w:type="dxa"/>
            <w:tcBorders>
              <w:top w:val="single" w:sz="4" w:space="0" w:color="auto"/>
              <w:left w:val="nil"/>
              <w:bottom w:val="nil"/>
              <w:right w:val="nil"/>
            </w:tcBorders>
            <w:vAlign w:val="center"/>
          </w:tcPr>
          <w:p w14:paraId="28DF5E5A" w14:textId="5DAF5A6A"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EU Causes</w:t>
            </w:r>
          </w:p>
        </w:tc>
        <w:tc>
          <w:tcPr>
            <w:tcW w:w="2005" w:type="dxa"/>
            <w:tcBorders>
              <w:top w:val="single" w:sz="4" w:space="0" w:color="auto"/>
              <w:left w:val="nil"/>
              <w:bottom w:val="nil"/>
              <w:right w:val="nil"/>
            </w:tcBorders>
            <w:vAlign w:val="center"/>
          </w:tcPr>
          <w:p w14:paraId="1C337D23" w14:textId="2B2C71B8"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US Causes</w:t>
            </w:r>
          </w:p>
        </w:tc>
      </w:tr>
      <w:tr w:rsidR="00EB3622" w:rsidRPr="009F1618" w14:paraId="2235EA66" w14:textId="77777777" w:rsidTr="00DE2164">
        <w:trPr>
          <w:cantSplit/>
        </w:trPr>
        <w:tc>
          <w:tcPr>
            <w:tcW w:w="999" w:type="dxa"/>
            <w:tcBorders>
              <w:top w:val="nil"/>
              <w:left w:val="nil"/>
              <w:bottom w:val="nil"/>
              <w:right w:val="nil"/>
            </w:tcBorders>
            <w:vAlign w:val="center"/>
          </w:tcPr>
          <w:p w14:paraId="069CC892" w14:textId="6313782F"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AU </w:t>
            </w:r>
          </w:p>
        </w:tc>
        <w:tc>
          <w:tcPr>
            <w:tcW w:w="2004" w:type="dxa"/>
            <w:tcBorders>
              <w:top w:val="nil"/>
              <w:left w:val="nil"/>
              <w:bottom w:val="nil"/>
              <w:right w:val="nil"/>
            </w:tcBorders>
            <w:vAlign w:val="center"/>
          </w:tcPr>
          <w:p w14:paraId="47C733F9"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4" w:type="dxa"/>
            <w:tcBorders>
              <w:top w:val="nil"/>
              <w:left w:val="nil"/>
              <w:bottom w:val="nil"/>
              <w:right w:val="nil"/>
            </w:tcBorders>
            <w:vAlign w:val="center"/>
          </w:tcPr>
          <w:p w14:paraId="4021B45E"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18.677***</w:t>
            </w:r>
          </w:p>
        </w:tc>
        <w:tc>
          <w:tcPr>
            <w:tcW w:w="2004" w:type="dxa"/>
            <w:tcBorders>
              <w:top w:val="nil"/>
              <w:left w:val="nil"/>
              <w:bottom w:val="nil"/>
              <w:right w:val="nil"/>
            </w:tcBorders>
            <w:vAlign w:val="center"/>
          </w:tcPr>
          <w:p w14:paraId="68115CFA"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15.828***</w:t>
            </w:r>
          </w:p>
        </w:tc>
        <w:tc>
          <w:tcPr>
            <w:tcW w:w="2005" w:type="dxa"/>
            <w:tcBorders>
              <w:top w:val="nil"/>
              <w:left w:val="nil"/>
              <w:bottom w:val="nil"/>
              <w:right w:val="nil"/>
            </w:tcBorders>
            <w:vAlign w:val="center"/>
          </w:tcPr>
          <w:p w14:paraId="7D28D30F"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15.841***</w:t>
            </w:r>
          </w:p>
        </w:tc>
      </w:tr>
      <w:tr w:rsidR="00EB3622" w:rsidRPr="009F1618" w14:paraId="09B50930" w14:textId="77777777" w:rsidTr="00DE2164">
        <w:trPr>
          <w:cantSplit/>
        </w:trPr>
        <w:tc>
          <w:tcPr>
            <w:tcW w:w="999" w:type="dxa"/>
            <w:tcBorders>
              <w:top w:val="nil"/>
              <w:left w:val="nil"/>
              <w:bottom w:val="nil"/>
              <w:right w:val="nil"/>
            </w:tcBorders>
            <w:vAlign w:val="center"/>
          </w:tcPr>
          <w:p w14:paraId="096E1FF4" w14:textId="7CF682D4"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NZ </w:t>
            </w:r>
          </w:p>
        </w:tc>
        <w:tc>
          <w:tcPr>
            <w:tcW w:w="2004" w:type="dxa"/>
            <w:tcBorders>
              <w:top w:val="nil"/>
              <w:left w:val="nil"/>
              <w:bottom w:val="nil"/>
              <w:right w:val="nil"/>
            </w:tcBorders>
            <w:vAlign w:val="center"/>
          </w:tcPr>
          <w:p w14:paraId="60CC7F66"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14.144***</w:t>
            </w:r>
          </w:p>
        </w:tc>
        <w:tc>
          <w:tcPr>
            <w:tcW w:w="2004" w:type="dxa"/>
            <w:tcBorders>
              <w:top w:val="nil"/>
              <w:left w:val="nil"/>
              <w:bottom w:val="nil"/>
              <w:right w:val="nil"/>
            </w:tcBorders>
            <w:vAlign w:val="center"/>
          </w:tcPr>
          <w:p w14:paraId="204048E5"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4" w:type="dxa"/>
            <w:tcBorders>
              <w:top w:val="nil"/>
              <w:left w:val="nil"/>
              <w:bottom w:val="nil"/>
              <w:right w:val="nil"/>
            </w:tcBorders>
            <w:vAlign w:val="center"/>
          </w:tcPr>
          <w:p w14:paraId="5D392EB0"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4.040***</w:t>
            </w:r>
          </w:p>
        </w:tc>
        <w:tc>
          <w:tcPr>
            <w:tcW w:w="2005" w:type="dxa"/>
            <w:tcBorders>
              <w:top w:val="nil"/>
              <w:left w:val="nil"/>
              <w:bottom w:val="nil"/>
              <w:right w:val="nil"/>
            </w:tcBorders>
            <w:vAlign w:val="center"/>
          </w:tcPr>
          <w:p w14:paraId="75C10A4C"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12.521***</w:t>
            </w:r>
          </w:p>
        </w:tc>
      </w:tr>
      <w:tr w:rsidR="00EB3622" w:rsidRPr="009F1618" w14:paraId="0304A9C9" w14:textId="77777777" w:rsidTr="00DE2164">
        <w:trPr>
          <w:cantSplit/>
        </w:trPr>
        <w:tc>
          <w:tcPr>
            <w:tcW w:w="999" w:type="dxa"/>
            <w:tcBorders>
              <w:top w:val="nil"/>
              <w:left w:val="nil"/>
              <w:bottom w:val="nil"/>
              <w:right w:val="nil"/>
            </w:tcBorders>
            <w:vAlign w:val="center"/>
          </w:tcPr>
          <w:p w14:paraId="012E286B" w14:textId="180604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EU </w:t>
            </w:r>
          </w:p>
        </w:tc>
        <w:tc>
          <w:tcPr>
            <w:tcW w:w="2004" w:type="dxa"/>
            <w:tcBorders>
              <w:top w:val="nil"/>
              <w:left w:val="nil"/>
              <w:bottom w:val="nil"/>
              <w:right w:val="nil"/>
            </w:tcBorders>
            <w:vAlign w:val="center"/>
          </w:tcPr>
          <w:p w14:paraId="62D14A44"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3.237**</w:t>
            </w:r>
          </w:p>
        </w:tc>
        <w:tc>
          <w:tcPr>
            <w:tcW w:w="2004" w:type="dxa"/>
            <w:tcBorders>
              <w:top w:val="nil"/>
              <w:left w:val="nil"/>
              <w:bottom w:val="nil"/>
              <w:right w:val="nil"/>
            </w:tcBorders>
            <w:vAlign w:val="center"/>
          </w:tcPr>
          <w:p w14:paraId="121AF1CB"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3.376**</w:t>
            </w:r>
          </w:p>
        </w:tc>
        <w:tc>
          <w:tcPr>
            <w:tcW w:w="2004" w:type="dxa"/>
            <w:tcBorders>
              <w:top w:val="nil"/>
              <w:left w:val="nil"/>
              <w:bottom w:val="nil"/>
              <w:right w:val="nil"/>
            </w:tcBorders>
            <w:vAlign w:val="center"/>
          </w:tcPr>
          <w:p w14:paraId="2EBAA495"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5" w:type="dxa"/>
            <w:tcBorders>
              <w:top w:val="nil"/>
              <w:left w:val="nil"/>
              <w:bottom w:val="nil"/>
              <w:right w:val="nil"/>
            </w:tcBorders>
            <w:vAlign w:val="center"/>
          </w:tcPr>
          <w:p w14:paraId="4948A592"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13.341***</w:t>
            </w:r>
          </w:p>
        </w:tc>
      </w:tr>
      <w:tr w:rsidR="00EB3622" w:rsidRPr="009F1618" w14:paraId="5912CB24" w14:textId="77777777" w:rsidTr="00DE2164">
        <w:trPr>
          <w:cantSplit/>
        </w:trPr>
        <w:tc>
          <w:tcPr>
            <w:tcW w:w="999" w:type="dxa"/>
            <w:tcBorders>
              <w:top w:val="nil"/>
              <w:left w:val="nil"/>
              <w:bottom w:val="single" w:sz="4" w:space="0" w:color="auto"/>
              <w:right w:val="nil"/>
            </w:tcBorders>
            <w:vAlign w:val="center"/>
          </w:tcPr>
          <w:p w14:paraId="64F22C08" w14:textId="39E6100A"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US </w:t>
            </w:r>
          </w:p>
        </w:tc>
        <w:tc>
          <w:tcPr>
            <w:tcW w:w="2004" w:type="dxa"/>
            <w:tcBorders>
              <w:top w:val="nil"/>
              <w:left w:val="nil"/>
              <w:bottom w:val="single" w:sz="4" w:space="0" w:color="auto"/>
              <w:right w:val="nil"/>
            </w:tcBorders>
            <w:vAlign w:val="center"/>
          </w:tcPr>
          <w:p w14:paraId="39900899"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6.116***</w:t>
            </w:r>
          </w:p>
        </w:tc>
        <w:tc>
          <w:tcPr>
            <w:tcW w:w="2004" w:type="dxa"/>
            <w:tcBorders>
              <w:top w:val="nil"/>
              <w:left w:val="nil"/>
              <w:bottom w:val="single" w:sz="4" w:space="0" w:color="auto"/>
              <w:right w:val="nil"/>
            </w:tcBorders>
            <w:vAlign w:val="center"/>
          </w:tcPr>
          <w:p w14:paraId="65A6B051"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7.398***</w:t>
            </w:r>
          </w:p>
        </w:tc>
        <w:tc>
          <w:tcPr>
            <w:tcW w:w="2004" w:type="dxa"/>
            <w:tcBorders>
              <w:top w:val="nil"/>
              <w:left w:val="nil"/>
              <w:bottom w:val="single" w:sz="4" w:space="0" w:color="auto"/>
              <w:right w:val="nil"/>
            </w:tcBorders>
            <w:vAlign w:val="center"/>
          </w:tcPr>
          <w:p w14:paraId="46C7125B"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4.516***</w:t>
            </w:r>
          </w:p>
        </w:tc>
        <w:tc>
          <w:tcPr>
            <w:tcW w:w="2005" w:type="dxa"/>
            <w:tcBorders>
              <w:top w:val="nil"/>
              <w:left w:val="nil"/>
              <w:bottom w:val="single" w:sz="4" w:space="0" w:color="auto"/>
              <w:right w:val="nil"/>
            </w:tcBorders>
            <w:vAlign w:val="center"/>
          </w:tcPr>
          <w:p w14:paraId="5E17FB5B"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r>
      <w:tr w:rsidR="00EB3622" w:rsidRPr="009F1618" w14:paraId="6DB2CEDD" w14:textId="77777777" w:rsidTr="00DE2164">
        <w:trPr>
          <w:cantSplit/>
        </w:trPr>
        <w:tc>
          <w:tcPr>
            <w:tcW w:w="9016" w:type="dxa"/>
            <w:gridSpan w:val="5"/>
            <w:tcBorders>
              <w:top w:val="single" w:sz="4" w:space="0" w:color="auto"/>
              <w:left w:val="nil"/>
              <w:bottom w:val="single" w:sz="4" w:space="0" w:color="auto"/>
              <w:right w:val="nil"/>
            </w:tcBorders>
            <w:vAlign w:val="center"/>
          </w:tcPr>
          <w:p w14:paraId="4108124C"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WMP</w:t>
            </w:r>
          </w:p>
        </w:tc>
      </w:tr>
      <w:tr w:rsidR="00EB3622" w:rsidRPr="009F1618" w14:paraId="0A086958" w14:textId="77777777" w:rsidTr="00DE2164">
        <w:trPr>
          <w:cantSplit/>
        </w:trPr>
        <w:tc>
          <w:tcPr>
            <w:tcW w:w="999" w:type="dxa"/>
            <w:tcBorders>
              <w:top w:val="single" w:sz="4" w:space="0" w:color="auto"/>
              <w:left w:val="nil"/>
              <w:bottom w:val="nil"/>
              <w:right w:val="nil"/>
            </w:tcBorders>
            <w:vAlign w:val="center"/>
          </w:tcPr>
          <w:p w14:paraId="7FB6EBA4"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p>
        </w:tc>
        <w:tc>
          <w:tcPr>
            <w:tcW w:w="2004" w:type="dxa"/>
            <w:tcBorders>
              <w:top w:val="single" w:sz="4" w:space="0" w:color="auto"/>
              <w:left w:val="nil"/>
              <w:bottom w:val="nil"/>
              <w:right w:val="nil"/>
            </w:tcBorders>
            <w:vAlign w:val="center"/>
          </w:tcPr>
          <w:p w14:paraId="277B006B" w14:textId="4A021C0F"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AU Causes</w:t>
            </w:r>
          </w:p>
        </w:tc>
        <w:tc>
          <w:tcPr>
            <w:tcW w:w="2004" w:type="dxa"/>
            <w:tcBorders>
              <w:top w:val="single" w:sz="4" w:space="0" w:color="auto"/>
              <w:left w:val="nil"/>
              <w:bottom w:val="nil"/>
              <w:right w:val="nil"/>
            </w:tcBorders>
            <w:vAlign w:val="center"/>
          </w:tcPr>
          <w:p w14:paraId="34CBDCDE" w14:textId="4DFB4FC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NZ Causes</w:t>
            </w:r>
          </w:p>
        </w:tc>
        <w:tc>
          <w:tcPr>
            <w:tcW w:w="2004" w:type="dxa"/>
            <w:tcBorders>
              <w:top w:val="single" w:sz="4" w:space="0" w:color="auto"/>
              <w:left w:val="nil"/>
              <w:bottom w:val="nil"/>
              <w:right w:val="nil"/>
            </w:tcBorders>
            <w:vAlign w:val="center"/>
          </w:tcPr>
          <w:p w14:paraId="0BE4FBE1" w14:textId="3D306773"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EU Causes</w:t>
            </w:r>
          </w:p>
        </w:tc>
        <w:tc>
          <w:tcPr>
            <w:tcW w:w="2005" w:type="dxa"/>
            <w:tcBorders>
              <w:top w:val="single" w:sz="4" w:space="0" w:color="auto"/>
              <w:left w:val="nil"/>
              <w:bottom w:val="nil"/>
              <w:right w:val="nil"/>
            </w:tcBorders>
            <w:vAlign w:val="center"/>
          </w:tcPr>
          <w:p w14:paraId="6A9FA84C" w14:textId="04FD7EAC"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US Causes</w:t>
            </w:r>
          </w:p>
        </w:tc>
      </w:tr>
      <w:tr w:rsidR="00EB3622" w:rsidRPr="009F1618" w14:paraId="63A1CA76" w14:textId="77777777" w:rsidTr="00DE2164">
        <w:trPr>
          <w:cantSplit/>
        </w:trPr>
        <w:tc>
          <w:tcPr>
            <w:tcW w:w="999" w:type="dxa"/>
            <w:tcBorders>
              <w:top w:val="nil"/>
              <w:left w:val="nil"/>
              <w:bottom w:val="nil"/>
              <w:right w:val="nil"/>
            </w:tcBorders>
            <w:vAlign w:val="center"/>
          </w:tcPr>
          <w:p w14:paraId="7FBE0080" w14:textId="0BF14270"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AU </w:t>
            </w:r>
          </w:p>
        </w:tc>
        <w:tc>
          <w:tcPr>
            <w:tcW w:w="2004" w:type="dxa"/>
            <w:tcBorders>
              <w:top w:val="nil"/>
              <w:left w:val="nil"/>
              <w:bottom w:val="nil"/>
              <w:right w:val="nil"/>
            </w:tcBorders>
            <w:vAlign w:val="center"/>
          </w:tcPr>
          <w:p w14:paraId="37261CCC"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4" w:type="dxa"/>
            <w:tcBorders>
              <w:top w:val="nil"/>
              <w:left w:val="nil"/>
              <w:bottom w:val="nil"/>
              <w:right w:val="nil"/>
            </w:tcBorders>
            <w:vAlign w:val="center"/>
          </w:tcPr>
          <w:p w14:paraId="4C2B7FF9"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19.309***</w:t>
            </w:r>
          </w:p>
        </w:tc>
        <w:tc>
          <w:tcPr>
            <w:tcW w:w="2004" w:type="dxa"/>
            <w:tcBorders>
              <w:top w:val="nil"/>
              <w:left w:val="nil"/>
              <w:bottom w:val="nil"/>
              <w:right w:val="nil"/>
            </w:tcBorders>
            <w:vAlign w:val="center"/>
          </w:tcPr>
          <w:p w14:paraId="3BD94056"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1.705</w:t>
            </w:r>
          </w:p>
        </w:tc>
        <w:tc>
          <w:tcPr>
            <w:tcW w:w="2005" w:type="dxa"/>
            <w:tcBorders>
              <w:top w:val="nil"/>
              <w:left w:val="nil"/>
              <w:bottom w:val="nil"/>
              <w:right w:val="nil"/>
            </w:tcBorders>
            <w:vAlign w:val="center"/>
          </w:tcPr>
          <w:p w14:paraId="1885E4A8"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0.538</w:t>
            </w:r>
          </w:p>
        </w:tc>
      </w:tr>
      <w:tr w:rsidR="00EB3622" w:rsidRPr="009F1618" w14:paraId="07913633" w14:textId="77777777" w:rsidTr="00DE2164">
        <w:trPr>
          <w:cantSplit/>
        </w:trPr>
        <w:tc>
          <w:tcPr>
            <w:tcW w:w="999" w:type="dxa"/>
            <w:tcBorders>
              <w:top w:val="nil"/>
              <w:left w:val="nil"/>
              <w:bottom w:val="nil"/>
              <w:right w:val="nil"/>
            </w:tcBorders>
            <w:vAlign w:val="center"/>
          </w:tcPr>
          <w:p w14:paraId="50E0EB01" w14:textId="418E6DC6"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NZ </w:t>
            </w:r>
          </w:p>
        </w:tc>
        <w:tc>
          <w:tcPr>
            <w:tcW w:w="2004" w:type="dxa"/>
            <w:tcBorders>
              <w:top w:val="nil"/>
              <w:left w:val="nil"/>
              <w:bottom w:val="nil"/>
              <w:right w:val="nil"/>
            </w:tcBorders>
            <w:vAlign w:val="center"/>
          </w:tcPr>
          <w:p w14:paraId="5FA472E8"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0.704</w:t>
            </w:r>
          </w:p>
        </w:tc>
        <w:tc>
          <w:tcPr>
            <w:tcW w:w="2004" w:type="dxa"/>
            <w:tcBorders>
              <w:top w:val="nil"/>
              <w:left w:val="nil"/>
              <w:bottom w:val="nil"/>
              <w:right w:val="nil"/>
            </w:tcBorders>
            <w:vAlign w:val="center"/>
          </w:tcPr>
          <w:p w14:paraId="42D91D8D"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4" w:type="dxa"/>
            <w:tcBorders>
              <w:top w:val="nil"/>
              <w:left w:val="nil"/>
              <w:bottom w:val="nil"/>
              <w:right w:val="nil"/>
            </w:tcBorders>
            <w:vAlign w:val="center"/>
          </w:tcPr>
          <w:p w14:paraId="1E4F79F3"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1.758</w:t>
            </w:r>
          </w:p>
        </w:tc>
        <w:tc>
          <w:tcPr>
            <w:tcW w:w="2005" w:type="dxa"/>
            <w:tcBorders>
              <w:top w:val="nil"/>
              <w:left w:val="nil"/>
              <w:bottom w:val="nil"/>
              <w:right w:val="nil"/>
            </w:tcBorders>
            <w:vAlign w:val="center"/>
          </w:tcPr>
          <w:p w14:paraId="6A061CF1"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0.828</w:t>
            </w:r>
          </w:p>
        </w:tc>
      </w:tr>
      <w:tr w:rsidR="00EB3622" w:rsidRPr="009F1618" w14:paraId="1612E386" w14:textId="77777777" w:rsidTr="00DE2164">
        <w:trPr>
          <w:cantSplit/>
        </w:trPr>
        <w:tc>
          <w:tcPr>
            <w:tcW w:w="999" w:type="dxa"/>
            <w:tcBorders>
              <w:top w:val="nil"/>
              <w:left w:val="nil"/>
              <w:bottom w:val="nil"/>
              <w:right w:val="nil"/>
            </w:tcBorders>
            <w:vAlign w:val="center"/>
          </w:tcPr>
          <w:p w14:paraId="68D90489" w14:textId="1016096B"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EU </w:t>
            </w:r>
          </w:p>
        </w:tc>
        <w:tc>
          <w:tcPr>
            <w:tcW w:w="2004" w:type="dxa"/>
            <w:tcBorders>
              <w:top w:val="nil"/>
              <w:left w:val="nil"/>
              <w:bottom w:val="nil"/>
              <w:right w:val="nil"/>
            </w:tcBorders>
            <w:vAlign w:val="center"/>
          </w:tcPr>
          <w:p w14:paraId="688FFCF2"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2.283*</w:t>
            </w:r>
          </w:p>
        </w:tc>
        <w:tc>
          <w:tcPr>
            <w:tcW w:w="2004" w:type="dxa"/>
            <w:tcBorders>
              <w:top w:val="nil"/>
              <w:left w:val="nil"/>
              <w:bottom w:val="nil"/>
              <w:right w:val="nil"/>
            </w:tcBorders>
            <w:vAlign w:val="center"/>
          </w:tcPr>
          <w:p w14:paraId="76E7AF72"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7.245***</w:t>
            </w:r>
          </w:p>
        </w:tc>
        <w:tc>
          <w:tcPr>
            <w:tcW w:w="2004" w:type="dxa"/>
            <w:tcBorders>
              <w:top w:val="nil"/>
              <w:left w:val="nil"/>
              <w:bottom w:val="nil"/>
              <w:right w:val="nil"/>
            </w:tcBorders>
            <w:vAlign w:val="center"/>
          </w:tcPr>
          <w:p w14:paraId="314298F5"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c>
          <w:tcPr>
            <w:tcW w:w="2005" w:type="dxa"/>
            <w:tcBorders>
              <w:top w:val="nil"/>
              <w:left w:val="nil"/>
              <w:bottom w:val="nil"/>
              <w:right w:val="nil"/>
            </w:tcBorders>
            <w:vAlign w:val="center"/>
          </w:tcPr>
          <w:p w14:paraId="62F2C23F"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0.346</w:t>
            </w:r>
          </w:p>
        </w:tc>
      </w:tr>
      <w:tr w:rsidR="00EB3622" w:rsidRPr="009F1618" w14:paraId="08B847C9" w14:textId="77777777" w:rsidTr="00DE2164">
        <w:trPr>
          <w:cantSplit/>
        </w:trPr>
        <w:tc>
          <w:tcPr>
            <w:tcW w:w="999" w:type="dxa"/>
            <w:tcBorders>
              <w:top w:val="nil"/>
              <w:left w:val="nil"/>
              <w:bottom w:val="double" w:sz="4" w:space="0" w:color="auto"/>
              <w:right w:val="nil"/>
            </w:tcBorders>
            <w:vAlign w:val="center"/>
          </w:tcPr>
          <w:p w14:paraId="6DAF5016" w14:textId="38740219"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 xml:space="preserve">US </w:t>
            </w:r>
          </w:p>
        </w:tc>
        <w:tc>
          <w:tcPr>
            <w:tcW w:w="2004" w:type="dxa"/>
            <w:tcBorders>
              <w:top w:val="nil"/>
              <w:left w:val="nil"/>
              <w:bottom w:val="double" w:sz="4" w:space="0" w:color="auto"/>
              <w:right w:val="nil"/>
            </w:tcBorders>
            <w:vAlign w:val="center"/>
          </w:tcPr>
          <w:p w14:paraId="79A055F9"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2.460*</w:t>
            </w:r>
          </w:p>
        </w:tc>
        <w:tc>
          <w:tcPr>
            <w:tcW w:w="2004" w:type="dxa"/>
            <w:tcBorders>
              <w:top w:val="nil"/>
              <w:left w:val="nil"/>
              <w:bottom w:val="double" w:sz="4" w:space="0" w:color="auto"/>
              <w:right w:val="nil"/>
            </w:tcBorders>
            <w:vAlign w:val="center"/>
          </w:tcPr>
          <w:p w14:paraId="170F2693"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4.520***</w:t>
            </w:r>
          </w:p>
        </w:tc>
        <w:tc>
          <w:tcPr>
            <w:tcW w:w="2004" w:type="dxa"/>
            <w:tcBorders>
              <w:top w:val="nil"/>
              <w:left w:val="nil"/>
              <w:bottom w:val="double" w:sz="4" w:space="0" w:color="auto"/>
              <w:right w:val="nil"/>
            </w:tcBorders>
            <w:vAlign w:val="center"/>
          </w:tcPr>
          <w:p w14:paraId="3B478548"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1.558</w:t>
            </w:r>
          </w:p>
        </w:tc>
        <w:tc>
          <w:tcPr>
            <w:tcW w:w="2005" w:type="dxa"/>
            <w:tcBorders>
              <w:top w:val="nil"/>
              <w:left w:val="nil"/>
              <w:bottom w:val="double" w:sz="4" w:space="0" w:color="auto"/>
              <w:right w:val="nil"/>
            </w:tcBorders>
            <w:vAlign w:val="center"/>
          </w:tcPr>
          <w:p w14:paraId="41D0F79E"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color w:val="000000"/>
                <w:kern w:val="0"/>
                <w:sz w:val="22"/>
                <w:szCs w:val="22"/>
                <w:lang w:eastAsia="en-AU"/>
                <w14:ligatures w14:val="none"/>
              </w:rPr>
              <w:t>—</w:t>
            </w:r>
          </w:p>
        </w:tc>
      </w:tr>
      <w:tr w:rsidR="00EB3622" w:rsidRPr="009F1618" w14:paraId="344533AE" w14:textId="77777777" w:rsidTr="00DE2164">
        <w:trPr>
          <w:cantSplit/>
          <w:trHeight w:val="235"/>
        </w:trPr>
        <w:tc>
          <w:tcPr>
            <w:tcW w:w="9016" w:type="dxa"/>
            <w:gridSpan w:val="5"/>
            <w:tcBorders>
              <w:top w:val="double" w:sz="4" w:space="0" w:color="auto"/>
              <w:left w:val="nil"/>
              <w:bottom w:val="nil"/>
              <w:right w:val="nil"/>
            </w:tcBorders>
            <w:vAlign w:val="center"/>
          </w:tcPr>
          <w:p w14:paraId="20A6A644" w14:textId="77777777" w:rsidR="00EB3622" w:rsidRPr="009F1618" w:rsidRDefault="00EB3622" w:rsidP="009F1618">
            <w:pPr>
              <w:jc w:val="both"/>
              <w:rPr>
                <w:rFonts w:ascii="Calibri" w:eastAsia="Times New Roman" w:hAnsi="Calibri" w:cs="Calibri"/>
                <w:color w:val="000000"/>
                <w:kern w:val="0"/>
                <w:sz w:val="22"/>
                <w:szCs w:val="22"/>
                <w:lang w:eastAsia="en-AU"/>
                <w14:ligatures w14:val="none"/>
              </w:rPr>
            </w:pPr>
            <w:r w:rsidRPr="009F1618">
              <w:rPr>
                <w:rFonts w:ascii="Calibri" w:eastAsia="Times New Roman" w:hAnsi="Calibri" w:cs="Calibri"/>
                <w:i/>
                <w:iCs/>
                <w:color w:val="000000"/>
                <w:kern w:val="0"/>
                <w:sz w:val="22"/>
                <w:szCs w:val="22"/>
                <w:lang w:eastAsia="en-AU"/>
                <w14:ligatures w14:val="none"/>
              </w:rPr>
              <w:t>Significance: *** 1 percent; ** 5 percent; * 10 percent.</w:t>
            </w:r>
          </w:p>
        </w:tc>
      </w:tr>
    </w:tbl>
    <w:p w14:paraId="40557B6D" w14:textId="1B9D9C90" w:rsidR="007425E4" w:rsidRPr="009F1618" w:rsidRDefault="007425E4" w:rsidP="009F1618">
      <w:pPr>
        <w:spacing w:after="0" w:line="240" w:lineRule="auto"/>
        <w:jc w:val="both"/>
        <w:rPr>
          <w:rFonts w:ascii="Calibri" w:eastAsiaTheme="minorEastAsia" w:hAnsi="Calibri" w:cs="Calibri"/>
          <w:sz w:val="22"/>
          <w:szCs w:val="22"/>
        </w:rPr>
      </w:pPr>
    </w:p>
    <w:p w14:paraId="0F976103" w14:textId="141444DF" w:rsidR="0046796E" w:rsidRPr="009F1618" w:rsidRDefault="00C912A9" w:rsidP="009F1618">
      <w:pPr>
        <w:spacing w:after="0" w:line="240" w:lineRule="auto"/>
        <w:jc w:val="both"/>
        <w:rPr>
          <w:rFonts w:ascii="Calibri" w:eastAsiaTheme="minorEastAsia" w:hAnsi="Calibri" w:cs="Calibri"/>
          <w:sz w:val="22"/>
          <w:szCs w:val="22"/>
        </w:rPr>
      </w:pPr>
      <w:r w:rsidRPr="009F1618">
        <w:rPr>
          <w:rFonts w:ascii="Calibri" w:eastAsiaTheme="minorEastAsia" w:hAnsi="Calibri" w:cs="Calibri"/>
          <w:b/>
          <w:bCs/>
          <w:noProof/>
          <w:sz w:val="22"/>
          <w:szCs w:val="22"/>
        </w:rPr>
        <w:t xml:space="preserve"> </w:t>
      </w:r>
    </w:p>
    <w:p w14:paraId="3848D01C" w14:textId="315B1B31" w:rsidR="00F6794F" w:rsidRPr="009F1618" w:rsidRDefault="00F6794F" w:rsidP="009F1618">
      <w:pPr>
        <w:spacing w:after="0" w:line="240" w:lineRule="auto"/>
        <w:jc w:val="both"/>
        <w:rPr>
          <w:rFonts w:ascii="Calibri" w:eastAsiaTheme="minorEastAsia" w:hAnsi="Calibri" w:cs="Calibri"/>
          <w:sz w:val="22"/>
          <w:szCs w:val="22"/>
        </w:rPr>
      </w:pPr>
    </w:p>
    <w:p w14:paraId="23C68D14" w14:textId="0B9AFCD9" w:rsidR="00D0467A" w:rsidRPr="009F1618" w:rsidRDefault="00542E48" w:rsidP="009F1618">
      <w:pPr>
        <w:spacing w:after="0" w:line="240" w:lineRule="auto"/>
        <w:jc w:val="both"/>
        <w:rPr>
          <w:rFonts w:ascii="Calibri" w:eastAsiaTheme="minorEastAsia" w:hAnsi="Calibri" w:cs="Calibri"/>
          <w:sz w:val="22"/>
          <w:szCs w:val="22"/>
        </w:rPr>
      </w:pPr>
      <w:r w:rsidRPr="009F1618">
        <w:rPr>
          <w:rFonts w:ascii="Calibri" w:eastAsiaTheme="minorEastAsia" w:hAnsi="Calibri" w:cs="Calibri"/>
          <w:noProof/>
          <w:sz w:val="22"/>
          <w:szCs w:val="22"/>
        </w:rPr>
        <w:lastRenderedPageBreak/>
        <w:drawing>
          <wp:anchor distT="0" distB="0" distL="114300" distR="114300" simplePos="0" relativeHeight="251663362" behindDoc="0" locked="0" layoutInCell="1" allowOverlap="1" wp14:anchorId="59F2CE01" wp14:editId="53E2B745">
            <wp:simplePos x="0" y="0"/>
            <wp:positionH relativeFrom="margin">
              <wp:align>right</wp:align>
            </wp:positionH>
            <wp:positionV relativeFrom="paragraph">
              <wp:posOffset>387</wp:posOffset>
            </wp:positionV>
            <wp:extent cx="5731510" cy="3978910"/>
            <wp:effectExtent l="0" t="0" r="2540" b="2540"/>
            <wp:wrapTight wrapText="bothSides">
              <wp:wrapPolygon edited="0">
                <wp:start x="0" y="0"/>
                <wp:lineTo x="0" y="21510"/>
                <wp:lineTo x="21538" y="21510"/>
                <wp:lineTo x="21538" y="0"/>
                <wp:lineTo x="0" y="0"/>
              </wp:wrapPolygon>
            </wp:wrapTight>
            <wp:docPr id="1062133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3353" name="Picture 106213353"/>
                    <pic:cNvPicPr/>
                  </pic:nvPicPr>
                  <pic:blipFill>
                    <a:blip r:embed="rId14">
                      <a:extLst>
                        <a:ext uri="{28A0092B-C50C-407E-A947-70E740481C1C}">
                          <a14:useLocalDpi xmlns:a14="http://schemas.microsoft.com/office/drawing/2010/main" val="0"/>
                        </a:ext>
                      </a:extLst>
                    </a:blip>
                    <a:stretch>
                      <a:fillRect/>
                    </a:stretch>
                  </pic:blipFill>
                  <pic:spPr>
                    <a:xfrm>
                      <a:off x="0" y="0"/>
                      <a:ext cx="5731510" cy="3978910"/>
                    </a:xfrm>
                    <a:prstGeom prst="rect">
                      <a:avLst/>
                    </a:prstGeom>
                  </pic:spPr>
                </pic:pic>
              </a:graphicData>
            </a:graphic>
          </wp:anchor>
        </w:drawing>
      </w:r>
      <w:r w:rsidR="00F7300E" w:rsidRPr="009F1618">
        <w:rPr>
          <w:rFonts w:ascii="Calibri" w:eastAsiaTheme="minorEastAsia" w:hAnsi="Calibri" w:cs="Calibri"/>
          <w:noProof/>
          <w:sz w:val="22"/>
          <w:szCs w:val="22"/>
        </w:rPr>
        <w:drawing>
          <wp:anchor distT="0" distB="0" distL="114300" distR="114300" simplePos="0" relativeHeight="251664386" behindDoc="0" locked="0" layoutInCell="1" allowOverlap="1" wp14:anchorId="5C3E7E67" wp14:editId="6F9CE39E">
            <wp:simplePos x="0" y="0"/>
            <wp:positionH relativeFrom="margin">
              <wp:align>right</wp:align>
            </wp:positionH>
            <wp:positionV relativeFrom="paragraph">
              <wp:posOffset>4283931</wp:posOffset>
            </wp:positionV>
            <wp:extent cx="5731510" cy="3978910"/>
            <wp:effectExtent l="0" t="0" r="2540" b="2540"/>
            <wp:wrapTight wrapText="bothSides">
              <wp:wrapPolygon edited="0">
                <wp:start x="0" y="0"/>
                <wp:lineTo x="0" y="21510"/>
                <wp:lineTo x="21538" y="21510"/>
                <wp:lineTo x="21538" y="0"/>
                <wp:lineTo x="0" y="0"/>
              </wp:wrapPolygon>
            </wp:wrapTight>
            <wp:docPr id="15171902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90216" name="Picture 1517190216"/>
                    <pic:cNvPicPr/>
                  </pic:nvPicPr>
                  <pic:blipFill>
                    <a:blip r:embed="rId15">
                      <a:extLst>
                        <a:ext uri="{28A0092B-C50C-407E-A947-70E740481C1C}">
                          <a14:useLocalDpi xmlns:a14="http://schemas.microsoft.com/office/drawing/2010/main" val="0"/>
                        </a:ext>
                      </a:extLst>
                    </a:blip>
                    <a:stretch>
                      <a:fillRect/>
                    </a:stretch>
                  </pic:blipFill>
                  <pic:spPr>
                    <a:xfrm>
                      <a:off x="0" y="0"/>
                      <a:ext cx="5731510" cy="3978910"/>
                    </a:xfrm>
                    <a:prstGeom prst="rect">
                      <a:avLst/>
                    </a:prstGeom>
                  </pic:spPr>
                </pic:pic>
              </a:graphicData>
            </a:graphic>
          </wp:anchor>
        </w:drawing>
      </w:r>
    </w:p>
    <w:p w14:paraId="220C6BC4" w14:textId="77777777" w:rsidR="00071DFA" w:rsidRDefault="00071DFA" w:rsidP="009F1618">
      <w:pPr>
        <w:spacing w:after="0" w:line="240" w:lineRule="auto"/>
        <w:jc w:val="both"/>
        <w:rPr>
          <w:rFonts w:ascii="Calibri" w:hAnsi="Calibri" w:cs="Calibri"/>
          <w:b/>
          <w:bCs/>
          <w:sz w:val="22"/>
          <w:szCs w:val="22"/>
        </w:rPr>
      </w:pPr>
    </w:p>
    <w:p w14:paraId="74086FD0" w14:textId="77777777" w:rsidR="00071DFA" w:rsidRDefault="00071DFA" w:rsidP="009F1618">
      <w:pPr>
        <w:spacing w:after="0" w:line="240" w:lineRule="auto"/>
        <w:jc w:val="both"/>
        <w:rPr>
          <w:rFonts w:ascii="Calibri" w:hAnsi="Calibri" w:cs="Calibri"/>
          <w:b/>
          <w:bCs/>
          <w:sz w:val="22"/>
          <w:szCs w:val="22"/>
        </w:rPr>
      </w:pPr>
    </w:p>
    <w:p w14:paraId="29F6E752" w14:textId="790449DD" w:rsidR="00071DFA" w:rsidRDefault="00542E48" w:rsidP="009F1618">
      <w:pPr>
        <w:spacing w:after="0" w:line="240" w:lineRule="auto"/>
        <w:jc w:val="both"/>
        <w:rPr>
          <w:rFonts w:ascii="Calibri" w:hAnsi="Calibri" w:cs="Calibri"/>
          <w:b/>
          <w:bCs/>
          <w:sz w:val="22"/>
          <w:szCs w:val="22"/>
        </w:rPr>
      </w:pPr>
      <w:r w:rsidRPr="009F1618">
        <w:rPr>
          <w:rFonts w:ascii="Calibri" w:hAnsi="Calibri" w:cs="Calibri"/>
          <w:noProof/>
          <w:sz w:val="22"/>
          <w:szCs w:val="22"/>
        </w:rPr>
        <w:lastRenderedPageBreak/>
        <w:drawing>
          <wp:anchor distT="0" distB="0" distL="114300" distR="114300" simplePos="0" relativeHeight="251666434" behindDoc="0" locked="0" layoutInCell="1" allowOverlap="1" wp14:anchorId="38211D5F" wp14:editId="34929481">
            <wp:simplePos x="0" y="0"/>
            <wp:positionH relativeFrom="margin">
              <wp:align>right</wp:align>
            </wp:positionH>
            <wp:positionV relativeFrom="paragraph">
              <wp:posOffset>4274102</wp:posOffset>
            </wp:positionV>
            <wp:extent cx="5731510" cy="3978910"/>
            <wp:effectExtent l="0" t="0" r="2540" b="2540"/>
            <wp:wrapTight wrapText="bothSides">
              <wp:wrapPolygon edited="0">
                <wp:start x="0" y="0"/>
                <wp:lineTo x="0" y="21510"/>
                <wp:lineTo x="21538" y="21510"/>
                <wp:lineTo x="21538" y="0"/>
                <wp:lineTo x="0" y="0"/>
              </wp:wrapPolygon>
            </wp:wrapTight>
            <wp:docPr id="21004341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34146" name="Picture 2100434146"/>
                    <pic:cNvPicPr/>
                  </pic:nvPicPr>
                  <pic:blipFill>
                    <a:blip r:embed="rId16">
                      <a:extLst>
                        <a:ext uri="{28A0092B-C50C-407E-A947-70E740481C1C}">
                          <a14:useLocalDpi xmlns:a14="http://schemas.microsoft.com/office/drawing/2010/main" val="0"/>
                        </a:ext>
                      </a:extLst>
                    </a:blip>
                    <a:stretch>
                      <a:fillRect/>
                    </a:stretch>
                  </pic:blipFill>
                  <pic:spPr>
                    <a:xfrm>
                      <a:off x="0" y="0"/>
                      <a:ext cx="5731510" cy="3978910"/>
                    </a:xfrm>
                    <a:prstGeom prst="rect">
                      <a:avLst/>
                    </a:prstGeom>
                  </pic:spPr>
                </pic:pic>
              </a:graphicData>
            </a:graphic>
          </wp:anchor>
        </w:drawing>
      </w:r>
      <w:r w:rsidRPr="009F1618">
        <w:rPr>
          <w:rFonts w:ascii="Calibri" w:hAnsi="Calibri" w:cs="Calibri"/>
          <w:noProof/>
          <w:sz w:val="22"/>
          <w:szCs w:val="22"/>
        </w:rPr>
        <w:drawing>
          <wp:anchor distT="0" distB="0" distL="114300" distR="114300" simplePos="0" relativeHeight="251665410" behindDoc="0" locked="0" layoutInCell="1" allowOverlap="1" wp14:anchorId="145F0B90" wp14:editId="237F723C">
            <wp:simplePos x="0" y="0"/>
            <wp:positionH relativeFrom="margin">
              <wp:align>right</wp:align>
            </wp:positionH>
            <wp:positionV relativeFrom="paragraph">
              <wp:posOffset>3810</wp:posOffset>
            </wp:positionV>
            <wp:extent cx="5731510" cy="3978910"/>
            <wp:effectExtent l="0" t="0" r="2540" b="2540"/>
            <wp:wrapTight wrapText="bothSides">
              <wp:wrapPolygon edited="0">
                <wp:start x="0" y="0"/>
                <wp:lineTo x="0" y="21510"/>
                <wp:lineTo x="21538" y="21510"/>
                <wp:lineTo x="21538" y="0"/>
                <wp:lineTo x="0" y="0"/>
              </wp:wrapPolygon>
            </wp:wrapTight>
            <wp:docPr id="15140609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60934" name="Picture 1514060934"/>
                    <pic:cNvPicPr/>
                  </pic:nvPicPr>
                  <pic:blipFill>
                    <a:blip r:embed="rId17">
                      <a:extLst>
                        <a:ext uri="{28A0092B-C50C-407E-A947-70E740481C1C}">
                          <a14:useLocalDpi xmlns:a14="http://schemas.microsoft.com/office/drawing/2010/main" val="0"/>
                        </a:ext>
                      </a:extLst>
                    </a:blip>
                    <a:stretch>
                      <a:fillRect/>
                    </a:stretch>
                  </pic:blipFill>
                  <pic:spPr>
                    <a:xfrm>
                      <a:off x="0" y="0"/>
                      <a:ext cx="5731510" cy="3978910"/>
                    </a:xfrm>
                    <a:prstGeom prst="rect">
                      <a:avLst/>
                    </a:prstGeom>
                  </pic:spPr>
                </pic:pic>
              </a:graphicData>
            </a:graphic>
          </wp:anchor>
        </w:drawing>
      </w:r>
    </w:p>
    <w:p w14:paraId="2DD2B7E4" w14:textId="526E9F7C" w:rsidR="00D0467A" w:rsidRPr="009F1618" w:rsidRDefault="00685660" w:rsidP="009F1618">
      <w:pPr>
        <w:spacing w:after="0" w:line="240" w:lineRule="auto"/>
        <w:jc w:val="both"/>
        <w:rPr>
          <w:rFonts w:ascii="Calibri" w:hAnsi="Calibri" w:cs="Calibri"/>
          <w:sz w:val="22"/>
          <w:szCs w:val="22"/>
        </w:rPr>
      </w:pPr>
      <w:r w:rsidRPr="009F1618">
        <w:rPr>
          <w:rFonts w:ascii="Calibri" w:hAnsi="Calibri" w:cs="Calibri"/>
          <w:b/>
          <w:bCs/>
          <w:sz w:val="22"/>
          <w:szCs w:val="22"/>
        </w:rPr>
        <w:t xml:space="preserve">Figure </w:t>
      </w:r>
      <w:r w:rsidR="00A31A54">
        <w:rPr>
          <w:rFonts w:ascii="Calibri" w:hAnsi="Calibri" w:cs="Calibri"/>
          <w:b/>
          <w:bCs/>
          <w:sz w:val="22"/>
          <w:szCs w:val="22"/>
        </w:rPr>
        <w:t>2.</w:t>
      </w:r>
      <w:r w:rsidR="00FF3344" w:rsidRPr="009F1618">
        <w:rPr>
          <w:rFonts w:ascii="Calibri" w:hAnsi="Calibri" w:cs="Calibri"/>
          <w:sz w:val="22"/>
          <w:szCs w:val="22"/>
        </w:rPr>
        <w:t xml:space="preserve"> </w:t>
      </w:r>
      <w:r w:rsidRPr="009F1618">
        <w:rPr>
          <w:rFonts w:ascii="Calibri" w:hAnsi="Calibri" w:cs="Calibri"/>
          <w:sz w:val="22"/>
          <w:szCs w:val="22"/>
        </w:rPr>
        <w:t>Impulse response functions</w:t>
      </w:r>
      <w:r w:rsidR="00FA1A61">
        <w:rPr>
          <w:rFonts w:ascii="Calibri" w:hAnsi="Calibri" w:cs="Calibri"/>
          <w:sz w:val="22"/>
          <w:szCs w:val="22"/>
        </w:rPr>
        <w:t xml:space="preserve"> </w:t>
      </w:r>
      <w:r w:rsidR="00071DFA" w:rsidRPr="00071DFA">
        <w:rPr>
          <w:rFonts w:ascii="Calibri" w:hAnsi="Calibri" w:cs="Calibri"/>
          <w:sz w:val="22"/>
          <w:szCs w:val="22"/>
        </w:rPr>
        <w:t>by region and product group</w:t>
      </w:r>
    </w:p>
    <w:p w14:paraId="1C7735D0" w14:textId="0784068A" w:rsidR="00535A3F" w:rsidRDefault="00535A3F" w:rsidP="009F1618">
      <w:pPr>
        <w:tabs>
          <w:tab w:val="left" w:pos="5775"/>
        </w:tabs>
        <w:spacing w:after="0" w:line="240" w:lineRule="auto"/>
        <w:jc w:val="both"/>
        <w:rPr>
          <w:rFonts w:ascii="Calibri" w:hAnsi="Calibri" w:cs="Calibri"/>
          <w:sz w:val="22"/>
          <w:szCs w:val="22"/>
        </w:rPr>
      </w:pPr>
    </w:p>
    <w:p w14:paraId="7FF0ECE4" w14:textId="77777777" w:rsidR="00C14160" w:rsidRDefault="00C14160" w:rsidP="009F1618">
      <w:pPr>
        <w:tabs>
          <w:tab w:val="left" w:pos="5775"/>
        </w:tabs>
        <w:spacing w:after="0" w:line="240" w:lineRule="auto"/>
        <w:jc w:val="both"/>
        <w:rPr>
          <w:rFonts w:ascii="Calibri" w:hAnsi="Calibri" w:cs="Calibri"/>
          <w:sz w:val="22"/>
          <w:szCs w:val="22"/>
        </w:rPr>
      </w:pPr>
    </w:p>
    <w:p w14:paraId="62B5A71E" w14:textId="5FDEAD6D" w:rsidR="00C14160" w:rsidRDefault="00C14160" w:rsidP="009F1618">
      <w:pPr>
        <w:tabs>
          <w:tab w:val="left" w:pos="5775"/>
        </w:tabs>
        <w:spacing w:after="0" w:line="240" w:lineRule="auto"/>
        <w:jc w:val="both"/>
        <w:rPr>
          <w:rFonts w:ascii="Calibri" w:hAnsi="Calibri" w:cs="Calibri"/>
          <w:sz w:val="22"/>
          <w:szCs w:val="22"/>
        </w:rPr>
      </w:pPr>
      <w:r>
        <w:rPr>
          <w:rFonts w:ascii="Calibri" w:hAnsi="Calibri" w:cs="Calibri"/>
          <w:noProof/>
          <w:sz w:val="22"/>
          <w:szCs w:val="22"/>
        </w:rPr>
        <w:drawing>
          <wp:anchor distT="0" distB="0" distL="114300" distR="114300" simplePos="0" relativeHeight="251672578" behindDoc="0" locked="0" layoutInCell="1" allowOverlap="1" wp14:anchorId="6AD85178" wp14:editId="4D487131">
            <wp:simplePos x="0" y="0"/>
            <wp:positionH relativeFrom="margin">
              <wp:align>right</wp:align>
            </wp:positionH>
            <wp:positionV relativeFrom="paragraph">
              <wp:posOffset>4028468</wp:posOffset>
            </wp:positionV>
            <wp:extent cx="5731510" cy="3820795"/>
            <wp:effectExtent l="0" t="0" r="2540" b="8255"/>
            <wp:wrapTight wrapText="bothSides">
              <wp:wrapPolygon edited="0">
                <wp:start x="0" y="0"/>
                <wp:lineTo x="0" y="21539"/>
                <wp:lineTo x="21538" y="21539"/>
                <wp:lineTo x="21538" y="0"/>
                <wp:lineTo x="0" y="0"/>
              </wp:wrapPolygon>
            </wp:wrapTight>
            <wp:docPr id="17131590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59039" name="Picture 1713159039"/>
                    <pic:cNvPicPr/>
                  </pic:nvPicPr>
                  <pic:blipFill>
                    <a:blip r:embed="rId18">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anchor>
        </w:drawing>
      </w:r>
      <w:r>
        <w:rPr>
          <w:rFonts w:ascii="Calibri" w:hAnsi="Calibri" w:cs="Calibri"/>
          <w:noProof/>
          <w:sz w:val="22"/>
          <w:szCs w:val="22"/>
        </w:rPr>
        <w:drawing>
          <wp:anchor distT="0" distB="0" distL="114300" distR="114300" simplePos="0" relativeHeight="251671554" behindDoc="0" locked="0" layoutInCell="1" allowOverlap="1" wp14:anchorId="17A2EBE9" wp14:editId="7AE611D9">
            <wp:simplePos x="0" y="0"/>
            <wp:positionH relativeFrom="margin">
              <wp:align>right</wp:align>
            </wp:positionH>
            <wp:positionV relativeFrom="paragraph">
              <wp:posOffset>28</wp:posOffset>
            </wp:positionV>
            <wp:extent cx="5731510" cy="3820795"/>
            <wp:effectExtent l="0" t="0" r="2540" b="8255"/>
            <wp:wrapTight wrapText="bothSides">
              <wp:wrapPolygon edited="0">
                <wp:start x="0" y="0"/>
                <wp:lineTo x="0" y="21539"/>
                <wp:lineTo x="21538" y="21539"/>
                <wp:lineTo x="21538" y="0"/>
                <wp:lineTo x="0" y="0"/>
              </wp:wrapPolygon>
            </wp:wrapTight>
            <wp:docPr id="305860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860040" name="Picture 305860040"/>
                    <pic:cNvPicPr/>
                  </pic:nvPicPr>
                  <pic:blipFill>
                    <a:blip r:embed="rId19">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anchor>
        </w:drawing>
      </w:r>
    </w:p>
    <w:p w14:paraId="39E71608" w14:textId="77219F06" w:rsidR="00C14160" w:rsidRDefault="00C14160" w:rsidP="009F1618">
      <w:pPr>
        <w:tabs>
          <w:tab w:val="left" w:pos="5775"/>
        </w:tabs>
        <w:spacing w:after="0" w:line="240" w:lineRule="auto"/>
        <w:jc w:val="both"/>
        <w:rPr>
          <w:rFonts w:ascii="Calibri" w:hAnsi="Calibri" w:cs="Calibri"/>
          <w:sz w:val="22"/>
          <w:szCs w:val="22"/>
        </w:rPr>
      </w:pPr>
    </w:p>
    <w:p w14:paraId="7E58AE79" w14:textId="77777777" w:rsidR="00C14160" w:rsidRDefault="00C14160" w:rsidP="009F1618">
      <w:pPr>
        <w:tabs>
          <w:tab w:val="left" w:pos="5775"/>
        </w:tabs>
        <w:spacing w:after="0" w:line="240" w:lineRule="auto"/>
        <w:jc w:val="both"/>
        <w:rPr>
          <w:rFonts w:ascii="Calibri" w:hAnsi="Calibri" w:cs="Calibri"/>
          <w:sz w:val="22"/>
          <w:szCs w:val="22"/>
        </w:rPr>
      </w:pPr>
    </w:p>
    <w:p w14:paraId="112BFE2A" w14:textId="77777777" w:rsidR="00C14160" w:rsidRDefault="00C14160" w:rsidP="009F1618">
      <w:pPr>
        <w:tabs>
          <w:tab w:val="left" w:pos="5775"/>
        </w:tabs>
        <w:spacing w:after="0" w:line="240" w:lineRule="auto"/>
        <w:jc w:val="both"/>
        <w:rPr>
          <w:rFonts w:ascii="Calibri" w:hAnsi="Calibri" w:cs="Calibri"/>
          <w:sz w:val="22"/>
          <w:szCs w:val="22"/>
        </w:rPr>
      </w:pPr>
    </w:p>
    <w:p w14:paraId="3B2CCDF6" w14:textId="77777777" w:rsidR="00C14160" w:rsidRDefault="00C14160" w:rsidP="009F1618">
      <w:pPr>
        <w:tabs>
          <w:tab w:val="left" w:pos="5775"/>
        </w:tabs>
        <w:spacing w:after="0" w:line="240" w:lineRule="auto"/>
        <w:jc w:val="both"/>
        <w:rPr>
          <w:rFonts w:ascii="Calibri" w:hAnsi="Calibri" w:cs="Calibri"/>
          <w:sz w:val="22"/>
          <w:szCs w:val="22"/>
        </w:rPr>
      </w:pPr>
    </w:p>
    <w:p w14:paraId="10DA8F7B" w14:textId="77777777" w:rsidR="00FA1A61" w:rsidRDefault="00FA1A61" w:rsidP="00FA1A61">
      <w:pPr>
        <w:tabs>
          <w:tab w:val="left" w:pos="5775"/>
        </w:tabs>
        <w:spacing w:after="0" w:line="240" w:lineRule="auto"/>
        <w:jc w:val="both"/>
        <w:rPr>
          <w:rFonts w:ascii="Calibri" w:hAnsi="Calibri" w:cs="Calibri"/>
          <w:b/>
          <w:bCs/>
          <w:sz w:val="22"/>
          <w:szCs w:val="22"/>
        </w:rPr>
      </w:pPr>
      <w:r>
        <w:rPr>
          <w:rFonts w:ascii="Calibri" w:hAnsi="Calibri" w:cs="Calibri"/>
          <w:noProof/>
          <w:sz w:val="22"/>
          <w:szCs w:val="22"/>
        </w:rPr>
        <w:drawing>
          <wp:anchor distT="0" distB="0" distL="114300" distR="114300" simplePos="0" relativeHeight="251674626" behindDoc="0" locked="0" layoutInCell="1" allowOverlap="1" wp14:anchorId="6A6BFF64" wp14:editId="4691C409">
            <wp:simplePos x="0" y="0"/>
            <wp:positionH relativeFrom="margin">
              <wp:align>right</wp:align>
            </wp:positionH>
            <wp:positionV relativeFrom="paragraph">
              <wp:posOffset>4031035</wp:posOffset>
            </wp:positionV>
            <wp:extent cx="5731510" cy="3820795"/>
            <wp:effectExtent l="0" t="0" r="2540" b="8255"/>
            <wp:wrapTight wrapText="bothSides">
              <wp:wrapPolygon edited="0">
                <wp:start x="0" y="0"/>
                <wp:lineTo x="0" y="21539"/>
                <wp:lineTo x="21538" y="21539"/>
                <wp:lineTo x="21538" y="0"/>
                <wp:lineTo x="0" y="0"/>
              </wp:wrapPolygon>
            </wp:wrapTight>
            <wp:docPr id="8893459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45994" name="Picture 889345994"/>
                    <pic:cNvPicPr/>
                  </pic:nvPicPr>
                  <pic:blipFill>
                    <a:blip r:embed="rId20">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anchor>
        </w:drawing>
      </w:r>
      <w:r>
        <w:rPr>
          <w:rFonts w:ascii="Calibri" w:hAnsi="Calibri" w:cs="Calibri"/>
          <w:noProof/>
          <w:sz w:val="22"/>
          <w:szCs w:val="22"/>
        </w:rPr>
        <w:drawing>
          <wp:anchor distT="0" distB="0" distL="114300" distR="114300" simplePos="0" relativeHeight="251673602" behindDoc="0" locked="0" layoutInCell="1" allowOverlap="1" wp14:anchorId="77074937" wp14:editId="43C5E846">
            <wp:simplePos x="0" y="0"/>
            <wp:positionH relativeFrom="margin">
              <wp:align>right</wp:align>
            </wp:positionH>
            <wp:positionV relativeFrom="paragraph">
              <wp:posOffset>2899</wp:posOffset>
            </wp:positionV>
            <wp:extent cx="5731510" cy="3820795"/>
            <wp:effectExtent l="0" t="0" r="2540" b="8255"/>
            <wp:wrapTight wrapText="bothSides">
              <wp:wrapPolygon edited="0">
                <wp:start x="0" y="0"/>
                <wp:lineTo x="0" y="21539"/>
                <wp:lineTo x="21538" y="21539"/>
                <wp:lineTo x="21538" y="0"/>
                <wp:lineTo x="0" y="0"/>
              </wp:wrapPolygon>
            </wp:wrapTight>
            <wp:docPr id="17079899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89972" name="Picture 1707989972"/>
                    <pic:cNvPicPr/>
                  </pic:nvPicPr>
                  <pic:blipFill>
                    <a:blip r:embed="rId21">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anchor>
        </w:drawing>
      </w:r>
    </w:p>
    <w:p w14:paraId="2450F2A0" w14:textId="25B453E0" w:rsidR="00A345CE" w:rsidRPr="009F1618" w:rsidRDefault="00685660" w:rsidP="00FA1A61">
      <w:pPr>
        <w:tabs>
          <w:tab w:val="left" w:pos="5775"/>
        </w:tabs>
        <w:spacing w:after="0" w:line="240" w:lineRule="auto"/>
        <w:jc w:val="both"/>
        <w:rPr>
          <w:rFonts w:ascii="Calibri" w:hAnsi="Calibri" w:cs="Calibri"/>
          <w:noProof/>
          <w:sz w:val="22"/>
          <w:szCs w:val="22"/>
        </w:rPr>
      </w:pPr>
      <w:r w:rsidRPr="009F1618">
        <w:rPr>
          <w:rFonts w:ascii="Calibri" w:hAnsi="Calibri" w:cs="Calibri"/>
          <w:b/>
          <w:bCs/>
          <w:sz w:val="22"/>
          <w:szCs w:val="22"/>
        </w:rPr>
        <w:t xml:space="preserve">Figure </w:t>
      </w:r>
      <w:r w:rsidR="00A31A54">
        <w:rPr>
          <w:rFonts w:ascii="Calibri" w:hAnsi="Calibri" w:cs="Calibri"/>
          <w:b/>
          <w:bCs/>
          <w:sz w:val="22"/>
          <w:szCs w:val="22"/>
        </w:rPr>
        <w:t>3.</w:t>
      </w:r>
      <w:r w:rsidR="00FF3344" w:rsidRPr="009F1618">
        <w:rPr>
          <w:rFonts w:ascii="Calibri" w:hAnsi="Calibri" w:cs="Calibri"/>
          <w:sz w:val="22"/>
          <w:szCs w:val="22"/>
        </w:rPr>
        <w:t xml:space="preserve"> </w:t>
      </w:r>
      <w:r w:rsidRPr="009F1618">
        <w:rPr>
          <w:rFonts w:ascii="Calibri" w:hAnsi="Calibri" w:cs="Calibri"/>
          <w:sz w:val="22"/>
          <w:szCs w:val="22"/>
        </w:rPr>
        <w:t xml:space="preserve">Forecast </w:t>
      </w:r>
      <w:r w:rsidR="00542E48">
        <w:rPr>
          <w:rFonts w:ascii="Calibri" w:hAnsi="Calibri" w:cs="Calibri"/>
          <w:sz w:val="22"/>
          <w:szCs w:val="22"/>
        </w:rPr>
        <w:t>e</w:t>
      </w:r>
      <w:r w:rsidRPr="009F1618">
        <w:rPr>
          <w:rFonts w:ascii="Calibri" w:hAnsi="Calibri" w:cs="Calibri"/>
          <w:sz w:val="22"/>
          <w:szCs w:val="22"/>
        </w:rPr>
        <w:t xml:space="preserve">rror </w:t>
      </w:r>
      <w:r w:rsidR="00542E48">
        <w:rPr>
          <w:rFonts w:ascii="Calibri" w:hAnsi="Calibri" w:cs="Calibri"/>
          <w:sz w:val="22"/>
          <w:szCs w:val="22"/>
        </w:rPr>
        <w:t>v</w:t>
      </w:r>
      <w:r w:rsidRPr="009F1618">
        <w:rPr>
          <w:rFonts w:ascii="Calibri" w:hAnsi="Calibri" w:cs="Calibri"/>
          <w:sz w:val="22"/>
          <w:szCs w:val="22"/>
        </w:rPr>
        <w:t xml:space="preserve">ariance </w:t>
      </w:r>
      <w:r w:rsidR="00542E48">
        <w:rPr>
          <w:rFonts w:ascii="Calibri" w:hAnsi="Calibri" w:cs="Calibri"/>
          <w:sz w:val="22"/>
          <w:szCs w:val="22"/>
        </w:rPr>
        <w:t>d</w:t>
      </w:r>
      <w:r w:rsidRPr="009F1618">
        <w:rPr>
          <w:rFonts w:ascii="Calibri" w:hAnsi="Calibri" w:cs="Calibri"/>
          <w:sz w:val="22"/>
          <w:szCs w:val="22"/>
        </w:rPr>
        <w:t>ecomposition</w:t>
      </w:r>
      <w:r w:rsidR="00FA1A61">
        <w:rPr>
          <w:rFonts w:ascii="Calibri" w:hAnsi="Calibri" w:cs="Calibri"/>
          <w:sz w:val="22"/>
          <w:szCs w:val="22"/>
        </w:rPr>
        <w:t xml:space="preserve"> by </w:t>
      </w:r>
      <w:r w:rsidR="00071DFA">
        <w:rPr>
          <w:rFonts w:ascii="Calibri" w:hAnsi="Calibri" w:cs="Calibri"/>
          <w:sz w:val="22"/>
          <w:szCs w:val="22"/>
        </w:rPr>
        <w:t>region and product</w:t>
      </w:r>
      <w:r w:rsidR="00FA1A61">
        <w:rPr>
          <w:rFonts w:ascii="Calibri" w:hAnsi="Calibri" w:cs="Calibri"/>
          <w:sz w:val="22"/>
          <w:szCs w:val="22"/>
        </w:rPr>
        <w:t xml:space="preserve"> group</w:t>
      </w:r>
    </w:p>
    <w:p w14:paraId="0BEBB080" w14:textId="2AAE1CC8" w:rsidR="00A57FE0" w:rsidRPr="009F1618" w:rsidRDefault="00A57FE0" w:rsidP="009F1618">
      <w:pPr>
        <w:tabs>
          <w:tab w:val="left" w:pos="5775"/>
        </w:tabs>
        <w:spacing w:after="0" w:line="240" w:lineRule="auto"/>
        <w:jc w:val="both"/>
        <w:rPr>
          <w:rFonts w:ascii="Calibri" w:hAnsi="Calibri" w:cs="Calibri"/>
          <w:noProof/>
          <w:sz w:val="22"/>
          <w:szCs w:val="22"/>
        </w:rPr>
      </w:pPr>
    </w:p>
    <w:p w14:paraId="74563E12" w14:textId="77777777" w:rsidR="00A31A54" w:rsidRDefault="00A31A54" w:rsidP="007C1294">
      <w:pPr>
        <w:pStyle w:val="ListParagraph"/>
        <w:spacing w:after="0" w:line="240" w:lineRule="auto"/>
        <w:ind w:left="0"/>
        <w:jc w:val="both"/>
        <w:rPr>
          <w:rFonts w:ascii="Calibri" w:eastAsiaTheme="minorEastAsia" w:hAnsi="Calibri" w:cs="Calibri"/>
          <w:b/>
          <w:bCs/>
          <w:sz w:val="22"/>
          <w:szCs w:val="22"/>
        </w:rPr>
      </w:pPr>
    </w:p>
    <w:p w14:paraId="4E805B21" w14:textId="62BC7EB8" w:rsidR="0053593E" w:rsidRPr="00A31A54" w:rsidRDefault="0053593E" w:rsidP="007C1294">
      <w:pPr>
        <w:pStyle w:val="ListParagraph"/>
        <w:spacing w:after="0" w:line="240" w:lineRule="auto"/>
        <w:ind w:left="0"/>
        <w:jc w:val="both"/>
        <w:rPr>
          <w:rFonts w:ascii="Calibri" w:eastAsiaTheme="minorEastAsia" w:hAnsi="Calibri" w:cs="Calibri"/>
          <w:b/>
          <w:bCs/>
        </w:rPr>
      </w:pPr>
      <w:r w:rsidRPr="00A31A54">
        <w:rPr>
          <w:rFonts w:ascii="Calibri" w:eastAsiaTheme="minorEastAsia" w:hAnsi="Calibri" w:cs="Calibri"/>
          <w:b/>
          <w:bCs/>
        </w:rPr>
        <w:lastRenderedPageBreak/>
        <w:t>Conclusion</w:t>
      </w:r>
    </w:p>
    <w:p w14:paraId="064D6AD0" w14:textId="77777777" w:rsidR="00A31A54" w:rsidRDefault="00A31A54" w:rsidP="009F1618">
      <w:pPr>
        <w:tabs>
          <w:tab w:val="left" w:pos="5775"/>
        </w:tabs>
        <w:spacing w:after="0" w:line="240" w:lineRule="auto"/>
        <w:contextualSpacing/>
        <w:jc w:val="both"/>
        <w:rPr>
          <w:rFonts w:ascii="Calibri" w:hAnsi="Calibri" w:cs="Calibri"/>
          <w:noProof/>
          <w:sz w:val="22"/>
          <w:szCs w:val="22"/>
        </w:rPr>
      </w:pPr>
    </w:p>
    <w:p w14:paraId="6C796FAE" w14:textId="4E9845F6" w:rsidR="00AB1D66" w:rsidRPr="009F1618" w:rsidRDefault="00115A68"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It has </w:t>
      </w:r>
      <w:r w:rsidR="003631CA">
        <w:rPr>
          <w:rFonts w:ascii="Calibri" w:hAnsi="Calibri" w:cs="Calibri"/>
          <w:noProof/>
          <w:sz w:val="22"/>
          <w:szCs w:val="22"/>
        </w:rPr>
        <w:t>long</w:t>
      </w:r>
      <w:r w:rsidR="00E61852">
        <w:rPr>
          <w:rFonts w:ascii="Calibri" w:hAnsi="Calibri" w:cs="Calibri"/>
          <w:noProof/>
          <w:sz w:val="22"/>
          <w:szCs w:val="22"/>
        </w:rPr>
        <w:t xml:space="preserve"> been</w:t>
      </w:r>
      <w:r w:rsidRPr="009F1618">
        <w:rPr>
          <w:rFonts w:ascii="Calibri" w:hAnsi="Calibri" w:cs="Calibri"/>
          <w:noProof/>
          <w:sz w:val="22"/>
          <w:szCs w:val="22"/>
        </w:rPr>
        <w:t xml:space="preserve"> understood</w:t>
      </w:r>
      <w:r w:rsidR="00DB6A9E">
        <w:rPr>
          <w:rFonts w:ascii="Calibri" w:hAnsi="Calibri" w:cs="Calibri"/>
          <w:noProof/>
          <w:sz w:val="22"/>
          <w:szCs w:val="22"/>
        </w:rPr>
        <w:t xml:space="preserve"> </w:t>
      </w:r>
      <w:r w:rsidRPr="009F1618">
        <w:rPr>
          <w:rFonts w:ascii="Calibri" w:hAnsi="Calibri" w:cs="Calibri"/>
          <w:noProof/>
          <w:sz w:val="22"/>
          <w:szCs w:val="22"/>
        </w:rPr>
        <w:t xml:space="preserve">that Australia's dairy industry has been exposed to international market forces since deregulation, with the returns available from export markets shaped by global dairy supply and demand conditions. </w:t>
      </w:r>
      <w:r w:rsidR="00DB74E8">
        <w:rPr>
          <w:rFonts w:ascii="Calibri" w:hAnsi="Calibri" w:cs="Calibri"/>
          <w:noProof/>
          <w:sz w:val="22"/>
          <w:szCs w:val="22"/>
        </w:rPr>
        <w:t xml:space="preserve">However, the relationship between Australian and international dairy commodity prices has not previously been formally tested. </w:t>
      </w:r>
      <w:r w:rsidR="00542E48">
        <w:rPr>
          <w:rFonts w:ascii="Calibri" w:hAnsi="Calibri" w:cs="Calibri"/>
          <w:noProof/>
          <w:sz w:val="22"/>
          <w:szCs w:val="22"/>
        </w:rPr>
        <w:t>T</w:t>
      </w:r>
      <w:r w:rsidR="00452C41" w:rsidRPr="009F1618">
        <w:rPr>
          <w:rFonts w:ascii="Calibri" w:hAnsi="Calibri" w:cs="Calibri"/>
          <w:noProof/>
          <w:sz w:val="22"/>
          <w:szCs w:val="22"/>
        </w:rPr>
        <w:t xml:space="preserve">he results </w:t>
      </w:r>
      <w:r w:rsidR="00030CA6" w:rsidRPr="009F1618">
        <w:rPr>
          <w:rFonts w:ascii="Calibri" w:hAnsi="Calibri" w:cs="Calibri"/>
          <w:noProof/>
          <w:sz w:val="22"/>
          <w:szCs w:val="22"/>
        </w:rPr>
        <w:t xml:space="preserve">of this study </w:t>
      </w:r>
      <w:r w:rsidR="00452C41" w:rsidRPr="009F1618">
        <w:rPr>
          <w:rFonts w:ascii="Calibri" w:hAnsi="Calibri" w:cs="Calibri"/>
          <w:noProof/>
          <w:sz w:val="22"/>
          <w:szCs w:val="22"/>
        </w:rPr>
        <w:t>provide empirical evidence that</w:t>
      </w:r>
      <w:r w:rsidR="00D8748E" w:rsidRPr="009F1618">
        <w:rPr>
          <w:rFonts w:ascii="Calibri" w:hAnsi="Calibri" w:cs="Calibri"/>
          <w:noProof/>
          <w:sz w:val="22"/>
          <w:szCs w:val="22"/>
        </w:rPr>
        <w:t xml:space="preserve"> </w:t>
      </w:r>
      <w:r w:rsidR="00AB1D66" w:rsidRPr="009F1618">
        <w:rPr>
          <w:rFonts w:ascii="Calibri" w:hAnsi="Calibri" w:cs="Calibri"/>
          <w:noProof/>
          <w:sz w:val="22"/>
          <w:szCs w:val="22"/>
        </w:rPr>
        <w:t xml:space="preserve">Australian export prices for butter, cheese, </w:t>
      </w:r>
      <w:r w:rsidR="005B1FFD" w:rsidRPr="009F1618">
        <w:rPr>
          <w:rFonts w:ascii="Calibri" w:hAnsi="Calibri" w:cs="Calibri"/>
          <w:noProof/>
          <w:sz w:val="22"/>
          <w:szCs w:val="22"/>
        </w:rPr>
        <w:t>skim milk powder</w:t>
      </w:r>
      <w:r w:rsidR="00AB1D66" w:rsidRPr="009F1618">
        <w:rPr>
          <w:rFonts w:ascii="Calibri" w:hAnsi="Calibri" w:cs="Calibri"/>
          <w:noProof/>
          <w:sz w:val="22"/>
          <w:szCs w:val="22"/>
        </w:rPr>
        <w:t xml:space="preserve"> and </w:t>
      </w:r>
      <w:r w:rsidR="005B1FFD" w:rsidRPr="009F1618">
        <w:rPr>
          <w:rFonts w:ascii="Calibri" w:hAnsi="Calibri" w:cs="Calibri"/>
          <w:noProof/>
          <w:sz w:val="22"/>
          <w:szCs w:val="22"/>
        </w:rPr>
        <w:t>whole milk powder</w:t>
      </w:r>
      <w:r w:rsidR="00AB1D66" w:rsidRPr="009F1618">
        <w:rPr>
          <w:rFonts w:ascii="Calibri" w:hAnsi="Calibri" w:cs="Calibri"/>
          <w:noProof/>
          <w:sz w:val="22"/>
          <w:szCs w:val="22"/>
        </w:rPr>
        <w:t xml:space="preserve"> are cointegrated with international prices</w:t>
      </w:r>
      <w:r w:rsidR="005B1FFD" w:rsidRPr="009F1618">
        <w:rPr>
          <w:rFonts w:ascii="Calibri" w:hAnsi="Calibri" w:cs="Calibri"/>
          <w:noProof/>
          <w:sz w:val="22"/>
          <w:szCs w:val="22"/>
        </w:rPr>
        <w:t>.</w:t>
      </w:r>
    </w:p>
    <w:p w14:paraId="186DFB5A" w14:textId="77777777" w:rsidR="00793D88" w:rsidRDefault="00793D88" w:rsidP="009F1618">
      <w:pPr>
        <w:spacing w:after="0" w:line="240" w:lineRule="auto"/>
        <w:jc w:val="both"/>
        <w:rPr>
          <w:rFonts w:ascii="Calibri" w:hAnsi="Calibri" w:cs="Calibri"/>
          <w:noProof/>
          <w:sz w:val="22"/>
          <w:szCs w:val="22"/>
        </w:rPr>
      </w:pPr>
    </w:p>
    <w:p w14:paraId="3747A902" w14:textId="70236236" w:rsidR="00F87914" w:rsidRPr="009F1618" w:rsidRDefault="00080C35" w:rsidP="009F1618">
      <w:pPr>
        <w:spacing w:after="0" w:line="240" w:lineRule="auto"/>
        <w:jc w:val="both"/>
        <w:rPr>
          <w:rFonts w:ascii="Calibri" w:hAnsi="Calibri" w:cs="Calibri"/>
          <w:noProof/>
          <w:sz w:val="22"/>
          <w:szCs w:val="22"/>
        </w:rPr>
      </w:pPr>
      <w:r w:rsidRPr="009F1618">
        <w:rPr>
          <w:rFonts w:ascii="Calibri" w:hAnsi="Calibri" w:cs="Calibri"/>
          <w:noProof/>
          <w:sz w:val="22"/>
          <w:szCs w:val="22"/>
        </w:rPr>
        <w:t xml:space="preserve">The results also clarify where those global price signals originate. </w:t>
      </w:r>
      <w:r w:rsidR="00F87914" w:rsidRPr="009F1618">
        <w:rPr>
          <w:rFonts w:ascii="Calibri" w:hAnsi="Calibri" w:cs="Calibri"/>
          <w:noProof/>
          <w:sz w:val="22"/>
          <w:szCs w:val="22"/>
        </w:rPr>
        <w:t xml:space="preserve">Across the four </w:t>
      </w:r>
      <w:r w:rsidR="000C7B0C" w:rsidRPr="009F1618">
        <w:rPr>
          <w:rFonts w:ascii="Calibri" w:hAnsi="Calibri" w:cs="Calibri"/>
          <w:noProof/>
          <w:sz w:val="22"/>
          <w:szCs w:val="22"/>
        </w:rPr>
        <w:t>product groups</w:t>
      </w:r>
      <w:r w:rsidR="00F87914" w:rsidRPr="009F1618">
        <w:rPr>
          <w:rFonts w:ascii="Calibri" w:hAnsi="Calibri" w:cs="Calibri"/>
          <w:noProof/>
          <w:sz w:val="22"/>
          <w:szCs w:val="22"/>
        </w:rPr>
        <w:t xml:space="preserve"> examined, </w:t>
      </w:r>
      <w:r w:rsidR="00434776" w:rsidRPr="009F1618">
        <w:rPr>
          <w:rFonts w:ascii="Calibri" w:hAnsi="Calibri" w:cs="Calibri"/>
          <w:noProof/>
          <w:sz w:val="22"/>
          <w:szCs w:val="22"/>
        </w:rPr>
        <w:t>New Zealand emerges as the dominant price leader</w:t>
      </w:r>
      <w:r w:rsidR="00F87914" w:rsidRPr="009F1618">
        <w:rPr>
          <w:rFonts w:ascii="Calibri" w:hAnsi="Calibri" w:cs="Calibri"/>
          <w:noProof/>
          <w:sz w:val="22"/>
          <w:szCs w:val="22"/>
        </w:rPr>
        <w:t>, with Australian prices responding most strongly and consistently to New Zealand shocks. This is consistent with New Zealand's position as the world's largest dairy exporter</w:t>
      </w:r>
      <w:r w:rsidR="00590EE4" w:rsidRPr="009F1618">
        <w:rPr>
          <w:rFonts w:ascii="Calibri" w:hAnsi="Calibri" w:cs="Calibri"/>
          <w:noProof/>
          <w:sz w:val="22"/>
          <w:szCs w:val="22"/>
        </w:rPr>
        <w:t xml:space="preserve">, and Australia’s </w:t>
      </w:r>
      <w:r w:rsidR="00450AFF" w:rsidRPr="009F1618">
        <w:rPr>
          <w:rFonts w:ascii="Calibri" w:hAnsi="Calibri" w:cs="Calibri"/>
          <w:noProof/>
          <w:sz w:val="22"/>
          <w:szCs w:val="22"/>
        </w:rPr>
        <w:t>closeness</w:t>
      </w:r>
      <w:r w:rsidR="005F6CB9" w:rsidRPr="009F1618">
        <w:rPr>
          <w:rFonts w:ascii="Calibri" w:hAnsi="Calibri" w:cs="Calibri"/>
          <w:noProof/>
          <w:sz w:val="22"/>
          <w:szCs w:val="22"/>
        </w:rPr>
        <w:t xml:space="preserve"> </w:t>
      </w:r>
      <w:r w:rsidR="00590EE4" w:rsidRPr="009F1618">
        <w:rPr>
          <w:rFonts w:ascii="Calibri" w:hAnsi="Calibri" w:cs="Calibri"/>
          <w:noProof/>
          <w:sz w:val="22"/>
          <w:szCs w:val="22"/>
        </w:rPr>
        <w:t>to New Zealand</w:t>
      </w:r>
      <w:r w:rsidR="00F87914" w:rsidRPr="009F1618">
        <w:rPr>
          <w:rFonts w:ascii="Calibri" w:hAnsi="Calibri" w:cs="Calibri"/>
          <w:noProof/>
          <w:sz w:val="22"/>
          <w:szCs w:val="22"/>
        </w:rPr>
        <w:t>. Australia, despite being a significant exporter in its own right, plays a largely price-taking role. E</w:t>
      </w:r>
      <w:r w:rsidR="004F1C89">
        <w:rPr>
          <w:rFonts w:ascii="Calibri" w:hAnsi="Calibri" w:cs="Calibri"/>
          <w:noProof/>
          <w:sz w:val="22"/>
          <w:szCs w:val="22"/>
        </w:rPr>
        <w:t>uropean Union and United States</w:t>
      </w:r>
      <w:r w:rsidR="00F87914" w:rsidRPr="009F1618">
        <w:rPr>
          <w:rFonts w:ascii="Calibri" w:hAnsi="Calibri" w:cs="Calibri"/>
          <w:noProof/>
          <w:sz w:val="22"/>
          <w:szCs w:val="22"/>
        </w:rPr>
        <w:t xml:space="preserve"> prices are more insulated in the short run, likely due to </w:t>
      </w:r>
      <w:r w:rsidR="00A42AB4">
        <w:rPr>
          <w:rFonts w:ascii="Calibri" w:hAnsi="Calibri" w:cs="Calibri"/>
          <w:noProof/>
          <w:sz w:val="22"/>
          <w:szCs w:val="22"/>
        </w:rPr>
        <w:t>policy interventions</w:t>
      </w:r>
      <w:r w:rsidR="00F87914" w:rsidRPr="009F1618">
        <w:rPr>
          <w:rFonts w:ascii="Calibri" w:hAnsi="Calibri" w:cs="Calibri"/>
          <w:noProof/>
          <w:sz w:val="22"/>
          <w:szCs w:val="22"/>
        </w:rPr>
        <w:t>, but remain tied to global price trends over the long run.</w:t>
      </w:r>
    </w:p>
    <w:p w14:paraId="4E9CACA1" w14:textId="77777777" w:rsidR="002D0593" w:rsidRDefault="002D0593" w:rsidP="009F1618">
      <w:pPr>
        <w:spacing w:after="0" w:line="240" w:lineRule="auto"/>
        <w:jc w:val="both"/>
        <w:rPr>
          <w:rFonts w:ascii="Calibri" w:hAnsi="Calibri" w:cs="Calibri"/>
          <w:noProof/>
          <w:sz w:val="22"/>
          <w:szCs w:val="22"/>
        </w:rPr>
      </w:pPr>
    </w:p>
    <w:p w14:paraId="7D98D2FC" w14:textId="7CD33B73" w:rsidR="00F87914" w:rsidRPr="009F1618" w:rsidRDefault="00693730" w:rsidP="009F1618">
      <w:pPr>
        <w:spacing w:after="0" w:line="240" w:lineRule="auto"/>
        <w:jc w:val="both"/>
        <w:rPr>
          <w:rFonts w:ascii="Calibri" w:hAnsi="Calibri" w:cs="Calibri"/>
          <w:noProof/>
          <w:sz w:val="22"/>
          <w:szCs w:val="22"/>
        </w:rPr>
      </w:pPr>
      <w:r w:rsidRPr="009F1618">
        <w:rPr>
          <w:rFonts w:ascii="Calibri" w:hAnsi="Calibri" w:cs="Calibri"/>
          <w:noProof/>
          <w:sz w:val="22"/>
          <w:szCs w:val="22"/>
        </w:rPr>
        <w:t>Taken together, the findings paint a clear picture of an internationally integrated Australian dairy export sector, one in which global price signals originating predominantly from New Zealand flow through to Australian export prices with a speed and persistence that leaves little room for sustained divergence.</w:t>
      </w:r>
    </w:p>
    <w:p w14:paraId="59521ED1" w14:textId="77777777" w:rsidR="004F1C89" w:rsidRDefault="004F1C89" w:rsidP="009F1618">
      <w:pPr>
        <w:spacing w:after="0" w:line="240" w:lineRule="auto"/>
        <w:jc w:val="both"/>
        <w:rPr>
          <w:rFonts w:ascii="Calibri" w:hAnsi="Calibri" w:cs="Calibri"/>
          <w:noProof/>
          <w:sz w:val="22"/>
          <w:szCs w:val="22"/>
        </w:rPr>
      </w:pPr>
    </w:p>
    <w:p w14:paraId="3E32F9E6" w14:textId="32D79E52" w:rsidR="009E0431" w:rsidRPr="009F1618" w:rsidRDefault="004B532B" w:rsidP="009F1618">
      <w:pPr>
        <w:spacing w:after="0" w:line="240" w:lineRule="auto"/>
        <w:jc w:val="both"/>
        <w:rPr>
          <w:rFonts w:ascii="Calibri" w:hAnsi="Calibri" w:cs="Calibri"/>
          <w:noProof/>
          <w:sz w:val="22"/>
          <w:szCs w:val="22"/>
        </w:rPr>
      </w:pPr>
      <w:r w:rsidRPr="009F1618">
        <w:rPr>
          <w:rFonts w:ascii="Calibri" w:hAnsi="Calibri" w:cs="Calibri"/>
          <w:noProof/>
          <w:sz w:val="22"/>
          <w:szCs w:val="22"/>
        </w:rPr>
        <w:t xml:space="preserve">More broadly, the results support the view that export </w:t>
      </w:r>
      <w:r w:rsidR="00BB367A" w:rsidRPr="009F1618">
        <w:rPr>
          <w:rFonts w:ascii="Calibri" w:hAnsi="Calibri" w:cs="Calibri"/>
          <w:noProof/>
          <w:sz w:val="22"/>
          <w:szCs w:val="22"/>
        </w:rPr>
        <w:t xml:space="preserve">price </w:t>
      </w:r>
      <w:r w:rsidRPr="009F1618">
        <w:rPr>
          <w:rFonts w:ascii="Calibri" w:hAnsi="Calibri" w:cs="Calibri"/>
          <w:noProof/>
          <w:sz w:val="22"/>
          <w:szCs w:val="22"/>
        </w:rPr>
        <w:t>parity provides a useful framework for understanding price formation in the Australian dairy industry</w:t>
      </w:r>
      <w:r w:rsidR="0084586B">
        <w:rPr>
          <w:rFonts w:ascii="Calibri" w:hAnsi="Calibri" w:cs="Calibri"/>
          <w:noProof/>
          <w:sz w:val="22"/>
          <w:szCs w:val="22"/>
        </w:rPr>
        <w:t xml:space="preserve"> (Freebairn, 20</w:t>
      </w:r>
      <w:r w:rsidR="004033FF">
        <w:rPr>
          <w:rFonts w:ascii="Calibri" w:hAnsi="Calibri" w:cs="Calibri"/>
          <w:noProof/>
          <w:sz w:val="22"/>
          <w:szCs w:val="22"/>
        </w:rPr>
        <w:t>1</w:t>
      </w:r>
      <w:r w:rsidR="0084586B">
        <w:rPr>
          <w:rFonts w:ascii="Calibri" w:hAnsi="Calibri" w:cs="Calibri"/>
          <w:noProof/>
          <w:sz w:val="22"/>
          <w:szCs w:val="22"/>
        </w:rPr>
        <w:t>6)</w:t>
      </w:r>
      <w:r w:rsidRPr="009F1618">
        <w:rPr>
          <w:rFonts w:ascii="Calibri" w:hAnsi="Calibri" w:cs="Calibri"/>
          <w:noProof/>
          <w:sz w:val="22"/>
          <w:szCs w:val="22"/>
        </w:rPr>
        <w:t xml:space="preserve">. </w:t>
      </w:r>
      <w:r w:rsidR="008D1AF2" w:rsidRPr="009F1618">
        <w:rPr>
          <w:rFonts w:ascii="Calibri" w:hAnsi="Calibri" w:cs="Calibri"/>
          <w:noProof/>
          <w:sz w:val="22"/>
          <w:szCs w:val="22"/>
        </w:rPr>
        <w:t xml:space="preserve">As </w:t>
      </w:r>
      <w:r w:rsidR="001F7F02" w:rsidRPr="009F1618">
        <w:rPr>
          <w:rFonts w:ascii="Calibri" w:hAnsi="Calibri" w:cs="Calibri"/>
          <w:noProof/>
          <w:sz w:val="22"/>
          <w:szCs w:val="22"/>
        </w:rPr>
        <w:t xml:space="preserve">Australian export prices move with international dairy prices, changes in global market conditions alter the relative attractiveness of export and domestic sales. When international prices rise, exporting becomes more profitable and </w:t>
      </w:r>
      <w:r w:rsidR="009652DE" w:rsidRPr="009F1618">
        <w:rPr>
          <w:rFonts w:ascii="Calibri" w:hAnsi="Calibri" w:cs="Calibri"/>
          <w:noProof/>
          <w:sz w:val="22"/>
          <w:szCs w:val="22"/>
        </w:rPr>
        <w:t xml:space="preserve">dairy </w:t>
      </w:r>
      <w:r w:rsidR="001F7F02" w:rsidRPr="009F1618">
        <w:rPr>
          <w:rFonts w:ascii="Calibri" w:hAnsi="Calibri" w:cs="Calibri"/>
          <w:noProof/>
          <w:sz w:val="22"/>
          <w:szCs w:val="22"/>
        </w:rPr>
        <w:t xml:space="preserve">processors have an incentive to direct additional product to export markets. Conversely, </w:t>
      </w:r>
      <w:r w:rsidR="008D1AF2" w:rsidRPr="009F1618">
        <w:rPr>
          <w:rFonts w:ascii="Calibri" w:hAnsi="Calibri" w:cs="Calibri"/>
          <w:noProof/>
          <w:sz w:val="22"/>
          <w:szCs w:val="22"/>
        </w:rPr>
        <w:t xml:space="preserve">as </w:t>
      </w:r>
      <w:r w:rsidR="001F7F02" w:rsidRPr="009F1618">
        <w:rPr>
          <w:rFonts w:ascii="Calibri" w:hAnsi="Calibri" w:cs="Calibri"/>
          <w:noProof/>
          <w:sz w:val="22"/>
          <w:szCs w:val="22"/>
        </w:rPr>
        <w:t xml:space="preserve">domestic prices rise above the returns available from exporting, </w:t>
      </w:r>
      <w:r w:rsidR="009652DE" w:rsidRPr="009F1618">
        <w:rPr>
          <w:rFonts w:ascii="Calibri" w:hAnsi="Calibri" w:cs="Calibri"/>
          <w:noProof/>
          <w:sz w:val="22"/>
          <w:szCs w:val="22"/>
        </w:rPr>
        <w:t xml:space="preserve">dairy </w:t>
      </w:r>
      <w:r w:rsidR="001F7F02" w:rsidRPr="009F1618">
        <w:rPr>
          <w:rFonts w:ascii="Calibri" w:hAnsi="Calibri" w:cs="Calibri"/>
          <w:noProof/>
          <w:sz w:val="22"/>
          <w:szCs w:val="22"/>
        </w:rPr>
        <w:t xml:space="preserve">processors </w:t>
      </w:r>
      <w:r w:rsidR="007D7091" w:rsidRPr="009F1618">
        <w:rPr>
          <w:rFonts w:ascii="Calibri" w:hAnsi="Calibri" w:cs="Calibri"/>
          <w:noProof/>
          <w:sz w:val="22"/>
          <w:szCs w:val="22"/>
        </w:rPr>
        <w:t>have an incentive to</w:t>
      </w:r>
      <w:r w:rsidR="001F7F02" w:rsidRPr="009F1618">
        <w:rPr>
          <w:rFonts w:ascii="Calibri" w:hAnsi="Calibri" w:cs="Calibri"/>
          <w:noProof/>
          <w:sz w:val="22"/>
          <w:szCs w:val="22"/>
        </w:rPr>
        <w:t xml:space="preserve"> increase supply to the domestic market, placing downward pressure on prices. </w:t>
      </w:r>
    </w:p>
    <w:p w14:paraId="2056AF81" w14:textId="77777777" w:rsidR="005F7F1D" w:rsidRDefault="005F7F1D" w:rsidP="009F1618">
      <w:pPr>
        <w:spacing w:after="0" w:line="240" w:lineRule="auto"/>
        <w:jc w:val="both"/>
        <w:rPr>
          <w:rFonts w:ascii="Calibri" w:hAnsi="Calibri" w:cs="Calibri"/>
          <w:noProof/>
          <w:sz w:val="22"/>
          <w:szCs w:val="22"/>
        </w:rPr>
      </w:pPr>
    </w:p>
    <w:p w14:paraId="4645DED7" w14:textId="4513B6C0" w:rsidR="00B07EB5" w:rsidRPr="009F1618" w:rsidRDefault="00B07EB5" w:rsidP="009F1618">
      <w:pPr>
        <w:spacing w:after="0" w:line="240" w:lineRule="auto"/>
        <w:jc w:val="both"/>
        <w:rPr>
          <w:rFonts w:ascii="Calibri" w:hAnsi="Calibri" w:cs="Calibri"/>
          <w:noProof/>
          <w:sz w:val="22"/>
          <w:szCs w:val="22"/>
        </w:rPr>
      </w:pPr>
      <w:r w:rsidRPr="009F1618">
        <w:rPr>
          <w:rFonts w:ascii="Calibri" w:hAnsi="Calibri" w:cs="Calibri"/>
          <w:noProof/>
          <w:sz w:val="22"/>
          <w:szCs w:val="22"/>
        </w:rPr>
        <w:t>Just as Australian export prices cannot persistently diverge from international prices, domestic prices cannot persistently diverge from export prices. Any sustained difference would induce processors to reallocate product between domestic and export markets until parity is restored.</w:t>
      </w:r>
    </w:p>
    <w:p w14:paraId="1A875FA8" w14:textId="77777777" w:rsidR="0083375F" w:rsidRDefault="0083375F" w:rsidP="009F1618">
      <w:pPr>
        <w:spacing w:after="0" w:line="240" w:lineRule="auto"/>
        <w:jc w:val="both"/>
        <w:rPr>
          <w:rFonts w:ascii="Calibri" w:hAnsi="Calibri" w:cs="Calibri"/>
          <w:noProof/>
          <w:sz w:val="22"/>
          <w:szCs w:val="22"/>
        </w:rPr>
      </w:pPr>
    </w:p>
    <w:p w14:paraId="20289F73" w14:textId="694516C4" w:rsidR="004B532B" w:rsidRPr="009F1618" w:rsidRDefault="004B532B" w:rsidP="009F1618">
      <w:pPr>
        <w:spacing w:after="0" w:line="240" w:lineRule="auto"/>
        <w:jc w:val="both"/>
        <w:rPr>
          <w:rFonts w:ascii="Calibri" w:hAnsi="Calibri" w:cs="Calibri"/>
          <w:noProof/>
          <w:sz w:val="22"/>
          <w:szCs w:val="22"/>
        </w:rPr>
      </w:pPr>
      <w:r w:rsidRPr="009F1618">
        <w:rPr>
          <w:rFonts w:ascii="Calibri" w:hAnsi="Calibri" w:cs="Calibri"/>
          <w:noProof/>
          <w:sz w:val="22"/>
          <w:szCs w:val="22"/>
        </w:rPr>
        <w:t>This has implications for industry strategies aimed at increasing domestic demand. Even where generic marketing campaigns are successful in encouraging consumers to purchase Australian dairy products in preference to imported alternatives, the scope for sustained price increases</w:t>
      </w:r>
      <w:r w:rsidR="009832D4" w:rsidRPr="009F1618">
        <w:rPr>
          <w:rFonts w:ascii="Calibri" w:hAnsi="Calibri" w:cs="Calibri"/>
          <w:noProof/>
          <w:sz w:val="22"/>
          <w:szCs w:val="22"/>
        </w:rPr>
        <w:t xml:space="preserve"> – and, by extension, farmgate r</w:t>
      </w:r>
      <w:r w:rsidR="00F23289" w:rsidRPr="009F1618">
        <w:rPr>
          <w:rFonts w:ascii="Calibri" w:hAnsi="Calibri" w:cs="Calibri"/>
          <w:noProof/>
          <w:sz w:val="22"/>
          <w:szCs w:val="22"/>
        </w:rPr>
        <w:t xml:space="preserve">eturns – is </w:t>
      </w:r>
      <w:r w:rsidRPr="009F1618">
        <w:rPr>
          <w:rFonts w:ascii="Calibri" w:hAnsi="Calibri" w:cs="Calibri"/>
          <w:noProof/>
          <w:sz w:val="22"/>
          <w:szCs w:val="22"/>
        </w:rPr>
        <w:t xml:space="preserve">limited if export </w:t>
      </w:r>
      <w:r w:rsidR="00983AC8" w:rsidRPr="009F1618">
        <w:rPr>
          <w:rFonts w:ascii="Calibri" w:hAnsi="Calibri" w:cs="Calibri"/>
          <w:noProof/>
          <w:sz w:val="22"/>
          <w:szCs w:val="22"/>
        </w:rPr>
        <w:t xml:space="preserve">price </w:t>
      </w:r>
      <w:r w:rsidRPr="009F1618">
        <w:rPr>
          <w:rFonts w:ascii="Calibri" w:hAnsi="Calibri" w:cs="Calibri"/>
          <w:noProof/>
          <w:sz w:val="22"/>
          <w:szCs w:val="22"/>
        </w:rPr>
        <w:t xml:space="preserve">parity continues to bind. </w:t>
      </w:r>
    </w:p>
    <w:p w14:paraId="3EEB1440" w14:textId="77777777" w:rsidR="0083375F" w:rsidRDefault="0083375F" w:rsidP="009F1618">
      <w:pPr>
        <w:tabs>
          <w:tab w:val="left" w:pos="5775"/>
        </w:tabs>
        <w:spacing w:after="0" w:line="240" w:lineRule="auto"/>
        <w:contextualSpacing/>
        <w:jc w:val="both"/>
        <w:rPr>
          <w:rFonts w:ascii="Calibri" w:hAnsi="Calibri" w:cs="Calibri"/>
          <w:noProof/>
          <w:sz w:val="22"/>
          <w:szCs w:val="22"/>
        </w:rPr>
      </w:pPr>
    </w:p>
    <w:p w14:paraId="363BCF28" w14:textId="566D6C93" w:rsidR="009D116B" w:rsidRPr="009F1618" w:rsidRDefault="00693730"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This study therefore provides a foundation for future research examining how these international price signals propagate domestically, both vertically along the supply chain from farm-gate through wholesale to retail, and spatially across Australian dairy producing regions.</w:t>
      </w:r>
    </w:p>
    <w:p w14:paraId="59FC77A8"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3648E592" w14:textId="547CFCD6" w:rsidR="00F04D29" w:rsidRPr="009F1618" w:rsidRDefault="009D116B"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T</w:t>
      </w:r>
      <w:r w:rsidR="00693730" w:rsidRPr="009F1618">
        <w:rPr>
          <w:rFonts w:ascii="Calibri" w:hAnsi="Calibri" w:cs="Calibri"/>
          <w:noProof/>
          <w:sz w:val="22"/>
          <w:szCs w:val="22"/>
        </w:rPr>
        <w:t xml:space="preserve">he </w:t>
      </w:r>
      <w:r w:rsidRPr="009F1618">
        <w:rPr>
          <w:rFonts w:ascii="Calibri" w:hAnsi="Calibri" w:cs="Calibri"/>
          <w:noProof/>
          <w:sz w:val="22"/>
          <w:szCs w:val="22"/>
        </w:rPr>
        <w:t>extent</w:t>
      </w:r>
      <w:r w:rsidR="00693730" w:rsidRPr="009F1618">
        <w:rPr>
          <w:rFonts w:ascii="Calibri" w:hAnsi="Calibri" w:cs="Calibri"/>
          <w:noProof/>
          <w:sz w:val="22"/>
          <w:szCs w:val="22"/>
        </w:rPr>
        <w:t xml:space="preserve"> to which international price shocks are transmitted through </w:t>
      </w:r>
      <w:r w:rsidR="00912DB1" w:rsidRPr="009F1618">
        <w:rPr>
          <w:rFonts w:ascii="Calibri" w:hAnsi="Calibri" w:cs="Calibri"/>
          <w:noProof/>
          <w:sz w:val="22"/>
          <w:szCs w:val="22"/>
        </w:rPr>
        <w:t xml:space="preserve">dairy </w:t>
      </w:r>
      <w:r w:rsidR="00693730" w:rsidRPr="009F1618">
        <w:rPr>
          <w:rFonts w:ascii="Calibri" w:hAnsi="Calibri" w:cs="Calibri"/>
          <w:noProof/>
          <w:sz w:val="22"/>
          <w:szCs w:val="22"/>
        </w:rPr>
        <w:t xml:space="preserve">processors to farm-gate </w:t>
      </w:r>
      <w:r w:rsidR="00623728" w:rsidRPr="009F1618">
        <w:rPr>
          <w:rFonts w:ascii="Calibri" w:hAnsi="Calibri" w:cs="Calibri"/>
          <w:noProof/>
          <w:sz w:val="22"/>
          <w:szCs w:val="22"/>
        </w:rPr>
        <w:t xml:space="preserve">milk </w:t>
      </w:r>
      <w:r w:rsidR="00693730" w:rsidRPr="009F1618">
        <w:rPr>
          <w:rFonts w:ascii="Calibri" w:hAnsi="Calibri" w:cs="Calibri"/>
          <w:noProof/>
          <w:sz w:val="22"/>
          <w:szCs w:val="22"/>
        </w:rPr>
        <w:t xml:space="preserve">prices, and whether </w:t>
      </w:r>
      <w:r w:rsidR="00A5382E" w:rsidRPr="009F1618">
        <w:rPr>
          <w:rFonts w:ascii="Calibri" w:hAnsi="Calibri" w:cs="Calibri"/>
          <w:noProof/>
          <w:sz w:val="22"/>
          <w:szCs w:val="22"/>
        </w:rPr>
        <w:t>dairy farmers</w:t>
      </w:r>
      <w:r w:rsidR="00693730" w:rsidRPr="009F1618">
        <w:rPr>
          <w:rFonts w:ascii="Calibri" w:hAnsi="Calibri" w:cs="Calibri"/>
          <w:noProof/>
          <w:sz w:val="22"/>
          <w:szCs w:val="22"/>
        </w:rPr>
        <w:t xml:space="preserve"> ultimately capture or are insulated from those movements, has direct implications for producer welfare. In this respect, the findings sharpen an unresolved question raised by Leung and Furfaro (2020), who find that dairy processor stock prices are largely insensitive to movements in global dairy commodity prices</w:t>
      </w:r>
      <w:r w:rsidR="00802801" w:rsidRPr="009F1618">
        <w:rPr>
          <w:rFonts w:ascii="Calibri" w:hAnsi="Calibri" w:cs="Calibri"/>
          <w:noProof/>
          <w:sz w:val="22"/>
          <w:szCs w:val="22"/>
        </w:rPr>
        <w:t xml:space="preserve">. </w:t>
      </w:r>
    </w:p>
    <w:p w14:paraId="70C8DBC0" w14:textId="77777777" w:rsidR="007951AB" w:rsidRDefault="007951AB" w:rsidP="009F1618">
      <w:pPr>
        <w:tabs>
          <w:tab w:val="left" w:pos="5775"/>
        </w:tabs>
        <w:spacing w:after="0" w:line="240" w:lineRule="auto"/>
        <w:jc w:val="both"/>
        <w:rPr>
          <w:rFonts w:ascii="Calibri" w:hAnsi="Calibri" w:cs="Calibri"/>
          <w:noProof/>
          <w:sz w:val="22"/>
          <w:szCs w:val="22"/>
        </w:rPr>
      </w:pPr>
    </w:p>
    <w:p w14:paraId="48D51562" w14:textId="458740AC" w:rsidR="002D5D44" w:rsidRPr="009F1618" w:rsidRDefault="00693730" w:rsidP="009F1618">
      <w:pPr>
        <w:tabs>
          <w:tab w:val="left" w:pos="5775"/>
        </w:tabs>
        <w:spacing w:after="0" w:line="240" w:lineRule="auto"/>
        <w:jc w:val="both"/>
        <w:rPr>
          <w:rFonts w:ascii="Calibri" w:hAnsi="Calibri" w:cs="Calibri"/>
          <w:noProof/>
          <w:sz w:val="22"/>
          <w:szCs w:val="22"/>
        </w:rPr>
      </w:pPr>
      <w:r w:rsidRPr="009F1618">
        <w:rPr>
          <w:rFonts w:ascii="Calibri" w:hAnsi="Calibri" w:cs="Calibri"/>
          <w:noProof/>
          <w:sz w:val="22"/>
          <w:szCs w:val="22"/>
        </w:rPr>
        <w:lastRenderedPageBreak/>
        <w:t>If Australian export prices move closely with international markets, as the results here suggest, the question of whether processors absorb that volatility within their operations or pass it through to farmers becomes all the more pressing.</w:t>
      </w:r>
    </w:p>
    <w:p w14:paraId="44B7E4E2" w14:textId="77777777" w:rsidR="003F0891" w:rsidRDefault="003F0891" w:rsidP="009F1618">
      <w:pPr>
        <w:pStyle w:val="ListParagraph"/>
        <w:spacing w:after="0" w:line="240" w:lineRule="auto"/>
        <w:ind w:left="0"/>
        <w:jc w:val="both"/>
        <w:rPr>
          <w:rFonts w:ascii="Calibri" w:eastAsiaTheme="minorEastAsia" w:hAnsi="Calibri" w:cs="Calibri"/>
          <w:b/>
          <w:bCs/>
          <w:sz w:val="22"/>
          <w:szCs w:val="22"/>
        </w:rPr>
      </w:pPr>
    </w:p>
    <w:p w14:paraId="64C83099" w14:textId="58D6D50B" w:rsidR="00E60E83" w:rsidRPr="009F1618" w:rsidRDefault="00E60E83" w:rsidP="009F1618">
      <w:pPr>
        <w:pStyle w:val="ListParagraph"/>
        <w:spacing w:after="0" w:line="240" w:lineRule="auto"/>
        <w:ind w:left="0"/>
        <w:jc w:val="both"/>
        <w:rPr>
          <w:rFonts w:ascii="Calibri" w:eastAsiaTheme="minorEastAsia" w:hAnsi="Calibri" w:cs="Calibri"/>
          <w:b/>
          <w:bCs/>
          <w:sz w:val="22"/>
          <w:szCs w:val="22"/>
        </w:rPr>
      </w:pPr>
      <w:r w:rsidRPr="009F1618">
        <w:rPr>
          <w:rFonts w:ascii="Calibri" w:eastAsiaTheme="minorEastAsia" w:hAnsi="Calibri" w:cs="Calibri"/>
          <w:b/>
          <w:bCs/>
          <w:sz w:val="22"/>
          <w:szCs w:val="22"/>
        </w:rPr>
        <w:t>References</w:t>
      </w:r>
    </w:p>
    <w:p w14:paraId="674FB9C9" w14:textId="77777777" w:rsidR="007951AB" w:rsidRDefault="007951AB" w:rsidP="009F1618">
      <w:pPr>
        <w:tabs>
          <w:tab w:val="left" w:pos="3150"/>
        </w:tabs>
        <w:spacing w:after="0" w:line="240" w:lineRule="auto"/>
        <w:contextualSpacing/>
        <w:jc w:val="both"/>
        <w:rPr>
          <w:rFonts w:ascii="Calibri" w:hAnsi="Calibri" w:cs="Calibri"/>
          <w:noProof/>
          <w:sz w:val="22"/>
          <w:szCs w:val="22"/>
        </w:rPr>
      </w:pPr>
    </w:p>
    <w:p w14:paraId="6A231FEA" w14:textId="64A349B6" w:rsidR="0049645D" w:rsidRPr="009F1618" w:rsidRDefault="0049645D" w:rsidP="009F1618">
      <w:pPr>
        <w:tabs>
          <w:tab w:val="left" w:pos="3150"/>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Australian Competition and Consumer Commission (2018). </w:t>
      </w:r>
      <w:r w:rsidRPr="007951AB">
        <w:rPr>
          <w:rFonts w:ascii="Calibri" w:hAnsi="Calibri" w:cs="Calibri"/>
          <w:i/>
          <w:iCs/>
          <w:noProof/>
          <w:sz w:val="22"/>
          <w:szCs w:val="22"/>
        </w:rPr>
        <w:t>Dairy inquiry: final report</w:t>
      </w:r>
      <w:r w:rsidRPr="009F1618">
        <w:rPr>
          <w:rFonts w:ascii="Calibri" w:hAnsi="Calibri" w:cs="Calibri"/>
          <w:noProof/>
          <w:sz w:val="22"/>
          <w:szCs w:val="22"/>
        </w:rPr>
        <w:t>. ACCC, Canberra.</w:t>
      </w:r>
    </w:p>
    <w:p w14:paraId="5C67EFD7" w14:textId="77777777" w:rsidR="007951AB" w:rsidRDefault="007951AB" w:rsidP="009F1618">
      <w:pPr>
        <w:tabs>
          <w:tab w:val="left" w:pos="3150"/>
        </w:tabs>
        <w:spacing w:after="0" w:line="240" w:lineRule="auto"/>
        <w:contextualSpacing/>
        <w:jc w:val="both"/>
        <w:rPr>
          <w:rFonts w:ascii="Calibri" w:hAnsi="Calibri" w:cs="Calibri"/>
          <w:noProof/>
          <w:sz w:val="22"/>
          <w:szCs w:val="22"/>
        </w:rPr>
      </w:pPr>
    </w:p>
    <w:p w14:paraId="5B8A3543" w14:textId="05BAD4A8" w:rsidR="00A65C84" w:rsidRPr="009F1618" w:rsidRDefault="00973AFA" w:rsidP="009F1618">
      <w:pPr>
        <w:tabs>
          <w:tab w:val="left" w:pos="3150"/>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Chang, H.-S. and Griffith, G. (1998). </w:t>
      </w:r>
      <w:r w:rsidR="004D03B4">
        <w:rPr>
          <w:rFonts w:ascii="Calibri" w:hAnsi="Calibri" w:cs="Calibri"/>
          <w:noProof/>
          <w:sz w:val="22"/>
          <w:szCs w:val="22"/>
        </w:rPr>
        <w:t>‘</w:t>
      </w:r>
      <w:r w:rsidRPr="009F1618">
        <w:rPr>
          <w:rFonts w:ascii="Calibri" w:hAnsi="Calibri" w:cs="Calibri"/>
          <w:noProof/>
          <w:sz w:val="22"/>
          <w:szCs w:val="22"/>
        </w:rPr>
        <w:t>Examining long-run relationships between Australian beef prices</w:t>
      </w:r>
      <w:r w:rsidR="004D03B4">
        <w:rPr>
          <w:rFonts w:ascii="Calibri" w:hAnsi="Calibri" w:cs="Calibri"/>
          <w:noProof/>
          <w:sz w:val="22"/>
          <w:szCs w:val="22"/>
        </w:rPr>
        <w:t>’</w:t>
      </w:r>
      <w:r w:rsidRPr="009F1618">
        <w:rPr>
          <w:rFonts w:ascii="Calibri" w:hAnsi="Calibri" w:cs="Calibri"/>
          <w:noProof/>
          <w:sz w:val="22"/>
          <w:szCs w:val="22"/>
        </w:rPr>
        <w:t xml:space="preserve">. </w:t>
      </w:r>
      <w:r w:rsidRPr="004D03B4">
        <w:rPr>
          <w:rFonts w:ascii="Calibri" w:hAnsi="Calibri" w:cs="Calibri"/>
          <w:i/>
          <w:iCs/>
          <w:noProof/>
          <w:sz w:val="22"/>
          <w:szCs w:val="22"/>
        </w:rPr>
        <w:t>Australian Journal of Agricultural and Resource Economics</w:t>
      </w:r>
      <w:r w:rsidRPr="009F1618">
        <w:rPr>
          <w:rFonts w:ascii="Calibri" w:hAnsi="Calibri" w:cs="Calibri"/>
          <w:noProof/>
          <w:sz w:val="22"/>
          <w:szCs w:val="22"/>
        </w:rPr>
        <w:t>, 42 (4), 369–387.</w:t>
      </w:r>
    </w:p>
    <w:p w14:paraId="47854E2B" w14:textId="77777777" w:rsidR="007951AB" w:rsidRDefault="007951AB" w:rsidP="009F1618">
      <w:pPr>
        <w:tabs>
          <w:tab w:val="left" w:pos="3150"/>
        </w:tabs>
        <w:spacing w:after="0" w:line="240" w:lineRule="auto"/>
        <w:contextualSpacing/>
        <w:jc w:val="both"/>
        <w:rPr>
          <w:rFonts w:ascii="Calibri" w:hAnsi="Calibri" w:cs="Calibri"/>
          <w:noProof/>
          <w:sz w:val="22"/>
          <w:szCs w:val="22"/>
        </w:rPr>
      </w:pPr>
    </w:p>
    <w:p w14:paraId="155FBED4" w14:textId="56B2BB91" w:rsidR="00E306F7" w:rsidRPr="009F1618" w:rsidRDefault="00E306F7" w:rsidP="009F1618">
      <w:pPr>
        <w:tabs>
          <w:tab w:val="left" w:pos="3150"/>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Dairy Australia (2025). </w:t>
      </w:r>
      <w:r w:rsidRPr="004D03B4">
        <w:rPr>
          <w:rFonts w:ascii="Calibri" w:hAnsi="Calibri" w:cs="Calibri"/>
          <w:i/>
          <w:iCs/>
          <w:noProof/>
          <w:sz w:val="22"/>
          <w:szCs w:val="22"/>
        </w:rPr>
        <w:t>The Australian dairy industry: in focus 2025</w:t>
      </w:r>
      <w:r w:rsidRPr="009F1618">
        <w:rPr>
          <w:rFonts w:ascii="Calibri" w:hAnsi="Calibri" w:cs="Calibri"/>
          <w:noProof/>
          <w:sz w:val="22"/>
          <w:szCs w:val="22"/>
        </w:rPr>
        <w:t>. Dairy Australia</w:t>
      </w:r>
      <w:r w:rsidR="004D03B4">
        <w:rPr>
          <w:rFonts w:ascii="Calibri" w:hAnsi="Calibri" w:cs="Calibri"/>
          <w:noProof/>
          <w:sz w:val="22"/>
          <w:szCs w:val="22"/>
        </w:rPr>
        <w:t>, Southbank.</w:t>
      </w:r>
    </w:p>
    <w:p w14:paraId="13BF2F51" w14:textId="77777777" w:rsidR="007951AB" w:rsidRDefault="007951AB" w:rsidP="009F1618">
      <w:pPr>
        <w:tabs>
          <w:tab w:val="left" w:pos="3150"/>
        </w:tabs>
        <w:spacing w:after="0" w:line="240" w:lineRule="auto"/>
        <w:contextualSpacing/>
        <w:jc w:val="both"/>
        <w:rPr>
          <w:rFonts w:ascii="Calibri" w:hAnsi="Calibri" w:cs="Calibri"/>
          <w:noProof/>
          <w:sz w:val="22"/>
          <w:szCs w:val="22"/>
        </w:rPr>
      </w:pPr>
    </w:p>
    <w:p w14:paraId="41A217BD" w14:textId="757EC8D9" w:rsidR="00A035B0" w:rsidRPr="009F1618" w:rsidRDefault="00A65C84" w:rsidP="009F1618">
      <w:pPr>
        <w:tabs>
          <w:tab w:val="left" w:pos="3150"/>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Edwards, G. (2003). </w:t>
      </w:r>
      <w:r w:rsidR="004D03B4">
        <w:rPr>
          <w:rFonts w:ascii="Calibri" w:hAnsi="Calibri" w:cs="Calibri"/>
          <w:noProof/>
          <w:sz w:val="22"/>
          <w:szCs w:val="22"/>
        </w:rPr>
        <w:t>‘</w:t>
      </w:r>
      <w:r w:rsidRPr="009F1618">
        <w:rPr>
          <w:rFonts w:ascii="Calibri" w:hAnsi="Calibri" w:cs="Calibri"/>
          <w:noProof/>
          <w:sz w:val="22"/>
          <w:szCs w:val="22"/>
        </w:rPr>
        <w:t>The story of deregulation in the dairy industry</w:t>
      </w:r>
      <w:r w:rsidR="004D03B4">
        <w:rPr>
          <w:rFonts w:ascii="Calibri" w:hAnsi="Calibri" w:cs="Calibri"/>
          <w:noProof/>
          <w:sz w:val="22"/>
          <w:szCs w:val="22"/>
        </w:rPr>
        <w:t>’</w:t>
      </w:r>
      <w:r w:rsidRPr="009F1618">
        <w:rPr>
          <w:rFonts w:ascii="Calibri" w:hAnsi="Calibri" w:cs="Calibri"/>
          <w:noProof/>
          <w:sz w:val="22"/>
          <w:szCs w:val="22"/>
        </w:rPr>
        <w:t xml:space="preserve">. </w:t>
      </w:r>
      <w:r w:rsidRPr="004D03B4">
        <w:rPr>
          <w:rFonts w:ascii="Calibri" w:hAnsi="Calibri" w:cs="Calibri"/>
          <w:i/>
          <w:iCs/>
          <w:noProof/>
          <w:sz w:val="22"/>
          <w:szCs w:val="22"/>
        </w:rPr>
        <w:t>Australian Journal of Agricultural and Resource Economics</w:t>
      </w:r>
      <w:r w:rsidRPr="009F1618">
        <w:rPr>
          <w:rFonts w:ascii="Calibri" w:hAnsi="Calibri" w:cs="Calibri"/>
          <w:noProof/>
          <w:sz w:val="22"/>
          <w:szCs w:val="22"/>
        </w:rPr>
        <w:t>, 47 (1), 75–98.</w:t>
      </w:r>
      <w:r w:rsidRPr="009F1618">
        <w:rPr>
          <w:rFonts w:ascii="Calibri" w:hAnsi="Calibri" w:cs="Calibri"/>
          <w:noProof/>
          <w:sz w:val="22"/>
          <w:szCs w:val="22"/>
        </w:rPr>
        <w:tab/>
      </w:r>
    </w:p>
    <w:p w14:paraId="5BC50935"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050DEF8A" w14:textId="7D4F8647" w:rsidR="00A352BA" w:rsidRPr="009F1618" w:rsidRDefault="00244E19"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Fousekis, P., Emmanouilides, C. and Grigoriadis, V. (2017). </w:t>
      </w:r>
      <w:r w:rsidR="004D03B4">
        <w:rPr>
          <w:rFonts w:ascii="Calibri" w:hAnsi="Calibri" w:cs="Calibri"/>
          <w:noProof/>
          <w:sz w:val="22"/>
          <w:szCs w:val="22"/>
        </w:rPr>
        <w:t>‘</w:t>
      </w:r>
      <w:r w:rsidRPr="009F1618">
        <w:rPr>
          <w:rFonts w:ascii="Calibri" w:hAnsi="Calibri" w:cs="Calibri"/>
          <w:noProof/>
          <w:sz w:val="22"/>
          <w:szCs w:val="22"/>
        </w:rPr>
        <w:t>Price linkages in the international skim milk powder market: empirical evidence from nonparametric and time-varying copulas</w:t>
      </w:r>
      <w:r w:rsidR="004D03B4">
        <w:rPr>
          <w:rFonts w:ascii="Calibri" w:hAnsi="Calibri" w:cs="Calibri"/>
          <w:noProof/>
          <w:sz w:val="22"/>
          <w:szCs w:val="22"/>
        </w:rPr>
        <w:t>’</w:t>
      </w:r>
      <w:r w:rsidRPr="009F1618">
        <w:rPr>
          <w:rFonts w:ascii="Calibri" w:hAnsi="Calibri" w:cs="Calibri"/>
          <w:noProof/>
          <w:sz w:val="22"/>
          <w:szCs w:val="22"/>
        </w:rPr>
        <w:t xml:space="preserve">. </w:t>
      </w:r>
      <w:r w:rsidRPr="004D03B4">
        <w:rPr>
          <w:rFonts w:ascii="Calibri" w:hAnsi="Calibri" w:cs="Calibri"/>
          <w:i/>
          <w:iCs/>
          <w:noProof/>
          <w:sz w:val="22"/>
          <w:szCs w:val="22"/>
        </w:rPr>
        <w:t>Australian Journal of Agricultural and Resource Economics</w:t>
      </w:r>
      <w:r w:rsidRPr="009F1618">
        <w:rPr>
          <w:rFonts w:ascii="Calibri" w:hAnsi="Calibri" w:cs="Calibri"/>
          <w:noProof/>
          <w:sz w:val="22"/>
          <w:szCs w:val="22"/>
        </w:rPr>
        <w:t>, 61 (1), 135–153.</w:t>
      </w:r>
    </w:p>
    <w:p w14:paraId="472CD6F5"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54474CDD" w14:textId="24E20F22" w:rsidR="00A352BA" w:rsidRPr="009F1618" w:rsidRDefault="00091B07"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Federal Reserve Bank of St. Louis (2025). </w:t>
      </w:r>
      <w:r w:rsidR="004D03B4">
        <w:rPr>
          <w:rFonts w:ascii="Calibri" w:hAnsi="Calibri" w:cs="Calibri"/>
          <w:noProof/>
          <w:sz w:val="22"/>
          <w:szCs w:val="22"/>
        </w:rPr>
        <w:t>‘</w:t>
      </w:r>
      <w:r w:rsidRPr="009F1618">
        <w:rPr>
          <w:rFonts w:ascii="Calibri" w:hAnsi="Calibri" w:cs="Calibri"/>
          <w:noProof/>
          <w:sz w:val="22"/>
          <w:szCs w:val="22"/>
        </w:rPr>
        <w:t>Consumer price index for all urban consumers: all items in U.S. city average</w:t>
      </w:r>
      <w:r w:rsidR="004D03B4">
        <w:rPr>
          <w:rFonts w:ascii="Calibri" w:hAnsi="Calibri" w:cs="Calibri"/>
          <w:noProof/>
          <w:sz w:val="22"/>
          <w:szCs w:val="22"/>
        </w:rPr>
        <w:t>’</w:t>
      </w:r>
      <w:r w:rsidRPr="009F1618">
        <w:rPr>
          <w:rFonts w:ascii="Calibri" w:hAnsi="Calibri" w:cs="Calibri"/>
          <w:noProof/>
          <w:sz w:val="22"/>
          <w:szCs w:val="22"/>
        </w:rPr>
        <w:t xml:space="preserve">. Federal Reserve Economic Data (FRED). Available at </w:t>
      </w:r>
      <w:hyperlink r:id="rId22" w:history="1">
        <w:r w:rsidR="00A352BA" w:rsidRPr="009F1618">
          <w:rPr>
            <w:rStyle w:val="Hyperlink"/>
            <w:rFonts w:ascii="Calibri" w:hAnsi="Calibri" w:cs="Calibri"/>
            <w:noProof/>
            <w:sz w:val="22"/>
            <w:szCs w:val="22"/>
          </w:rPr>
          <w:t>https://fred.stlouisfed.org/series/CPIAUCSL</w:t>
        </w:r>
      </w:hyperlink>
      <w:r w:rsidRPr="009F1618">
        <w:rPr>
          <w:rFonts w:ascii="Calibri" w:hAnsi="Calibri" w:cs="Calibri"/>
          <w:noProof/>
          <w:sz w:val="22"/>
          <w:szCs w:val="22"/>
        </w:rPr>
        <w:t>.</w:t>
      </w:r>
    </w:p>
    <w:p w14:paraId="7B3123A0"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2D4EF717" w14:textId="1E2E1D57" w:rsidR="006C5D1B" w:rsidRPr="009F1618" w:rsidRDefault="006C5D1B"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Freebairn, J. W. (1992). </w:t>
      </w:r>
      <w:r w:rsidR="004D03B4">
        <w:rPr>
          <w:rFonts w:ascii="Calibri" w:hAnsi="Calibri" w:cs="Calibri"/>
          <w:noProof/>
          <w:sz w:val="22"/>
          <w:szCs w:val="22"/>
        </w:rPr>
        <w:t>‘</w:t>
      </w:r>
      <w:r w:rsidRPr="009F1618">
        <w:rPr>
          <w:rFonts w:ascii="Calibri" w:hAnsi="Calibri" w:cs="Calibri"/>
          <w:noProof/>
          <w:sz w:val="22"/>
          <w:szCs w:val="22"/>
        </w:rPr>
        <w:t>Dairy industry policy</w:t>
      </w:r>
      <w:r w:rsidR="004D03B4">
        <w:rPr>
          <w:rFonts w:ascii="Calibri" w:hAnsi="Calibri" w:cs="Calibri"/>
          <w:noProof/>
          <w:sz w:val="22"/>
          <w:szCs w:val="22"/>
        </w:rPr>
        <w:t>’</w:t>
      </w:r>
      <w:r w:rsidRPr="009F1618">
        <w:rPr>
          <w:rFonts w:ascii="Calibri" w:hAnsi="Calibri" w:cs="Calibri"/>
          <w:noProof/>
          <w:sz w:val="22"/>
          <w:szCs w:val="22"/>
        </w:rPr>
        <w:t xml:space="preserve">. </w:t>
      </w:r>
      <w:r w:rsidRPr="004D03B4">
        <w:rPr>
          <w:rFonts w:ascii="Calibri" w:hAnsi="Calibri" w:cs="Calibri"/>
          <w:i/>
          <w:iCs/>
          <w:noProof/>
          <w:sz w:val="22"/>
          <w:szCs w:val="22"/>
        </w:rPr>
        <w:t>Review of Marketing and Agricultural Economics</w:t>
      </w:r>
      <w:r w:rsidRPr="009F1618">
        <w:rPr>
          <w:rFonts w:ascii="Calibri" w:hAnsi="Calibri" w:cs="Calibri"/>
          <w:noProof/>
          <w:sz w:val="22"/>
          <w:szCs w:val="22"/>
        </w:rPr>
        <w:t>, 60 (1), 23–41.</w:t>
      </w:r>
    </w:p>
    <w:p w14:paraId="0F1317AB"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1A0D9633" w14:textId="318031FF" w:rsidR="008C1EA3" w:rsidRPr="009F1618" w:rsidRDefault="006C5D1B"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Freebairn, J.W. </w:t>
      </w:r>
      <w:r w:rsidR="008C1EA3" w:rsidRPr="009F1618">
        <w:rPr>
          <w:rFonts w:ascii="Calibri" w:hAnsi="Calibri" w:cs="Calibri"/>
          <w:noProof/>
          <w:sz w:val="22"/>
          <w:szCs w:val="22"/>
        </w:rPr>
        <w:t xml:space="preserve">(2016). </w:t>
      </w:r>
      <w:r w:rsidR="004D03B4">
        <w:rPr>
          <w:rFonts w:ascii="Calibri" w:hAnsi="Calibri" w:cs="Calibri"/>
          <w:noProof/>
          <w:sz w:val="22"/>
          <w:szCs w:val="22"/>
        </w:rPr>
        <w:t>‘</w:t>
      </w:r>
      <w:r w:rsidR="008C1EA3" w:rsidRPr="009F1618">
        <w:rPr>
          <w:rFonts w:ascii="Calibri" w:hAnsi="Calibri" w:cs="Calibri"/>
          <w:noProof/>
          <w:sz w:val="22"/>
          <w:szCs w:val="22"/>
        </w:rPr>
        <w:t>Higher supermarket prices for milk won't necessarily help farmers</w:t>
      </w:r>
      <w:r w:rsidR="004D03B4">
        <w:rPr>
          <w:rFonts w:ascii="Calibri" w:hAnsi="Calibri" w:cs="Calibri"/>
          <w:noProof/>
          <w:sz w:val="22"/>
          <w:szCs w:val="22"/>
        </w:rPr>
        <w:t>’</w:t>
      </w:r>
      <w:r w:rsidR="008C1EA3" w:rsidRPr="009F1618">
        <w:rPr>
          <w:rFonts w:ascii="Calibri" w:hAnsi="Calibri" w:cs="Calibri"/>
          <w:noProof/>
          <w:sz w:val="22"/>
          <w:szCs w:val="22"/>
        </w:rPr>
        <w:t xml:space="preserve">. </w:t>
      </w:r>
      <w:r w:rsidR="008C1EA3" w:rsidRPr="004D03B4">
        <w:rPr>
          <w:rFonts w:ascii="Calibri" w:hAnsi="Calibri" w:cs="Calibri"/>
          <w:i/>
          <w:iCs/>
          <w:noProof/>
          <w:sz w:val="22"/>
          <w:szCs w:val="22"/>
        </w:rPr>
        <w:t>The Conversation</w:t>
      </w:r>
      <w:r w:rsidR="008C1EA3" w:rsidRPr="009F1618">
        <w:rPr>
          <w:rFonts w:ascii="Calibri" w:hAnsi="Calibri" w:cs="Calibri"/>
          <w:noProof/>
          <w:sz w:val="22"/>
          <w:szCs w:val="22"/>
        </w:rPr>
        <w:t>, 6 June. Available at https://theconversation.com/higher-supermarket-prices-for-milk-wont-necessarily-help-farmers-60184.</w:t>
      </w:r>
    </w:p>
    <w:p w14:paraId="78C6989C" w14:textId="77777777" w:rsidR="00D8177A" w:rsidRDefault="00D8177A" w:rsidP="00D8177A">
      <w:pPr>
        <w:widowControl w:val="0"/>
        <w:autoSpaceDE w:val="0"/>
        <w:autoSpaceDN w:val="0"/>
        <w:adjustRightInd w:val="0"/>
        <w:spacing w:after="0"/>
        <w:jc w:val="both"/>
        <w:rPr>
          <w:rFonts w:ascii="Calibri" w:hAnsi="Calibri" w:cs="Calibri"/>
          <w:kern w:val="0"/>
        </w:rPr>
      </w:pPr>
    </w:p>
    <w:p w14:paraId="60723075" w14:textId="39DAD133" w:rsidR="00D8177A" w:rsidRDefault="00D8177A" w:rsidP="00D8177A">
      <w:pPr>
        <w:widowControl w:val="0"/>
        <w:autoSpaceDE w:val="0"/>
        <w:autoSpaceDN w:val="0"/>
        <w:adjustRightInd w:val="0"/>
        <w:spacing w:after="0"/>
        <w:jc w:val="both"/>
        <w:rPr>
          <w:rFonts w:ascii="Calibri" w:hAnsi="Calibri" w:cs="Calibri"/>
          <w:kern w:val="0"/>
          <w:sz w:val="22"/>
          <w:szCs w:val="22"/>
        </w:rPr>
      </w:pPr>
      <w:r w:rsidRPr="00D8177A">
        <w:rPr>
          <w:rFonts w:ascii="Calibri" w:hAnsi="Calibri" w:cs="Calibri"/>
          <w:kern w:val="0"/>
          <w:sz w:val="22"/>
          <w:szCs w:val="22"/>
        </w:rPr>
        <w:t xml:space="preserve">Griffith, G. and Watson, A. (2016). </w:t>
      </w:r>
      <w:r w:rsidR="006174C5">
        <w:rPr>
          <w:rFonts w:ascii="Calibri" w:hAnsi="Calibri" w:cs="Calibri"/>
          <w:kern w:val="0"/>
          <w:sz w:val="22"/>
          <w:szCs w:val="22"/>
        </w:rPr>
        <w:t>‘</w:t>
      </w:r>
      <w:r w:rsidRPr="00D8177A">
        <w:rPr>
          <w:rFonts w:ascii="Calibri" w:hAnsi="Calibri" w:cs="Calibri"/>
          <w:kern w:val="0"/>
          <w:sz w:val="22"/>
          <w:szCs w:val="22"/>
        </w:rPr>
        <w:t>Agricultural markets and marketing policies</w:t>
      </w:r>
      <w:r w:rsidR="006174C5">
        <w:rPr>
          <w:rFonts w:ascii="Calibri" w:hAnsi="Calibri" w:cs="Calibri"/>
          <w:kern w:val="0"/>
          <w:sz w:val="22"/>
          <w:szCs w:val="22"/>
        </w:rPr>
        <w:t>’</w:t>
      </w:r>
      <w:r w:rsidRPr="00D8177A">
        <w:rPr>
          <w:rFonts w:ascii="Calibri" w:hAnsi="Calibri" w:cs="Calibri"/>
          <w:kern w:val="0"/>
          <w:sz w:val="22"/>
          <w:szCs w:val="22"/>
        </w:rPr>
        <w:t xml:space="preserve">. </w:t>
      </w:r>
      <w:r w:rsidRPr="00D8177A">
        <w:rPr>
          <w:rFonts w:ascii="Calibri" w:hAnsi="Calibri" w:cs="Calibri"/>
          <w:i/>
          <w:iCs/>
          <w:kern w:val="0"/>
          <w:sz w:val="22"/>
          <w:szCs w:val="22"/>
        </w:rPr>
        <w:t>Australian Journal of Agricultural and Resource Economics</w:t>
      </w:r>
      <w:r w:rsidRPr="00D8177A">
        <w:rPr>
          <w:rFonts w:ascii="Calibri" w:hAnsi="Calibri" w:cs="Calibri"/>
          <w:kern w:val="0"/>
          <w:sz w:val="22"/>
          <w:szCs w:val="22"/>
        </w:rPr>
        <w:t>. Available at: DOI: 10.1111/1467-8489.12161</w:t>
      </w:r>
    </w:p>
    <w:p w14:paraId="28D6CE09" w14:textId="77777777" w:rsidR="00176CBF" w:rsidRDefault="00176CBF" w:rsidP="00D8177A">
      <w:pPr>
        <w:widowControl w:val="0"/>
        <w:autoSpaceDE w:val="0"/>
        <w:autoSpaceDN w:val="0"/>
        <w:adjustRightInd w:val="0"/>
        <w:spacing w:after="0"/>
        <w:jc w:val="both"/>
        <w:rPr>
          <w:rFonts w:ascii="Calibri" w:hAnsi="Calibri" w:cs="Calibri"/>
          <w:kern w:val="0"/>
          <w:sz w:val="22"/>
          <w:szCs w:val="22"/>
        </w:rPr>
      </w:pPr>
    </w:p>
    <w:p w14:paraId="11A9EDD6" w14:textId="77EE1A34" w:rsidR="00176CBF" w:rsidRPr="00D8177A" w:rsidRDefault="00176CBF" w:rsidP="00D8177A">
      <w:pPr>
        <w:widowControl w:val="0"/>
        <w:autoSpaceDE w:val="0"/>
        <w:autoSpaceDN w:val="0"/>
        <w:adjustRightInd w:val="0"/>
        <w:spacing w:after="0"/>
        <w:jc w:val="both"/>
        <w:rPr>
          <w:rFonts w:ascii="Calibri" w:hAnsi="Calibri" w:cs="Calibri"/>
          <w:kern w:val="0"/>
          <w:sz w:val="22"/>
          <w:szCs w:val="22"/>
        </w:rPr>
      </w:pPr>
      <w:r w:rsidRPr="00176CBF">
        <w:rPr>
          <w:rFonts w:ascii="Calibri" w:hAnsi="Calibri" w:cs="Calibri"/>
          <w:kern w:val="0"/>
          <w:sz w:val="22"/>
          <w:szCs w:val="22"/>
        </w:rPr>
        <w:t>Griffith,</w:t>
      </w:r>
      <w:r w:rsidRPr="00176CBF">
        <w:rPr>
          <w:rFonts w:ascii="Calibri" w:hAnsi="Calibri" w:cs="Calibri"/>
          <w:kern w:val="0"/>
          <w:sz w:val="22"/>
          <w:szCs w:val="22"/>
          <w:vertAlign w:val="superscript"/>
        </w:rPr>
        <w:t xml:space="preserve"> </w:t>
      </w:r>
      <w:r w:rsidRPr="00176CBF">
        <w:rPr>
          <w:rFonts w:ascii="Calibri" w:hAnsi="Calibri" w:cs="Calibri"/>
          <w:kern w:val="0"/>
          <w:sz w:val="22"/>
          <w:szCs w:val="22"/>
        </w:rPr>
        <w:t>Garry</w:t>
      </w:r>
      <w:r>
        <w:rPr>
          <w:rFonts w:ascii="Calibri" w:hAnsi="Calibri" w:cs="Calibri"/>
          <w:kern w:val="0"/>
          <w:sz w:val="22"/>
          <w:szCs w:val="22"/>
        </w:rPr>
        <w:t>,</w:t>
      </w:r>
      <w:r w:rsidRPr="00176CBF">
        <w:rPr>
          <w:rFonts w:ascii="Calibri" w:hAnsi="Calibri" w:cs="Calibri"/>
          <w:kern w:val="0"/>
          <w:sz w:val="22"/>
          <w:szCs w:val="22"/>
        </w:rPr>
        <w:t xml:space="preserve"> Selvan, Matt, Deane, Paul, Jenkins, Murray, Sinnett, Alex</w:t>
      </w:r>
      <w:r>
        <w:rPr>
          <w:rFonts w:ascii="Calibri" w:hAnsi="Calibri" w:cs="Calibri"/>
          <w:kern w:val="0"/>
          <w:sz w:val="22"/>
          <w:szCs w:val="22"/>
        </w:rPr>
        <w:t xml:space="preserve"> and </w:t>
      </w:r>
      <w:r w:rsidRPr="00176CBF">
        <w:rPr>
          <w:rFonts w:ascii="Calibri" w:hAnsi="Calibri" w:cs="Calibri"/>
          <w:kern w:val="0"/>
          <w:sz w:val="22"/>
          <w:szCs w:val="22"/>
        </w:rPr>
        <w:t>Malcolm, Bill (2026). ‘</w:t>
      </w:r>
      <w:r w:rsidR="00811332" w:rsidRPr="00811332">
        <w:rPr>
          <w:rFonts w:ascii="Calibri" w:hAnsi="Calibri" w:cs="Calibri"/>
          <w:kern w:val="0"/>
          <w:sz w:val="22"/>
          <w:szCs w:val="22"/>
        </w:rPr>
        <w:t>Causal Relationships in World Dairy Product Prices’</w:t>
      </w:r>
      <w:r w:rsidRPr="00176CBF">
        <w:rPr>
          <w:rFonts w:ascii="Calibri" w:hAnsi="Calibri" w:cs="Calibri"/>
          <w:kern w:val="0"/>
          <w:sz w:val="22"/>
          <w:szCs w:val="22"/>
        </w:rPr>
        <w:t xml:space="preserve">, </w:t>
      </w:r>
      <w:r w:rsidRPr="00176CBF">
        <w:rPr>
          <w:rFonts w:ascii="Calibri" w:hAnsi="Calibri" w:cs="Calibri"/>
          <w:i/>
          <w:iCs/>
          <w:kern w:val="0"/>
          <w:sz w:val="22"/>
          <w:szCs w:val="22"/>
        </w:rPr>
        <w:t>Agricultural and Resource Economics and Agribusiness (AREA) Working Papers</w:t>
      </w:r>
      <w:r w:rsidRPr="00176CBF">
        <w:rPr>
          <w:rFonts w:ascii="Calibri" w:hAnsi="Calibri" w:cs="Calibri"/>
          <w:kern w:val="0"/>
          <w:sz w:val="22"/>
          <w:szCs w:val="22"/>
        </w:rPr>
        <w:t xml:space="preserve"> 2026, Paper 2</w:t>
      </w:r>
      <w:r w:rsidR="00725C57">
        <w:rPr>
          <w:rFonts w:ascii="Calibri" w:hAnsi="Calibri" w:cs="Calibri"/>
          <w:kern w:val="0"/>
          <w:sz w:val="22"/>
          <w:szCs w:val="22"/>
        </w:rPr>
        <w:t>2</w:t>
      </w:r>
      <w:r w:rsidRPr="00176CBF">
        <w:rPr>
          <w:rFonts w:ascii="Calibri" w:hAnsi="Calibri" w:cs="Calibri"/>
          <w:kern w:val="0"/>
          <w:sz w:val="22"/>
          <w:szCs w:val="22"/>
        </w:rPr>
        <w:t>.</w:t>
      </w:r>
    </w:p>
    <w:p w14:paraId="5E14A172" w14:textId="77777777" w:rsidR="0002659D" w:rsidRDefault="0002659D" w:rsidP="0002659D">
      <w:pPr>
        <w:spacing w:after="0"/>
        <w:jc w:val="both"/>
        <w:rPr>
          <w:rFonts w:ascii="Calibri" w:hAnsi="Calibri" w:cs="Calibri"/>
          <w:noProof/>
        </w:rPr>
      </w:pPr>
    </w:p>
    <w:p w14:paraId="6F0EF61C" w14:textId="3AD37AA3" w:rsidR="0002659D" w:rsidRPr="0002659D" w:rsidRDefault="0002659D" w:rsidP="0002659D">
      <w:pPr>
        <w:spacing w:after="0"/>
        <w:jc w:val="both"/>
        <w:rPr>
          <w:rFonts w:ascii="Calibri" w:hAnsi="Calibri" w:cs="Calibri"/>
          <w:noProof/>
          <w:sz w:val="22"/>
          <w:szCs w:val="22"/>
        </w:rPr>
      </w:pPr>
      <w:r w:rsidRPr="0002659D">
        <w:rPr>
          <w:rFonts w:ascii="Calibri" w:hAnsi="Calibri" w:cs="Calibri"/>
          <w:noProof/>
          <w:sz w:val="22"/>
          <w:szCs w:val="22"/>
        </w:rPr>
        <w:t xml:space="preserve">Hill, R.C., Griffiths, W.E. and G.G Judge (2001), </w:t>
      </w:r>
      <w:r w:rsidRPr="0002659D">
        <w:rPr>
          <w:rFonts w:ascii="Calibri" w:hAnsi="Calibri" w:cs="Calibri"/>
          <w:i/>
          <w:iCs/>
          <w:noProof/>
          <w:sz w:val="22"/>
          <w:szCs w:val="22"/>
        </w:rPr>
        <w:t>Undergraduate Econometrics</w:t>
      </w:r>
      <w:r w:rsidRPr="0002659D">
        <w:rPr>
          <w:rFonts w:ascii="Calibri" w:hAnsi="Calibri" w:cs="Calibri"/>
          <w:noProof/>
          <w:sz w:val="22"/>
          <w:szCs w:val="22"/>
        </w:rPr>
        <w:t>, 2</w:t>
      </w:r>
      <w:r w:rsidRPr="0002659D">
        <w:rPr>
          <w:rFonts w:ascii="Calibri" w:hAnsi="Calibri" w:cs="Calibri"/>
          <w:noProof/>
          <w:sz w:val="22"/>
          <w:szCs w:val="22"/>
          <w:vertAlign w:val="superscript"/>
        </w:rPr>
        <w:t>nd</w:t>
      </w:r>
      <w:r w:rsidRPr="0002659D">
        <w:rPr>
          <w:rFonts w:ascii="Calibri" w:hAnsi="Calibri" w:cs="Calibri"/>
          <w:noProof/>
          <w:sz w:val="22"/>
          <w:szCs w:val="22"/>
        </w:rPr>
        <w:t xml:space="preserve"> Edition, John Wiley &amp; sons, Inc., New York and Brisbane.</w:t>
      </w:r>
    </w:p>
    <w:p w14:paraId="3DE16632"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27B1B8B4" w14:textId="0F729A35" w:rsidR="006B5FFB" w:rsidRPr="009F1618" w:rsidRDefault="006B5FFB"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Leung, H. and Furfaro, F. (2020). </w:t>
      </w:r>
      <w:r w:rsidR="004D03B4">
        <w:rPr>
          <w:rFonts w:ascii="Calibri" w:hAnsi="Calibri" w:cs="Calibri"/>
          <w:noProof/>
          <w:sz w:val="22"/>
          <w:szCs w:val="22"/>
        </w:rPr>
        <w:t>‘</w:t>
      </w:r>
      <w:r w:rsidRPr="009F1618">
        <w:rPr>
          <w:rFonts w:ascii="Calibri" w:hAnsi="Calibri" w:cs="Calibri"/>
          <w:noProof/>
          <w:sz w:val="22"/>
          <w:szCs w:val="22"/>
        </w:rPr>
        <w:t>Comovement of dairy product futures and firm value: returns and volatility</w:t>
      </w:r>
      <w:r w:rsidR="004D03B4">
        <w:rPr>
          <w:rFonts w:ascii="Calibri" w:hAnsi="Calibri" w:cs="Calibri"/>
          <w:noProof/>
          <w:sz w:val="22"/>
          <w:szCs w:val="22"/>
        </w:rPr>
        <w:t>’</w:t>
      </w:r>
      <w:r w:rsidRPr="009F1618">
        <w:rPr>
          <w:rFonts w:ascii="Calibri" w:hAnsi="Calibri" w:cs="Calibri"/>
          <w:noProof/>
          <w:sz w:val="22"/>
          <w:szCs w:val="22"/>
        </w:rPr>
        <w:t xml:space="preserve">. </w:t>
      </w:r>
      <w:r w:rsidRPr="004D03B4">
        <w:rPr>
          <w:rFonts w:ascii="Calibri" w:hAnsi="Calibri" w:cs="Calibri"/>
          <w:i/>
          <w:iCs/>
          <w:noProof/>
          <w:sz w:val="22"/>
          <w:szCs w:val="22"/>
        </w:rPr>
        <w:t>Australian Journal of Agricultural and Resource Economics</w:t>
      </w:r>
      <w:r w:rsidRPr="009F1618">
        <w:rPr>
          <w:rFonts w:ascii="Calibri" w:hAnsi="Calibri" w:cs="Calibri"/>
          <w:noProof/>
          <w:sz w:val="22"/>
          <w:szCs w:val="22"/>
        </w:rPr>
        <w:t>, 64, 632–654.</w:t>
      </w:r>
    </w:p>
    <w:p w14:paraId="0F212208"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77795F31" w14:textId="202421FE" w:rsidR="005C0289" w:rsidRPr="009F1618" w:rsidRDefault="005C0289"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Lloyd, A.G. (1950). </w:t>
      </w:r>
      <w:r w:rsidR="004D03B4">
        <w:rPr>
          <w:rFonts w:ascii="Calibri" w:hAnsi="Calibri" w:cs="Calibri"/>
          <w:noProof/>
          <w:sz w:val="22"/>
          <w:szCs w:val="22"/>
        </w:rPr>
        <w:t>‘</w:t>
      </w:r>
      <w:r w:rsidRPr="009F1618">
        <w:rPr>
          <w:rFonts w:ascii="Calibri" w:hAnsi="Calibri" w:cs="Calibri"/>
          <w:noProof/>
          <w:sz w:val="22"/>
          <w:szCs w:val="22"/>
        </w:rPr>
        <w:t>The marketing of dairy produce in Australia</w:t>
      </w:r>
      <w:r w:rsidR="004D03B4">
        <w:rPr>
          <w:rFonts w:ascii="Calibri" w:hAnsi="Calibri" w:cs="Calibri"/>
          <w:noProof/>
          <w:sz w:val="22"/>
          <w:szCs w:val="22"/>
        </w:rPr>
        <w:t>’</w:t>
      </w:r>
      <w:r w:rsidRPr="009F1618">
        <w:rPr>
          <w:rFonts w:ascii="Calibri" w:hAnsi="Calibri" w:cs="Calibri"/>
          <w:noProof/>
          <w:sz w:val="22"/>
          <w:szCs w:val="22"/>
        </w:rPr>
        <w:t xml:space="preserve">. </w:t>
      </w:r>
      <w:r w:rsidRPr="004D03B4">
        <w:rPr>
          <w:rFonts w:ascii="Calibri" w:hAnsi="Calibri" w:cs="Calibri"/>
          <w:i/>
          <w:iCs/>
          <w:noProof/>
          <w:sz w:val="22"/>
          <w:szCs w:val="22"/>
        </w:rPr>
        <w:t>Review of Marketing and Agricultural Economics</w:t>
      </w:r>
      <w:r w:rsidRPr="009F1618">
        <w:rPr>
          <w:rFonts w:ascii="Calibri" w:hAnsi="Calibri" w:cs="Calibri"/>
          <w:noProof/>
          <w:sz w:val="22"/>
          <w:szCs w:val="22"/>
        </w:rPr>
        <w:t>, 18 (1), 6–92.</w:t>
      </w:r>
    </w:p>
    <w:p w14:paraId="3272B7E8"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6B513A31" w14:textId="760610F3" w:rsidR="0047510D" w:rsidRPr="009F1618" w:rsidRDefault="0047510D"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OECD/FAO (2025), </w:t>
      </w:r>
      <w:r w:rsidRPr="004D03B4">
        <w:rPr>
          <w:rFonts w:ascii="Calibri" w:hAnsi="Calibri" w:cs="Calibri"/>
          <w:i/>
          <w:iCs/>
          <w:noProof/>
          <w:sz w:val="22"/>
          <w:szCs w:val="22"/>
        </w:rPr>
        <w:t>OECD-FAO Agricultural Outlook 2025-2034</w:t>
      </w:r>
      <w:r w:rsidRPr="009F1618">
        <w:rPr>
          <w:rFonts w:ascii="Calibri" w:hAnsi="Calibri" w:cs="Calibri"/>
          <w:noProof/>
          <w:sz w:val="22"/>
          <w:szCs w:val="22"/>
        </w:rPr>
        <w:t>, OECD Publishing, Paris/FAO, Rome, </w:t>
      </w:r>
      <w:hyperlink r:id="rId23" w:history="1">
        <w:r w:rsidRPr="009F1618">
          <w:rPr>
            <w:rStyle w:val="Hyperlink"/>
            <w:rFonts w:ascii="Calibri" w:hAnsi="Calibri" w:cs="Calibri"/>
            <w:noProof/>
            <w:sz w:val="22"/>
            <w:szCs w:val="22"/>
          </w:rPr>
          <w:t>https://doi.org/10.1787/601276cd-en</w:t>
        </w:r>
      </w:hyperlink>
      <w:r w:rsidRPr="009F1618">
        <w:rPr>
          <w:rFonts w:ascii="Calibri" w:hAnsi="Calibri" w:cs="Calibri"/>
          <w:noProof/>
          <w:sz w:val="22"/>
          <w:szCs w:val="22"/>
        </w:rPr>
        <w:t>.</w:t>
      </w:r>
    </w:p>
    <w:p w14:paraId="28FDAAFA"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014C593A" w14:textId="69C3CA4E" w:rsidR="00E67CF7" w:rsidRPr="009F1618" w:rsidRDefault="00E67CF7"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lastRenderedPageBreak/>
        <w:t xml:space="preserve">Johansen, S. (1995). </w:t>
      </w:r>
      <w:r w:rsidRPr="004D03B4">
        <w:rPr>
          <w:rFonts w:ascii="Calibri" w:hAnsi="Calibri" w:cs="Calibri"/>
          <w:i/>
          <w:iCs/>
          <w:noProof/>
          <w:sz w:val="22"/>
          <w:szCs w:val="22"/>
        </w:rPr>
        <w:t>Likelihood-based inference in cointegrated vector autoregressive models</w:t>
      </w:r>
      <w:r w:rsidRPr="009F1618">
        <w:rPr>
          <w:rFonts w:ascii="Calibri" w:hAnsi="Calibri" w:cs="Calibri"/>
          <w:noProof/>
          <w:sz w:val="22"/>
          <w:szCs w:val="22"/>
        </w:rPr>
        <w:t>. Oxford University Press, Oxford.</w:t>
      </w:r>
    </w:p>
    <w:p w14:paraId="3D47CE1B"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3F73A074" w14:textId="167F2E36" w:rsidR="002A300B" w:rsidRPr="009F1618" w:rsidRDefault="002A300B"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Rezitis, A.N. and Rokopanos, A. (2019). </w:t>
      </w:r>
      <w:r w:rsidR="004D03B4">
        <w:rPr>
          <w:rFonts w:ascii="Calibri" w:hAnsi="Calibri" w:cs="Calibri"/>
          <w:noProof/>
          <w:sz w:val="22"/>
          <w:szCs w:val="22"/>
        </w:rPr>
        <w:t>‘</w:t>
      </w:r>
      <w:r w:rsidRPr="009F1618">
        <w:rPr>
          <w:rFonts w:ascii="Calibri" w:hAnsi="Calibri" w:cs="Calibri"/>
          <w:noProof/>
          <w:sz w:val="22"/>
          <w:szCs w:val="22"/>
        </w:rPr>
        <w:t>Impact of trade liberalisation on dairy market price co-movements between the EU, Oceania, and the United States</w:t>
      </w:r>
      <w:r w:rsidR="004D03B4">
        <w:rPr>
          <w:rFonts w:ascii="Calibri" w:hAnsi="Calibri" w:cs="Calibri"/>
          <w:noProof/>
          <w:sz w:val="22"/>
          <w:szCs w:val="22"/>
        </w:rPr>
        <w:t>’</w:t>
      </w:r>
      <w:r w:rsidRPr="009F1618">
        <w:rPr>
          <w:rFonts w:ascii="Calibri" w:hAnsi="Calibri" w:cs="Calibri"/>
          <w:noProof/>
          <w:sz w:val="22"/>
          <w:szCs w:val="22"/>
        </w:rPr>
        <w:t xml:space="preserve">. </w:t>
      </w:r>
      <w:r w:rsidRPr="004D03B4">
        <w:rPr>
          <w:rFonts w:ascii="Calibri" w:hAnsi="Calibri" w:cs="Calibri"/>
          <w:i/>
          <w:iCs/>
          <w:noProof/>
          <w:sz w:val="22"/>
          <w:szCs w:val="22"/>
        </w:rPr>
        <w:t>Australian Journal of Agricultural and Resource Economics</w:t>
      </w:r>
      <w:r w:rsidRPr="009F1618">
        <w:rPr>
          <w:rFonts w:ascii="Calibri" w:hAnsi="Calibri" w:cs="Calibri"/>
          <w:noProof/>
          <w:sz w:val="22"/>
          <w:szCs w:val="22"/>
        </w:rPr>
        <w:t>, 63, 472–498.</w:t>
      </w:r>
    </w:p>
    <w:p w14:paraId="3C00DE51" w14:textId="77777777" w:rsidR="00BE4B59" w:rsidRDefault="00BE4B59" w:rsidP="00BE4B59">
      <w:pPr>
        <w:widowControl w:val="0"/>
        <w:autoSpaceDE w:val="0"/>
        <w:autoSpaceDN w:val="0"/>
        <w:adjustRightInd w:val="0"/>
        <w:spacing w:after="0" w:line="240" w:lineRule="auto"/>
        <w:jc w:val="both"/>
        <w:rPr>
          <w:rFonts w:ascii="Calibri" w:hAnsi="Calibri" w:cs="Calibri"/>
          <w:sz w:val="20"/>
          <w:szCs w:val="20"/>
        </w:rPr>
      </w:pPr>
    </w:p>
    <w:p w14:paraId="6D0A92F9" w14:textId="600FFD4A" w:rsidR="00BE4B59" w:rsidRDefault="00715F25" w:rsidP="00BE4B59">
      <w:pPr>
        <w:widowControl w:val="0"/>
        <w:autoSpaceDE w:val="0"/>
        <w:autoSpaceDN w:val="0"/>
        <w:adjustRightInd w:val="0"/>
        <w:spacing w:after="0" w:line="240" w:lineRule="auto"/>
        <w:jc w:val="both"/>
        <w:rPr>
          <w:rFonts w:ascii="Calibri" w:hAnsi="Calibri" w:cs="Calibri"/>
          <w:kern w:val="0"/>
          <w:sz w:val="22"/>
          <w:szCs w:val="22"/>
        </w:rPr>
      </w:pPr>
      <w:r>
        <w:rPr>
          <w:rFonts w:ascii="Calibri" w:hAnsi="Calibri" w:cs="Calibri"/>
          <w:sz w:val="22"/>
          <w:szCs w:val="22"/>
        </w:rPr>
        <w:t>Selvan</w:t>
      </w:r>
      <w:r w:rsidR="00BE4B59" w:rsidRPr="00BE4B59">
        <w:rPr>
          <w:rFonts w:ascii="Calibri" w:hAnsi="Calibri" w:cs="Calibri"/>
          <w:sz w:val="22"/>
          <w:szCs w:val="22"/>
        </w:rPr>
        <w:t xml:space="preserve">, </w:t>
      </w:r>
      <w:r w:rsidR="003D7ED3">
        <w:rPr>
          <w:rFonts w:ascii="Calibri" w:hAnsi="Calibri" w:cs="Calibri"/>
          <w:sz w:val="22"/>
          <w:szCs w:val="22"/>
        </w:rPr>
        <w:t>Matt</w:t>
      </w:r>
      <w:r w:rsidR="00DD36C4">
        <w:rPr>
          <w:rFonts w:ascii="Calibri" w:hAnsi="Calibri" w:cs="Calibri"/>
          <w:sz w:val="22"/>
          <w:szCs w:val="22"/>
        </w:rPr>
        <w:t>,</w:t>
      </w:r>
      <w:r w:rsidR="00BE4B59" w:rsidRPr="00BE4B59">
        <w:rPr>
          <w:rFonts w:ascii="Calibri" w:hAnsi="Calibri" w:cs="Calibri"/>
          <w:sz w:val="22"/>
          <w:szCs w:val="22"/>
        </w:rPr>
        <w:t xml:space="preserve"> Deane, </w:t>
      </w:r>
      <w:r w:rsidR="003D7ED3">
        <w:rPr>
          <w:rFonts w:ascii="Calibri" w:hAnsi="Calibri" w:cs="Calibri"/>
          <w:sz w:val="22"/>
          <w:szCs w:val="22"/>
        </w:rPr>
        <w:t>Paul</w:t>
      </w:r>
      <w:r w:rsidR="00DD36C4">
        <w:rPr>
          <w:rFonts w:ascii="Calibri" w:hAnsi="Calibri" w:cs="Calibri"/>
          <w:sz w:val="22"/>
          <w:szCs w:val="22"/>
        </w:rPr>
        <w:t>,</w:t>
      </w:r>
      <w:r w:rsidR="00BE4B59" w:rsidRPr="00BE4B59">
        <w:rPr>
          <w:rFonts w:ascii="Calibri" w:hAnsi="Calibri" w:cs="Calibri"/>
          <w:sz w:val="22"/>
          <w:szCs w:val="22"/>
        </w:rPr>
        <w:t xml:space="preserve"> Jenkins, </w:t>
      </w:r>
      <w:r w:rsidR="003D7ED3">
        <w:rPr>
          <w:rFonts w:ascii="Calibri" w:hAnsi="Calibri" w:cs="Calibri"/>
          <w:sz w:val="22"/>
          <w:szCs w:val="22"/>
        </w:rPr>
        <w:t>Murray</w:t>
      </w:r>
      <w:r w:rsidR="00DD36C4">
        <w:rPr>
          <w:rFonts w:ascii="Calibri" w:hAnsi="Calibri" w:cs="Calibri"/>
          <w:sz w:val="22"/>
          <w:szCs w:val="22"/>
        </w:rPr>
        <w:t>,</w:t>
      </w:r>
      <w:r w:rsidR="00BE4B59" w:rsidRPr="00BE4B59">
        <w:rPr>
          <w:rFonts w:ascii="Calibri" w:hAnsi="Calibri" w:cs="Calibri"/>
          <w:sz w:val="22"/>
          <w:szCs w:val="22"/>
        </w:rPr>
        <w:t xml:space="preserve"> Sinnett, </w:t>
      </w:r>
      <w:r>
        <w:rPr>
          <w:rFonts w:ascii="Calibri" w:hAnsi="Calibri" w:cs="Calibri"/>
          <w:sz w:val="22"/>
          <w:szCs w:val="22"/>
        </w:rPr>
        <w:t>Alex</w:t>
      </w:r>
      <w:r w:rsidR="00DD36C4">
        <w:rPr>
          <w:rFonts w:ascii="Calibri" w:hAnsi="Calibri" w:cs="Calibri"/>
          <w:sz w:val="22"/>
          <w:szCs w:val="22"/>
        </w:rPr>
        <w:t>,</w:t>
      </w:r>
      <w:r w:rsidR="00BE4B59" w:rsidRPr="00BE4B59">
        <w:rPr>
          <w:rFonts w:ascii="Calibri" w:hAnsi="Calibri" w:cs="Calibri"/>
          <w:sz w:val="22"/>
          <w:szCs w:val="22"/>
        </w:rPr>
        <w:t xml:space="preserve"> Malcolm</w:t>
      </w:r>
      <w:r w:rsidR="00DD36C4">
        <w:rPr>
          <w:rFonts w:ascii="Calibri" w:hAnsi="Calibri" w:cs="Calibri"/>
          <w:sz w:val="22"/>
          <w:szCs w:val="22"/>
        </w:rPr>
        <w:t>,</w:t>
      </w:r>
      <w:r w:rsidR="00BE4B59" w:rsidRPr="00BE4B59">
        <w:rPr>
          <w:rFonts w:ascii="Calibri" w:hAnsi="Calibri" w:cs="Calibri"/>
          <w:sz w:val="22"/>
          <w:szCs w:val="22"/>
        </w:rPr>
        <w:t xml:space="preserve"> </w:t>
      </w:r>
      <w:r>
        <w:rPr>
          <w:rFonts w:ascii="Calibri" w:hAnsi="Calibri" w:cs="Calibri"/>
          <w:sz w:val="22"/>
          <w:szCs w:val="22"/>
        </w:rPr>
        <w:t xml:space="preserve">Bill </w:t>
      </w:r>
      <w:r w:rsidR="00BE4B59" w:rsidRPr="00BE4B59">
        <w:rPr>
          <w:rFonts w:ascii="Calibri" w:hAnsi="Calibri" w:cs="Calibri"/>
          <w:sz w:val="22"/>
          <w:szCs w:val="22"/>
        </w:rPr>
        <w:t>and Griffith</w:t>
      </w:r>
      <w:r w:rsidR="00DD36C4">
        <w:rPr>
          <w:rFonts w:ascii="Calibri" w:hAnsi="Calibri" w:cs="Calibri"/>
          <w:sz w:val="22"/>
          <w:szCs w:val="22"/>
        </w:rPr>
        <w:t>,</w:t>
      </w:r>
      <w:r w:rsidR="00BE4B59" w:rsidRPr="00BE4B59">
        <w:rPr>
          <w:rFonts w:ascii="Calibri" w:hAnsi="Calibri" w:cs="Calibri"/>
          <w:sz w:val="22"/>
          <w:szCs w:val="22"/>
          <w:vertAlign w:val="superscript"/>
        </w:rPr>
        <w:t xml:space="preserve"> </w:t>
      </w:r>
      <w:r w:rsidRPr="00DD36C4">
        <w:rPr>
          <w:rFonts w:ascii="Calibri" w:hAnsi="Calibri" w:cs="Calibri"/>
          <w:sz w:val="22"/>
          <w:szCs w:val="22"/>
        </w:rPr>
        <w:t>Garry</w:t>
      </w:r>
      <w:r>
        <w:rPr>
          <w:rFonts w:ascii="Calibri" w:hAnsi="Calibri" w:cs="Calibri"/>
          <w:sz w:val="22"/>
          <w:szCs w:val="22"/>
          <w:vertAlign w:val="superscript"/>
        </w:rPr>
        <w:t xml:space="preserve"> </w:t>
      </w:r>
      <w:r w:rsidR="00BE4B59" w:rsidRPr="00BE4B59">
        <w:rPr>
          <w:rFonts w:ascii="Calibri" w:hAnsi="Calibri" w:cs="Calibri"/>
          <w:sz w:val="22"/>
          <w:szCs w:val="22"/>
        </w:rPr>
        <w:t>(2026)</w:t>
      </w:r>
      <w:r w:rsidR="003D7ED3">
        <w:rPr>
          <w:rFonts w:ascii="Calibri" w:hAnsi="Calibri" w:cs="Calibri"/>
          <w:sz w:val="22"/>
          <w:szCs w:val="22"/>
        </w:rPr>
        <w:t>.</w:t>
      </w:r>
      <w:r w:rsidR="00BE4B59" w:rsidRPr="00BE4B59">
        <w:rPr>
          <w:rFonts w:ascii="Calibri" w:hAnsi="Calibri" w:cs="Calibri"/>
          <w:sz w:val="22"/>
          <w:szCs w:val="22"/>
        </w:rPr>
        <w:t xml:space="preserve"> ‘</w:t>
      </w:r>
      <w:r w:rsidR="004E691E" w:rsidRPr="004E691E">
        <w:rPr>
          <w:rFonts w:ascii="Calibri" w:hAnsi="Calibri" w:cs="Calibri"/>
          <w:sz w:val="22"/>
          <w:szCs w:val="22"/>
        </w:rPr>
        <w:t>Market and Policy Changes in World Dairy Product Markets</w:t>
      </w:r>
      <w:r w:rsidR="004E691E">
        <w:rPr>
          <w:rFonts w:ascii="Calibri" w:hAnsi="Calibri" w:cs="Calibri"/>
          <w:sz w:val="22"/>
          <w:szCs w:val="22"/>
        </w:rPr>
        <w:t>’</w:t>
      </w:r>
      <w:r w:rsidR="00BE4B59" w:rsidRPr="00BE4B59">
        <w:rPr>
          <w:rFonts w:ascii="Calibri" w:hAnsi="Calibri" w:cs="Calibri"/>
          <w:sz w:val="22"/>
          <w:szCs w:val="22"/>
        </w:rPr>
        <w:t xml:space="preserve">, </w:t>
      </w:r>
      <w:r w:rsidR="00BE4B59" w:rsidRPr="00BE4B59">
        <w:rPr>
          <w:rFonts w:ascii="Calibri" w:hAnsi="Calibri" w:cs="Calibri"/>
          <w:i/>
          <w:iCs/>
          <w:sz w:val="22"/>
          <w:szCs w:val="22"/>
        </w:rPr>
        <w:t>Agricultural and Resource Economics and Agribusiness (AREA) Working Papers</w:t>
      </w:r>
      <w:r w:rsidR="00BE4B59" w:rsidRPr="00BE4B59">
        <w:rPr>
          <w:rFonts w:ascii="Calibri" w:hAnsi="Calibri" w:cs="Calibri"/>
          <w:sz w:val="22"/>
          <w:szCs w:val="22"/>
        </w:rPr>
        <w:t xml:space="preserve"> 2026, Paper 20</w:t>
      </w:r>
      <w:r w:rsidR="00BE4B59" w:rsidRPr="00BE4B59">
        <w:rPr>
          <w:rFonts w:ascii="Calibri" w:hAnsi="Calibri" w:cs="Calibri"/>
          <w:kern w:val="0"/>
          <w:sz w:val="22"/>
          <w:szCs w:val="22"/>
        </w:rPr>
        <w:t>.</w:t>
      </w:r>
    </w:p>
    <w:p w14:paraId="62CA7659" w14:textId="77777777" w:rsidR="00D44EED" w:rsidRDefault="00D44EED" w:rsidP="00D44EED">
      <w:pPr>
        <w:widowControl w:val="0"/>
        <w:autoSpaceDE w:val="0"/>
        <w:autoSpaceDN w:val="0"/>
        <w:adjustRightInd w:val="0"/>
        <w:spacing w:after="0" w:line="240" w:lineRule="auto"/>
        <w:jc w:val="both"/>
        <w:rPr>
          <w:rFonts w:ascii="Calibri" w:hAnsi="Calibri" w:cs="Calibri"/>
          <w:kern w:val="0"/>
          <w:sz w:val="22"/>
          <w:szCs w:val="22"/>
        </w:rPr>
      </w:pPr>
    </w:p>
    <w:p w14:paraId="34422369" w14:textId="60CF93D8" w:rsidR="00D44EED" w:rsidRPr="00D44EED" w:rsidRDefault="00D44EED" w:rsidP="00D44EED">
      <w:pPr>
        <w:widowControl w:val="0"/>
        <w:autoSpaceDE w:val="0"/>
        <w:autoSpaceDN w:val="0"/>
        <w:adjustRightInd w:val="0"/>
        <w:spacing w:after="0" w:line="240" w:lineRule="auto"/>
        <w:jc w:val="both"/>
        <w:rPr>
          <w:rFonts w:ascii="Calibri" w:hAnsi="Calibri" w:cs="Calibri"/>
          <w:kern w:val="0"/>
          <w:sz w:val="22"/>
          <w:szCs w:val="22"/>
        </w:rPr>
      </w:pPr>
      <w:r w:rsidRPr="00D44EED">
        <w:rPr>
          <w:rFonts w:ascii="Calibri" w:hAnsi="Calibri" w:cs="Calibri"/>
          <w:kern w:val="0"/>
          <w:sz w:val="22"/>
          <w:szCs w:val="22"/>
        </w:rPr>
        <w:t>Selvan, Matt, Deane, Paul, Jenkins, Murray, Sinnett, Alex, Malcolm, Bill and Griffith,</w:t>
      </w:r>
      <w:r w:rsidRPr="00D44EED">
        <w:rPr>
          <w:rFonts w:ascii="Calibri" w:hAnsi="Calibri" w:cs="Calibri"/>
          <w:kern w:val="0"/>
          <w:sz w:val="22"/>
          <w:szCs w:val="22"/>
          <w:vertAlign w:val="superscript"/>
        </w:rPr>
        <w:t xml:space="preserve"> </w:t>
      </w:r>
      <w:r w:rsidRPr="00D44EED">
        <w:rPr>
          <w:rFonts w:ascii="Calibri" w:hAnsi="Calibri" w:cs="Calibri"/>
          <w:kern w:val="0"/>
          <w:sz w:val="22"/>
          <w:szCs w:val="22"/>
        </w:rPr>
        <w:t>Garry</w:t>
      </w:r>
      <w:r w:rsidRPr="00D44EED">
        <w:rPr>
          <w:rFonts w:ascii="Calibri" w:hAnsi="Calibri" w:cs="Calibri"/>
          <w:kern w:val="0"/>
          <w:sz w:val="22"/>
          <w:szCs w:val="22"/>
          <w:vertAlign w:val="superscript"/>
        </w:rPr>
        <w:t xml:space="preserve"> </w:t>
      </w:r>
      <w:r w:rsidRPr="00D44EED">
        <w:rPr>
          <w:rFonts w:ascii="Calibri" w:hAnsi="Calibri" w:cs="Calibri"/>
          <w:kern w:val="0"/>
          <w:sz w:val="22"/>
          <w:szCs w:val="22"/>
        </w:rPr>
        <w:t>(2026). ‘</w:t>
      </w:r>
      <w:r w:rsidR="005C4F50" w:rsidRPr="005C4F50">
        <w:rPr>
          <w:rFonts w:ascii="Calibri" w:hAnsi="Calibri" w:cs="Calibri"/>
          <w:kern w:val="0"/>
          <w:sz w:val="22"/>
          <w:szCs w:val="22"/>
        </w:rPr>
        <w:t>Trends, Patterns and Relationships in World Dairy Product Prices</w:t>
      </w:r>
      <w:r w:rsidRPr="00D44EED">
        <w:rPr>
          <w:rFonts w:ascii="Calibri" w:hAnsi="Calibri" w:cs="Calibri"/>
          <w:kern w:val="0"/>
          <w:sz w:val="22"/>
          <w:szCs w:val="22"/>
        </w:rPr>
        <w:t xml:space="preserve">’, </w:t>
      </w:r>
      <w:r w:rsidRPr="00D44EED">
        <w:rPr>
          <w:rFonts w:ascii="Calibri" w:hAnsi="Calibri" w:cs="Calibri"/>
          <w:i/>
          <w:iCs/>
          <w:kern w:val="0"/>
          <w:sz w:val="22"/>
          <w:szCs w:val="22"/>
        </w:rPr>
        <w:t>Agricultural and Resource Economics and Agribusiness (AREA) Working Papers</w:t>
      </w:r>
      <w:r w:rsidRPr="00D44EED">
        <w:rPr>
          <w:rFonts w:ascii="Calibri" w:hAnsi="Calibri" w:cs="Calibri"/>
          <w:kern w:val="0"/>
          <w:sz w:val="22"/>
          <w:szCs w:val="22"/>
        </w:rPr>
        <w:t xml:space="preserve"> 2026, Paper 2</w:t>
      </w:r>
      <w:r>
        <w:rPr>
          <w:rFonts w:ascii="Calibri" w:hAnsi="Calibri" w:cs="Calibri"/>
          <w:kern w:val="0"/>
          <w:sz w:val="22"/>
          <w:szCs w:val="22"/>
        </w:rPr>
        <w:t>1</w:t>
      </w:r>
      <w:r w:rsidRPr="00D44EED">
        <w:rPr>
          <w:rFonts w:ascii="Calibri" w:hAnsi="Calibri" w:cs="Calibri"/>
          <w:kern w:val="0"/>
          <w:sz w:val="22"/>
          <w:szCs w:val="22"/>
        </w:rPr>
        <w:t>.</w:t>
      </w:r>
    </w:p>
    <w:p w14:paraId="436A703D"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60B00BBF" w14:textId="06BAB2CF" w:rsidR="00F05799" w:rsidRPr="009F1618" w:rsidRDefault="00F05799"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Senate Economics References Committee (2011). </w:t>
      </w:r>
      <w:r w:rsidRPr="004D03B4">
        <w:rPr>
          <w:rFonts w:ascii="Calibri" w:hAnsi="Calibri" w:cs="Calibri"/>
          <w:i/>
          <w:iCs/>
          <w:noProof/>
          <w:sz w:val="22"/>
          <w:szCs w:val="22"/>
        </w:rPr>
        <w:t>The impacts of supermarket price decisions on the dairy industry: final report</w:t>
      </w:r>
      <w:r w:rsidRPr="009F1618">
        <w:rPr>
          <w:rFonts w:ascii="Calibri" w:hAnsi="Calibri" w:cs="Calibri"/>
          <w:i/>
          <w:iCs/>
          <w:noProof/>
          <w:sz w:val="22"/>
          <w:szCs w:val="22"/>
        </w:rPr>
        <w:t>.</w:t>
      </w:r>
      <w:r w:rsidRPr="009F1618">
        <w:rPr>
          <w:rFonts w:ascii="Calibri" w:hAnsi="Calibri" w:cs="Calibri"/>
          <w:noProof/>
          <w:sz w:val="22"/>
          <w:szCs w:val="22"/>
        </w:rPr>
        <w:t xml:space="preserve"> Commonwealth of Australia, Canberra.</w:t>
      </w:r>
    </w:p>
    <w:p w14:paraId="53C02DCC" w14:textId="77777777" w:rsidR="00621168" w:rsidRDefault="00621168" w:rsidP="009F1618">
      <w:pPr>
        <w:tabs>
          <w:tab w:val="left" w:pos="5775"/>
        </w:tabs>
        <w:spacing w:after="0" w:line="240" w:lineRule="auto"/>
        <w:contextualSpacing/>
        <w:jc w:val="both"/>
        <w:rPr>
          <w:rFonts w:ascii="Calibri" w:hAnsi="Calibri" w:cs="Calibri"/>
          <w:noProof/>
          <w:sz w:val="22"/>
          <w:szCs w:val="22"/>
        </w:rPr>
      </w:pPr>
    </w:p>
    <w:p w14:paraId="2A5A70AF" w14:textId="72201485" w:rsidR="005E24F9" w:rsidRPr="009F1618" w:rsidRDefault="005E24F9"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Swift, R. (2004). </w:t>
      </w:r>
      <w:r w:rsidR="004D03B4">
        <w:rPr>
          <w:rFonts w:ascii="Calibri" w:hAnsi="Calibri" w:cs="Calibri"/>
          <w:noProof/>
          <w:sz w:val="22"/>
          <w:szCs w:val="22"/>
        </w:rPr>
        <w:t>‘</w:t>
      </w:r>
      <w:r w:rsidRPr="009F1618">
        <w:rPr>
          <w:rFonts w:ascii="Calibri" w:hAnsi="Calibri" w:cs="Calibri"/>
          <w:noProof/>
          <w:sz w:val="22"/>
          <w:szCs w:val="22"/>
        </w:rPr>
        <w:t>The pass-through of exchange rate changes to the prices of Australian exports of dairy and livestock products</w:t>
      </w:r>
      <w:r w:rsidR="004D03B4">
        <w:rPr>
          <w:rFonts w:ascii="Calibri" w:hAnsi="Calibri" w:cs="Calibri"/>
          <w:noProof/>
          <w:sz w:val="22"/>
          <w:szCs w:val="22"/>
        </w:rPr>
        <w:t>’</w:t>
      </w:r>
      <w:r w:rsidRPr="009F1618">
        <w:rPr>
          <w:rFonts w:ascii="Calibri" w:hAnsi="Calibri" w:cs="Calibri"/>
          <w:noProof/>
          <w:sz w:val="22"/>
          <w:szCs w:val="22"/>
        </w:rPr>
        <w:t xml:space="preserve">. </w:t>
      </w:r>
      <w:r w:rsidRPr="004D03B4">
        <w:rPr>
          <w:rFonts w:ascii="Calibri" w:hAnsi="Calibri" w:cs="Calibri"/>
          <w:i/>
          <w:iCs/>
          <w:noProof/>
          <w:sz w:val="22"/>
          <w:szCs w:val="22"/>
        </w:rPr>
        <w:t>Australian Journal of Agricultural and Resource Economics</w:t>
      </w:r>
      <w:r w:rsidRPr="009F1618">
        <w:rPr>
          <w:rFonts w:ascii="Calibri" w:hAnsi="Calibri" w:cs="Calibri"/>
          <w:noProof/>
          <w:sz w:val="22"/>
          <w:szCs w:val="22"/>
        </w:rPr>
        <w:t>, 48 (1), 159–185.</w:t>
      </w:r>
    </w:p>
    <w:p w14:paraId="47119DEA"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22CC6972" w14:textId="4F041260" w:rsidR="00C542E3" w:rsidRPr="009F1618" w:rsidRDefault="00C542E3"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Vitaliano, P. (2016). </w:t>
      </w:r>
      <w:r w:rsidR="004D03B4">
        <w:rPr>
          <w:rFonts w:ascii="Calibri" w:hAnsi="Calibri" w:cs="Calibri"/>
          <w:noProof/>
          <w:sz w:val="22"/>
          <w:szCs w:val="22"/>
        </w:rPr>
        <w:t>‘</w:t>
      </w:r>
      <w:r w:rsidRPr="009F1618">
        <w:rPr>
          <w:rFonts w:ascii="Calibri" w:hAnsi="Calibri" w:cs="Calibri"/>
          <w:noProof/>
          <w:sz w:val="22"/>
          <w:szCs w:val="22"/>
        </w:rPr>
        <w:t>Global dairy trade: where are we, how did we get here and where are we going?</w:t>
      </w:r>
      <w:r w:rsidR="004D03B4">
        <w:rPr>
          <w:rFonts w:ascii="Calibri" w:hAnsi="Calibri" w:cs="Calibri"/>
          <w:noProof/>
          <w:sz w:val="22"/>
          <w:szCs w:val="22"/>
        </w:rPr>
        <w:t>’</w:t>
      </w:r>
      <w:r w:rsidRPr="009F1618">
        <w:rPr>
          <w:rFonts w:ascii="Calibri" w:hAnsi="Calibri" w:cs="Calibri"/>
          <w:noProof/>
          <w:sz w:val="22"/>
          <w:szCs w:val="22"/>
        </w:rPr>
        <w:t xml:space="preserve"> </w:t>
      </w:r>
      <w:r w:rsidRPr="004D03B4">
        <w:rPr>
          <w:rFonts w:ascii="Calibri" w:hAnsi="Calibri" w:cs="Calibri"/>
          <w:i/>
          <w:iCs/>
          <w:noProof/>
          <w:sz w:val="22"/>
          <w:szCs w:val="22"/>
        </w:rPr>
        <w:t>International Food and Agribusiness Management Review</w:t>
      </w:r>
      <w:r w:rsidRPr="009F1618">
        <w:rPr>
          <w:rFonts w:ascii="Calibri" w:hAnsi="Calibri" w:cs="Calibri"/>
          <w:noProof/>
          <w:sz w:val="22"/>
          <w:szCs w:val="22"/>
        </w:rPr>
        <w:t>, 19 (B), 27–36.</w:t>
      </w:r>
    </w:p>
    <w:p w14:paraId="0BBABEBA" w14:textId="77777777" w:rsidR="007951AB" w:rsidRDefault="007951AB" w:rsidP="009F1618">
      <w:pPr>
        <w:tabs>
          <w:tab w:val="left" w:pos="5775"/>
        </w:tabs>
        <w:spacing w:after="0" w:line="240" w:lineRule="auto"/>
        <w:contextualSpacing/>
        <w:jc w:val="both"/>
        <w:rPr>
          <w:rFonts w:ascii="Calibri" w:hAnsi="Calibri" w:cs="Calibri"/>
          <w:noProof/>
          <w:sz w:val="22"/>
          <w:szCs w:val="22"/>
        </w:rPr>
      </w:pPr>
    </w:p>
    <w:p w14:paraId="049668A6" w14:textId="2F9359D5" w:rsidR="00EC41AF" w:rsidRPr="009F1618" w:rsidRDefault="00EC41AF" w:rsidP="009F1618">
      <w:pPr>
        <w:tabs>
          <w:tab w:val="left" w:pos="5775"/>
        </w:tabs>
        <w:spacing w:after="0" w:line="240" w:lineRule="auto"/>
        <w:contextualSpacing/>
        <w:jc w:val="both"/>
        <w:rPr>
          <w:rFonts w:ascii="Calibri" w:hAnsi="Calibri" w:cs="Calibri"/>
          <w:noProof/>
          <w:sz w:val="22"/>
          <w:szCs w:val="22"/>
        </w:rPr>
      </w:pPr>
      <w:r w:rsidRPr="009F1618">
        <w:rPr>
          <w:rFonts w:ascii="Calibri" w:hAnsi="Calibri" w:cs="Calibri"/>
          <w:noProof/>
          <w:sz w:val="22"/>
          <w:szCs w:val="22"/>
        </w:rPr>
        <w:t xml:space="preserve">Williams, C.H. and Bewley, R.A. (1993). </w:t>
      </w:r>
      <w:r w:rsidR="004D03B4">
        <w:rPr>
          <w:rFonts w:ascii="Calibri" w:hAnsi="Calibri" w:cs="Calibri"/>
          <w:noProof/>
          <w:sz w:val="22"/>
          <w:szCs w:val="22"/>
        </w:rPr>
        <w:t>‘</w:t>
      </w:r>
      <w:r w:rsidRPr="009F1618">
        <w:rPr>
          <w:rFonts w:ascii="Calibri" w:hAnsi="Calibri" w:cs="Calibri"/>
          <w:noProof/>
          <w:sz w:val="22"/>
          <w:szCs w:val="22"/>
        </w:rPr>
        <w:t>Price arbitrage between Queensland cattle auctions</w:t>
      </w:r>
      <w:r w:rsidR="004D03B4">
        <w:rPr>
          <w:rFonts w:ascii="Calibri" w:hAnsi="Calibri" w:cs="Calibri"/>
          <w:noProof/>
          <w:sz w:val="22"/>
          <w:szCs w:val="22"/>
        </w:rPr>
        <w:t>’</w:t>
      </w:r>
      <w:r w:rsidRPr="009F1618">
        <w:rPr>
          <w:rFonts w:ascii="Calibri" w:hAnsi="Calibri" w:cs="Calibri"/>
          <w:noProof/>
          <w:sz w:val="22"/>
          <w:szCs w:val="22"/>
        </w:rPr>
        <w:t xml:space="preserve">. </w:t>
      </w:r>
      <w:r w:rsidRPr="004D03B4">
        <w:rPr>
          <w:rFonts w:ascii="Calibri" w:hAnsi="Calibri" w:cs="Calibri"/>
          <w:i/>
          <w:iCs/>
          <w:noProof/>
          <w:sz w:val="22"/>
          <w:szCs w:val="22"/>
        </w:rPr>
        <w:t>Australian Journal of Agricultural Economics</w:t>
      </w:r>
      <w:r w:rsidRPr="009F1618">
        <w:rPr>
          <w:rFonts w:ascii="Calibri" w:hAnsi="Calibri" w:cs="Calibri"/>
          <w:noProof/>
          <w:sz w:val="22"/>
          <w:szCs w:val="22"/>
        </w:rPr>
        <w:t>, 37 (1), 33–55.</w:t>
      </w:r>
    </w:p>
    <w:p w14:paraId="64A1AD20" w14:textId="77777777" w:rsidR="00094985" w:rsidRPr="009F1618" w:rsidRDefault="00094985" w:rsidP="009F1618">
      <w:pPr>
        <w:tabs>
          <w:tab w:val="left" w:pos="5775"/>
        </w:tabs>
        <w:spacing w:after="0" w:line="240" w:lineRule="auto"/>
        <w:jc w:val="both"/>
        <w:rPr>
          <w:rFonts w:ascii="Calibri" w:hAnsi="Calibri" w:cs="Calibri"/>
          <w:noProof/>
          <w:sz w:val="22"/>
          <w:szCs w:val="22"/>
        </w:rPr>
      </w:pPr>
    </w:p>
    <w:sectPr w:rsidR="00094985" w:rsidRPr="009F1618">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A8842" w14:textId="77777777" w:rsidR="00E1356D" w:rsidRDefault="00E1356D" w:rsidP="00BD1C70">
      <w:pPr>
        <w:spacing w:after="0" w:line="240" w:lineRule="auto"/>
      </w:pPr>
      <w:r>
        <w:separator/>
      </w:r>
    </w:p>
  </w:endnote>
  <w:endnote w:type="continuationSeparator" w:id="0">
    <w:p w14:paraId="70D9D4E9" w14:textId="77777777" w:rsidR="00E1356D" w:rsidRDefault="00E1356D" w:rsidP="00BD1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Aptos" w:hAnsi="Calibri" w:cs="Calibri"/>
        <w:i/>
        <w:sz w:val="22"/>
        <w:szCs w:val="22"/>
      </w:rPr>
      <w:id w:val="2132128863"/>
      <w:docPartObj>
        <w:docPartGallery w:val="Page Numbers (Bottom of Page)"/>
        <w:docPartUnique/>
      </w:docPartObj>
    </w:sdtPr>
    <w:sdtEndPr>
      <w:rPr>
        <w:noProof/>
      </w:rPr>
    </w:sdtEndPr>
    <w:sdtContent>
      <w:p w14:paraId="65DE250B" w14:textId="3D7101BD" w:rsidR="00944AF6" w:rsidRPr="009F1618" w:rsidRDefault="00944AF6" w:rsidP="00944AF6">
        <w:pPr>
          <w:pBdr>
            <w:top w:val="thinThickSmallGap" w:sz="24" w:space="6" w:color="7F340D"/>
          </w:pBdr>
          <w:tabs>
            <w:tab w:val="center" w:pos="4513"/>
            <w:tab w:val="right" w:pos="9026"/>
          </w:tabs>
          <w:spacing w:after="0" w:line="240" w:lineRule="auto"/>
          <w:rPr>
            <w:rFonts w:ascii="Calibri" w:eastAsia="Aptos" w:hAnsi="Calibri" w:cs="Calibri"/>
            <w:i/>
            <w:sz w:val="20"/>
            <w:szCs w:val="20"/>
          </w:rPr>
        </w:pPr>
        <w:r w:rsidRPr="009F1618">
          <w:rPr>
            <w:rFonts w:ascii="Calibri" w:eastAsia="Aptos" w:hAnsi="Calibri" w:cs="Calibri"/>
            <w:i/>
            <w:sz w:val="20"/>
            <w:szCs w:val="20"/>
          </w:rPr>
          <w:t>AREA Working Paper Series, 2026</w:t>
        </w:r>
        <w:r w:rsidRPr="00C80948">
          <w:rPr>
            <w:rFonts w:ascii="Calibri" w:eastAsia="Aptos" w:hAnsi="Calibri" w:cs="Calibri"/>
            <w:i/>
            <w:sz w:val="20"/>
            <w:szCs w:val="20"/>
          </w:rPr>
          <w:t>, Paper 2</w:t>
        </w:r>
        <w:r w:rsidR="00FE60AB">
          <w:rPr>
            <w:rFonts w:ascii="Calibri" w:eastAsia="Aptos" w:hAnsi="Calibri" w:cs="Calibri"/>
            <w:i/>
            <w:sz w:val="20"/>
            <w:szCs w:val="20"/>
          </w:rPr>
          <w:t>3</w:t>
        </w:r>
        <w:r w:rsidRPr="00C80948">
          <w:rPr>
            <w:rFonts w:ascii="Calibri" w:eastAsia="Times New Roman" w:hAnsi="Calibri" w:cs="Calibri"/>
            <w:i/>
            <w:sz w:val="20"/>
            <w:szCs w:val="20"/>
          </w:rPr>
          <w:ptab w:relativeTo="margin" w:alignment="right" w:leader="none"/>
        </w:r>
        <w:r w:rsidRPr="00C80948">
          <w:rPr>
            <w:rFonts w:ascii="Calibri" w:eastAsia="Times New Roman" w:hAnsi="Calibri" w:cs="Calibri"/>
            <w:i/>
            <w:sz w:val="20"/>
            <w:szCs w:val="20"/>
          </w:rPr>
          <w:t>Page</w:t>
        </w:r>
        <w:r w:rsidRPr="009F1618">
          <w:rPr>
            <w:rFonts w:ascii="Calibri" w:eastAsia="Times New Roman" w:hAnsi="Calibri" w:cs="Calibri"/>
            <w:i/>
            <w:sz w:val="20"/>
            <w:szCs w:val="20"/>
          </w:rPr>
          <w:t xml:space="preserve"> </w:t>
        </w:r>
        <w:r w:rsidRPr="009F1618">
          <w:rPr>
            <w:rFonts w:ascii="Calibri" w:eastAsia="Times New Roman" w:hAnsi="Calibri" w:cs="Calibri"/>
            <w:i/>
            <w:sz w:val="20"/>
            <w:szCs w:val="20"/>
          </w:rPr>
          <w:fldChar w:fldCharType="begin"/>
        </w:r>
        <w:r w:rsidRPr="009F1618">
          <w:rPr>
            <w:rFonts w:ascii="Calibri" w:eastAsia="Aptos" w:hAnsi="Calibri" w:cs="Calibri"/>
            <w:i/>
            <w:sz w:val="20"/>
            <w:szCs w:val="20"/>
          </w:rPr>
          <w:instrText xml:space="preserve"> PAGE   \* MERGEFORMAT </w:instrText>
        </w:r>
        <w:r w:rsidRPr="009F1618">
          <w:rPr>
            <w:rFonts w:ascii="Calibri" w:eastAsia="Times New Roman" w:hAnsi="Calibri" w:cs="Calibri"/>
            <w:i/>
            <w:sz w:val="20"/>
            <w:szCs w:val="20"/>
          </w:rPr>
          <w:fldChar w:fldCharType="separate"/>
        </w:r>
        <w:r w:rsidRPr="009F1618">
          <w:rPr>
            <w:rFonts w:ascii="Calibri" w:eastAsia="Times New Roman" w:hAnsi="Calibri" w:cs="Calibri"/>
            <w:i/>
            <w:sz w:val="20"/>
            <w:szCs w:val="20"/>
          </w:rPr>
          <w:t>1</w:t>
        </w:r>
        <w:r w:rsidRPr="009F1618">
          <w:rPr>
            <w:rFonts w:ascii="Calibri" w:eastAsia="Times New Roman" w:hAnsi="Calibri" w:cs="Calibri"/>
            <w:i/>
            <w:noProof/>
            <w:sz w:val="20"/>
            <w:szCs w:val="20"/>
          </w:rPr>
          <w:fldChar w:fldCharType="end"/>
        </w:r>
      </w:p>
    </w:sdtContent>
  </w:sdt>
  <w:p w14:paraId="630FF2AD" w14:textId="13F98132" w:rsidR="006A697E" w:rsidRPr="00944AF6" w:rsidRDefault="006A697E" w:rsidP="00944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E0C8F" w14:textId="77777777" w:rsidR="00E1356D" w:rsidRDefault="00E1356D" w:rsidP="00BD1C70">
      <w:pPr>
        <w:spacing w:after="0" w:line="240" w:lineRule="auto"/>
      </w:pPr>
      <w:r>
        <w:separator/>
      </w:r>
    </w:p>
  </w:footnote>
  <w:footnote w:type="continuationSeparator" w:id="0">
    <w:p w14:paraId="3AB33210" w14:textId="77777777" w:rsidR="00E1356D" w:rsidRDefault="00E1356D" w:rsidP="00BD1C70">
      <w:pPr>
        <w:spacing w:after="0" w:line="240" w:lineRule="auto"/>
      </w:pPr>
      <w:r>
        <w:continuationSeparator/>
      </w:r>
    </w:p>
  </w:footnote>
  <w:footnote w:id="1">
    <w:p w14:paraId="58BA9FB9" w14:textId="77777777" w:rsidR="00BB462F" w:rsidRPr="004114E2" w:rsidRDefault="00BB462F" w:rsidP="00BB462F">
      <w:pPr>
        <w:pStyle w:val="FootnoteText"/>
        <w:jc w:val="both"/>
        <w:rPr>
          <w:rFonts w:ascii="Calibri" w:hAnsi="Calibri" w:cs="Calibri"/>
        </w:rPr>
      </w:pPr>
      <w:r w:rsidRPr="00DE2164">
        <w:rPr>
          <w:rStyle w:val="FootnoteReference"/>
          <w:rFonts w:cs="Times New Roman"/>
        </w:rPr>
        <w:footnoteRef/>
      </w:r>
      <w:r w:rsidRPr="00DE2164">
        <w:rPr>
          <w:rFonts w:cs="Times New Roman"/>
        </w:rPr>
        <w:t xml:space="preserve"> </w:t>
      </w:r>
      <w:r w:rsidRPr="004114E2">
        <w:rPr>
          <w:rFonts w:ascii="Calibri" w:hAnsi="Calibri" w:cs="Calibri"/>
        </w:rPr>
        <w:t xml:space="preserve">The </w:t>
      </w:r>
      <w:r w:rsidRPr="004114E2">
        <w:rPr>
          <w:rFonts w:ascii="Calibri" w:hAnsi="Calibri" w:cs="Calibri"/>
          <w:i/>
          <w:iCs/>
        </w:rPr>
        <w:t>AREA Working Paper</w:t>
      </w:r>
      <w:r w:rsidRPr="004114E2">
        <w:rPr>
          <w:rFonts w:ascii="Calibri" w:hAnsi="Calibri" w:cs="Calibri"/>
        </w:rPr>
        <w:t xml:space="preserve"> series reports work in progress prior to formal external review and includes draft research articles, reports to funding agencies, literature reviews, data collections and the like. Each paper is reviewed within the AREA group. Not for quotation without the consent of the authors.</w:t>
      </w:r>
    </w:p>
  </w:footnote>
  <w:footnote w:id="2">
    <w:p w14:paraId="0A8E5B72" w14:textId="3FEE5D17" w:rsidR="00BB462F" w:rsidRPr="004114E2" w:rsidRDefault="00BB462F" w:rsidP="00BB462F">
      <w:pPr>
        <w:spacing w:after="0"/>
        <w:jc w:val="both"/>
        <w:rPr>
          <w:rFonts w:ascii="Calibri" w:hAnsi="Calibri" w:cs="Calibri"/>
          <w:sz w:val="20"/>
          <w:szCs w:val="20"/>
        </w:rPr>
      </w:pPr>
      <w:r w:rsidRPr="004114E2">
        <w:rPr>
          <w:rStyle w:val="FootnoteReference"/>
          <w:rFonts w:ascii="Calibri" w:hAnsi="Calibri" w:cs="Calibri"/>
          <w:sz w:val="20"/>
          <w:szCs w:val="20"/>
        </w:rPr>
        <w:footnoteRef/>
      </w:r>
      <w:r w:rsidRPr="004114E2">
        <w:rPr>
          <w:rFonts w:ascii="Calibri" w:hAnsi="Calibri" w:cs="Calibri"/>
          <w:sz w:val="20"/>
          <w:szCs w:val="20"/>
        </w:rPr>
        <w:t xml:space="preserve"> The authors gratefully acknowledge the assistance and support of Dairy Australia in funding this project.</w:t>
      </w:r>
    </w:p>
    <w:p w14:paraId="1256D2B9" w14:textId="77777777" w:rsidR="00BB462F" w:rsidRDefault="00BB462F" w:rsidP="00BB462F">
      <w:pPr>
        <w:pStyle w:val="FootnoteText"/>
      </w:pPr>
    </w:p>
  </w:footnote>
  <w:footnote w:id="3">
    <w:p w14:paraId="2D3819EC" w14:textId="12538985" w:rsidR="005707C4" w:rsidRPr="005707C4" w:rsidRDefault="005707C4" w:rsidP="00E346E9">
      <w:pPr>
        <w:spacing w:after="0" w:line="240" w:lineRule="auto"/>
        <w:contextualSpacing/>
        <w:jc w:val="both"/>
        <w:rPr>
          <w:rFonts w:ascii="Calibri" w:hAnsi="Calibri" w:cs="Calibri"/>
        </w:rPr>
      </w:pPr>
      <w:r>
        <w:rPr>
          <w:rStyle w:val="FootnoteReference"/>
        </w:rPr>
        <w:footnoteRef/>
      </w:r>
      <w:r>
        <w:t xml:space="preserve"> </w:t>
      </w:r>
      <w:r w:rsidRPr="005707C4">
        <w:rPr>
          <w:rFonts w:ascii="Calibri" w:hAnsi="Calibri" w:cs="Calibri"/>
          <w:sz w:val="20"/>
          <w:szCs w:val="20"/>
        </w:rPr>
        <w:t xml:space="preserve">This </w:t>
      </w:r>
      <w:r w:rsidR="00B57E44">
        <w:rPr>
          <w:rFonts w:ascii="Calibri" w:hAnsi="Calibri" w:cs="Calibri"/>
          <w:sz w:val="20"/>
          <w:szCs w:val="20"/>
        </w:rPr>
        <w:t>was the case even under regulated markets</w:t>
      </w:r>
      <w:r w:rsidRPr="005707C4">
        <w:rPr>
          <w:rFonts w:ascii="Calibri" w:hAnsi="Calibri" w:cs="Calibri"/>
          <w:sz w:val="20"/>
          <w:szCs w:val="20"/>
        </w:rPr>
        <w:t xml:space="preserve">. Lloyd (1950) makes explicit that even in the early twentieth century, producers </w:t>
      </w:r>
      <w:r w:rsidR="00DD6A09">
        <w:rPr>
          <w:rFonts w:ascii="Calibri" w:hAnsi="Calibri" w:cs="Calibri"/>
          <w:sz w:val="20"/>
          <w:szCs w:val="20"/>
        </w:rPr>
        <w:t>‘</w:t>
      </w:r>
      <w:r w:rsidRPr="005707C4">
        <w:rPr>
          <w:rFonts w:ascii="Calibri" w:hAnsi="Calibri" w:cs="Calibri"/>
          <w:sz w:val="20"/>
          <w:szCs w:val="20"/>
        </w:rPr>
        <w:t>would not be willing to sell on the local market during the export season, unless it was equally profitable.</w:t>
      </w:r>
      <w:r w:rsidR="00DD6A09">
        <w:rPr>
          <w:rFonts w:ascii="Calibri" w:hAnsi="Calibri" w:cs="Calibri"/>
          <w:sz w:val="20"/>
          <w:szCs w:val="20"/>
        </w:rPr>
        <w:t>’</w:t>
      </w:r>
      <w:r w:rsidRPr="005707C4">
        <w:rPr>
          <w:rFonts w:ascii="Calibri" w:hAnsi="Calibri" w:cs="Calibri"/>
          <w:sz w:val="22"/>
          <w:szCs w:val="22"/>
        </w:rPr>
        <w:t xml:space="preserve"> </w:t>
      </w:r>
    </w:p>
  </w:footnote>
  <w:footnote w:id="4">
    <w:p w14:paraId="464867E1" w14:textId="089A8F75" w:rsidR="00D1055C" w:rsidRPr="00D1055C" w:rsidRDefault="00D1055C" w:rsidP="00D1055C">
      <w:pPr>
        <w:pStyle w:val="FootnoteText"/>
        <w:rPr>
          <w:rFonts w:ascii="Calibri" w:hAnsi="Calibri" w:cs="Calibri"/>
        </w:rPr>
      </w:pPr>
      <w:r w:rsidRPr="0091759E">
        <w:rPr>
          <w:rStyle w:val="FootnoteReference"/>
          <w:rFonts w:cs="Times New Roman"/>
        </w:rPr>
        <w:footnoteRef/>
      </w:r>
      <w:r w:rsidRPr="0091759E">
        <w:rPr>
          <w:rFonts w:cs="Times New Roman"/>
        </w:rPr>
        <w:t xml:space="preserve"> </w:t>
      </w:r>
      <w:r w:rsidRPr="00D1055C">
        <w:rPr>
          <w:rFonts w:ascii="Calibri" w:hAnsi="Calibri" w:cs="Calibri"/>
        </w:rPr>
        <w:t xml:space="preserve">Specifically, non-quota markets </w:t>
      </w:r>
      <w:r w:rsidR="00C62CF5">
        <w:rPr>
          <w:rFonts w:ascii="Calibri" w:hAnsi="Calibri" w:cs="Calibri"/>
        </w:rPr>
        <w:t xml:space="preserve">into </w:t>
      </w:r>
      <w:r w:rsidRPr="00D1055C">
        <w:rPr>
          <w:rFonts w:ascii="Calibri" w:hAnsi="Calibri" w:cs="Calibri"/>
        </w:rPr>
        <w:t>which Australian dairy products are sold.</w:t>
      </w:r>
    </w:p>
  </w:footnote>
  <w:footnote w:id="5">
    <w:p w14:paraId="3E21A467" w14:textId="08BC957D" w:rsidR="006C6C55" w:rsidRPr="004843CA" w:rsidRDefault="006C6C55" w:rsidP="004843CA">
      <w:pPr>
        <w:pStyle w:val="FootnoteText"/>
        <w:jc w:val="both"/>
        <w:rPr>
          <w:rFonts w:ascii="Calibri" w:hAnsi="Calibri" w:cs="Calibri"/>
        </w:rPr>
      </w:pPr>
      <w:r w:rsidRPr="00CB00F7">
        <w:rPr>
          <w:rStyle w:val="FootnoteReference"/>
          <w:rFonts w:cs="Times New Roman"/>
        </w:rPr>
        <w:footnoteRef/>
      </w:r>
      <w:r w:rsidRPr="00CB00F7">
        <w:rPr>
          <w:rFonts w:cs="Times New Roman"/>
        </w:rPr>
        <w:t xml:space="preserve"> </w:t>
      </w:r>
      <w:r w:rsidR="00CB00F7" w:rsidRPr="004843CA">
        <w:rPr>
          <w:rFonts w:ascii="Calibri" w:hAnsi="Calibri" w:cs="Calibri"/>
        </w:rPr>
        <w:t xml:space="preserve">Phillips-Perron tests </w:t>
      </w:r>
      <w:r w:rsidR="00DA2BC6" w:rsidRPr="004843CA">
        <w:rPr>
          <w:rFonts w:ascii="Calibri" w:hAnsi="Calibri" w:cs="Calibri"/>
        </w:rPr>
        <w:t xml:space="preserve">are also conducted </w:t>
      </w:r>
      <w:r w:rsidR="00CB00F7" w:rsidRPr="004843CA">
        <w:rPr>
          <w:rFonts w:ascii="Calibri" w:hAnsi="Calibri" w:cs="Calibri"/>
        </w:rPr>
        <w:t xml:space="preserve">to confirm that all price series are </w:t>
      </w:r>
      <m:oMath>
        <m:r>
          <w:rPr>
            <w:rFonts w:ascii="Cambria Math" w:hAnsi="Cambria Math" w:cs="Calibri"/>
          </w:rPr>
          <m:t>I(1)</m:t>
        </m:r>
      </m:oMath>
      <w:r w:rsidR="00CB00F7" w:rsidRPr="004843CA">
        <w:rPr>
          <w:rFonts w:ascii="Calibri" w:hAnsi="Calibri" w:cs="Calibri"/>
        </w:rPr>
        <w:t>. Results are consistent with those from the Augmented Dickey-Fuller tests.</w:t>
      </w:r>
    </w:p>
  </w:footnote>
  <w:footnote w:id="6">
    <w:p w14:paraId="23918BF2" w14:textId="77777777" w:rsidR="00855D0C" w:rsidRPr="004843CA" w:rsidRDefault="00855D0C" w:rsidP="00855D0C">
      <w:pPr>
        <w:pStyle w:val="FootnoteText"/>
        <w:jc w:val="both"/>
        <w:rPr>
          <w:rFonts w:ascii="Calibri" w:hAnsi="Calibri" w:cs="Calibri"/>
        </w:rPr>
      </w:pPr>
      <w:r w:rsidRPr="004843CA">
        <w:rPr>
          <w:rStyle w:val="FootnoteReference"/>
          <w:rFonts w:ascii="Calibri" w:hAnsi="Calibri" w:cs="Calibri"/>
        </w:rPr>
        <w:footnoteRef/>
      </w:r>
      <w:r w:rsidRPr="004843CA">
        <w:rPr>
          <w:rFonts w:ascii="Calibri" w:hAnsi="Calibri" w:cs="Calibri"/>
        </w:rPr>
        <w:t xml:space="preserve"> Alternative information criteria were also considered. The SC and HQ criteria suggest one or two lags for each product group, while the FPE is consistent with the AIC, selecting three lags for all product groups</w:t>
      </w:r>
      <w:r>
        <w:rPr>
          <w:rFonts w:ascii="Calibri" w:hAnsi="Calibri" w:cs="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BCE1" w14:textId="69238D4D" w:rsidR="00F0219D" w:rsidRPr="009F1618" w:rsidRDefault="00C43EC9" w:rsidP="00F0219D">
    <w:pPr>
      <w:pBdr>
        <w:bottom w:val="thickThinSmallGap" w:sz="24" w:space="1" w:color="7F340D"/>
      </w:pBdr>
      <w:tabs>
        <w:tab w:val="center" w:pos="4513"/>
        <w:tab w:val="right" w:pos="9026"/>
      </w:tabs>
      <w:spacing w:after="0" w:line="240" w:lineRule="auto"/>
      <w:rPr>
        <w:rFonts w:ascii="Calibri" w:eastAsia="Aptos" w:hAnsi="Calibri" w:cs="Calibri"/>
        <w:sz w:val="20"/>
        <w:szCs w:val="20"/>
      </w:rPr>
    </w:pPr>
    <w:r w:rsidRPr="009F1618">
      <w:rPr>
        <w:rFonts w:ascii="Calibri" w:eastAsia="Aptos" w:hAnsi="Calibri" w:cs="Calibri"/>
        <w:i/>
        <w:sz w:val="20"/>
        <w:szCs w:val="20"/>
      </w:rPr>
      <w:t xml:space="preserve">Long-Run Relationships </w:t>
    </w:r>
    <w:r w:rsidR="00842B4C">
      <w:rPr>
        <w:rFonts w:ascii="Calibri" w:eastAsia="Aptos" w:hAnsi="Calibri" w:cs="Calibri"/>
        <w:i/>
        <w:sz w:val="20"/>
        <w:szCs w:val="20"/>
      </w:rPr>
      <w:t>B</w:t>
    </w:r>
    <w:r w:rsidRPr="009F1618">
      <w:rPr>
        <w:rFonts w:ascii="Calibri" w:eastAsia="Aptos" w:hAnsi="Calibri" w:cs="Calibri"/>
        <w:i/>
        <w:sz w:val="20"/>
        <w:szCs w:val="20"/>
      </w:rPr>
      <w:t>etween Aus</w:t>
    </w:r>
    <w:r w:rsidR="006D4F71" w:rsidRPr="009F1618">
      <w:rPr>
        <w:rFonts w:ascii="Calibri" w:eastAsia="Aptos" w:hAnsi="Calibri" w:cs="Calibri"/>
        <w:i/>
        <w:sz w:val="20"/>
        <w:szCs w:val="20"/>
      </w:rPr>
      <w:t xml:space="preserve">tralian and </w:t>
    </w:r>
    <w:r w:rsidR="00842B4C">
      <w:rPr>
        <w:rFonts w:ascii="Calibri" w:eastAsia="Aptos" w:hAnsi="Calibri" w:cs="Calibri"/>
        <w:i/>
        <w:sz w:val="20"/>
        <w:szCs w:val="20"/>
      </w:rPr>
      <w:t>World</w:t>
    </w:r>
    <w:r w:rsidR="006D4F71" w:rsidRPr="009F1618">
      <w:rPr>
        <w:rFonts w:ascii="Calibri" w:eastAsia="Aptos" w:hAnsi="Calibri" w:cs="Calibri"/>
        <w:i/>
        <w:sz w:val="20"/>
        <w:szCs w:val="20"/>
      </w:rPr>
      <w:t xml:space="preserve"> Dairy</w:t>
    </w:r>
    <w:r w:rsidR="00842B4C">
      <w:rPr>
        <w:rFonts w:ascii="Calibri" w:eastAsia="Aptos" w:hAnsi="Calibri" w:cs="Calibri"/>
        <w:i/>
        <w:sz w:val="20"/>
        <w:szCs w:val="20"/>
      </w:rPr>
      <w:t xml:space="preserve"> Product</w:t>
    </w:r>
    <w:r w:rsidR="006D4F71" w:rsidRPr="009F1618">
      <w:rPr>
        <w:rFonts w:ascii="Calibri" w:eastAsia="Aptos" w:hAnsi="Calibri" w:cs="Calibri"/>
        <w:i/>
        <w:sz w:val="20"/>
        <w:szCs w:val="20"/>
      </w:rPr>
      <w:t xml:space="preserve"> </w:t>
    </w:r>
    <w:r w:rsidR="00842B4C">
      <w:rPr>
        <w:rFonts w:ascii="Calibri" w:eastAsia="Aptos" w:hAnsi="Calibri" w:cs="Calibri"/>
        <w:i/>
        <w:sz w:val="20"/>
        <w:szCs w:val="20"/>
      </w:rPr>
      <w:t xml:space="preserve">Prices                 </w:t>
    </w:r>
    <w:r w:rsidR="00F0219D" w:rsidRPr="009F1618">
      <w:rPr>
        <w:rFonts w:ascii="Calibri" w:eastAsia="Aptos" w:hAnsi="Calibri" w:cs="Calibri"/>
        <w:i/>
        <w:sz w:val="20"/>
        <w:szCs w:val="20"/>
      </w:rPr>
      <w:t xml:space="preserve">                          Selvan et al.</w:t>
    </w:r>
  </w:p>
  <w:p w14:paraId="5ADA90FA" w14:textId="15CF26F8" w:rsidR="00692599" w:rsidRPr="00F0219D" w:rsidRDefault="00692599" w:rsidP="00F021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E6DBA"/>
    <w:multiLevelType w:val="hybridMultilevel"/>
    <w:tmpl w:val="E75A06CE"/>
    <w:lvl w:ilvl="0" w:tplc="577CC9B4">
      <w:start w:val="1"/>
      <w:numFmt w:val="decimal"/>
      <w:lvlText w:val="%1."/>
      <w:lvlJc w:val="left"/>
      <w:pPr>
        <w:ind w:left="360" w:hanging="360"/>
      </w:pPr>
      <w:rPr>
        <w:rFonts w:ascii="Times New Roman" w:hAnsi="Times New Roman" w:cs="Times New Roman"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7E7946AB"/>
    <w:multiLevelType w:val="hybridMultilevel"/>
    <w:tmpl w:val="35F2E8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88864908">
    <w:abstractNumId w:val="0"/>
  </w:num>
  <w:num w:numId="2" w16cid:durableId="1138381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36A"/>
    <w:rsid w:val="00001264"/>
    <w:rsid w:val="00002D54"/>
    <w:rsid w:val="00002FAE"/>
    <w:rsid w:val="00003294"/>
    <w:rsid w:val="000037C3"/>
    <w:rsid w:val="00003D01"/>
    <w:rsid w:val="00003D3D"/>
    <w:rsid w:val="00004839"/>
    <w:rsid w:val="00004EB4"/>
    <w:rsid w:val="00006D48"/>
    <w:rsid w:val="000070D8"/>
    <w:rsid w:val="000071B3"/>
    <w:rsid w:val="000074AE"/>
    <w:rsid w:val="00010E71"/>
    <w:rsid w:val="00011944"/>
    <w:rsid w:val="0001243F"/>
    <w:rsid w:val="0001264D"/>
    <w:rsid w:val="00013413"/>
    <w:rsid w:val="00014467"/>
    <w:rsid w:val="00017EB2"/>
    <w:rsid w:val="00017F2E"/>
    <w:rsid w:val="00020B61"/>
    <w:rsid w:val="00020E01"/>
    <w:rsid w:val="00021314"/>
    <w:rsid w:val="00021946"/>
    <w:rsid w:val="00021AB8"/>
    <w:rsid w:val="0002219C"/>
    <w:rsid w:val="00023413"/>
    <w:rsid w:val="00023614"/>
    <w:rsid w:val="00024AFE"/>
    <w:rsid w:val="00024CC1"/>
    <w:rsid w:val="000250B7"/>
    <w:rsid w:val="0002659D"/>
    <w:rsid w:val="0002710D"/>
    <w:rsid w:val="00030CA6"/>
    <w:rsid w:val="0003159E"/>
    <w:rsid w:val="00031940"/>
    <w:rsid w:val="00032AA7"/>
    <w:rsid w:val="00033C01"/>
    <w:rsid w:val="00034FF5"/>
    <w:rsid w:val="0003537D"/>
    <w:rsid w:val="00036204"/>
    <w:rsid w:val="00036AA2"/>
    <w:rsid w:val="00036B51"/>
    <w:rsid w:val="0004182E"/>
    <w:rsid w:val="00041C66"/>
    <w:rsid w:val="00042E91"/>
    <w:rsid w:val="000453B7"/>
    <w:rsid w:val="00045758"/>
    <w:rsid w:val="00045B7F"/>
    <w:rsid w:val="00045C04"/>
    <w:rsid w:val="000466E3"/>
    <w:rsid w:val="00046FA5"/>
    <w:rsid w:val="00047690"/>
    <w:rsid w:val="00050F70"/>
    <w:rsid w:val="00051CEC"/>
    <w:rsid w:val="00051EB0"/>
    <w:rsid w:val="0005403C"/>
    <w:rsid w:val="000547D5"/>
    <w:rsid w:val="00054990"/>
    <w:rsid w:val="000549D0"/>
    <w:rsid w:val="00054B33"/>
    <w:rsid w:val="00055E3F"/>
    <w:rsid w:val="000561F0"/>
    <w:rsid w:val="00060709"/>
    <w:rsid w:val="00061E20"/>
    <w:rsid w:val="000639FB"/>
    <w:rsid w:val="00065529"/>
    <w:rsid w:val="00067287"/>
    <w:rsid w:val="000672AC"/>
    <w:rsid w:val="000675B1"/>
    <w:rsid w:val="00067A87"/>
    <w:rsid w:val="00067B89"/>
    <w:rsid w:val="0007149F"/>
    <w:rsid w:val="00071829"/>
    <w:rsid w:val="00071A64"/>
    <w:rsid w:val="00071DFA"/>
    <w:rsid w:val="00072169"/>
    <w:rsid w:val="00073E8A"/>
    <w:rsid w:val="00074114"/>
    <w:rsid w:val="00074CA9"/>
    <w:rsid w:val="00074E87"/>
    <w:rsid w:val="0007637B"/>
    <w:rsid w:val="00076D6C"/>
    <w:rsid w:val="000778DF"/>
    <w:rsid w:val="00077919"/>
    <w:rsid w:val="00080C35"/>
    <w:rsid w:val="00082A09"/>
    <w:rsid w:val="00083554"/>
    <w:rsid w:val="000838A0"/>
    <w:rsid w:val="000839D7"/>
    <w:rsid w:val="0008444B"/>
    <w:rsid w:val="000848A4"/>
    <w:rsid w:val="0008596D"/>
    <w:rsid w:val="00086A9A"/>
    <w:rsid w:val="00087E2E"/>
    <w:rsid w:val="00091B07"/>
    <w:rsid w:val="00092F78"/>
    <w:rsid w:val="00093947"/>
    <w:rsid w:val="00093B59"/>
    <w:rsid w:val="000948FD"/>
    <w:rsid w:val="00094985"/>
    <w:rsid w:val="00094B11"/>
    <w:rsid w:val="00094C43"/>
    <w:rsid w:val="00094D08"/>
    <w:rsid w:val="000A04FD"/>
    <w:rsid w:val="000A115D"/>
    <w:rsid w:val="000A2DA6"/>
    <w:rsid w:val="000A3D4E"/>
    <w:rsid w:val="000A4332"/>
    <w:rsid w:val="000A663C"/>
    <w:rsid w:val="000A7366"/>
    <w:rsid w:val="000B03DA"/>
    <w:rsid w:val="000B26CE"/>
    <w:rsid w:val="000B3FE6"/>
    <w:rsid w:val="000B61DA"/>
    <w:rsid w:val="000B632E"/>
    <w:rsid w:val="000B63B4"/>
    <w:rsid w:val="000B6A0C"/>
    <w:rsid w:val="000B783B"/>
    <w:rsid w:val="000C06C3"/>
    <w:rsid w:val="000C220C"/>
    <w:rsid w:val="000C303A"/>
    <w:rsid w:val="000C3E55"/>
    <w:rsid w:val="000C4851"/>
    <w:rsid w:val="000C560E"/>
    <w:rsid w:val="000C59AB"/>
    <w:rsid w:val="000C5B64"/>
    <w:rsid w:val="000C6115"/>
    <w:rsid w:val="000C7B0C"/>
    <w:rsid w:val="000D07A9"/>
    <w:rsid w:val="000D12A7"/>
    <w:rsid w:val="000D1DE5"/>
    <w:rsid w:val="000D28DB"/>
    <w:rsid w:val="000D2D9C"/>
    <w:rsid w:val="000D52E7"/>
    <w:rsid w:val="000D5491"/>
    <w:rsid w:val="000D5A95"/>
    <w:rsid w:val="000D5E03"/>
    <w:rsid w:val="000D5E6D"/>
    <w:rsid w:val="000D7911"/>
    <w:rsid w:val="000E0EE2"/>
    <w:rsid w:val="000E14C1"/>
    <w:rsid w:val="000E18FD"/>
    <w:rsid w:val="000E1931"/>
    <w:rsid w:val="000E1E54"/>
    <w:rsid w:val="000E208D"/>
    <w:rsid w:val="000E2DF0"/>
    <w:rsid w:val="000E2F3D"/>
    <w:rsid w:val="000E3569"/>
    <w:rsid w:val="000E48B7"/>
    <w:rsid w:val="000E5B44"/>
    <w:rsid w:val="000E6AED"/>
    <w:rsid w:val="000E6ECC"/>
    <w:rsid w:val="000F1A75"/>
    <w:rsid w:val="000F214C"/>
    <w:rsid w:val="000F3CDB"/>
    <w:rsid w:val="000F42A9"/>
    <w:rsid w:val="000F4F47"/>
    <w:rsid w:val="000F537B"/>
    <w:rsid w:val="000F5B02"/>
    <w:rsid w:val="000F5E0D"/>
    <w:rsid w:val="000F6B65"/>
    <w:rsid w:val="000F7232"/>
    <w:rsid w:val="000F7DC6"/>
    <w:rsid w:val="000F7ED5"/>
    <w:rsid w:val="00100C7A"/>
    <w:rsid w:val="001014BF"/>
    <w:rsid w:val="00103C7C"/>
    <w:rsid w:val="001043FD"/>
    <w:rsid w:val="0010451C"/>
    <w:rsid w:val="00104D42"/>
    <w:rsid w:val="00106E2F"/>
    <w:rsid w:val="00107D68"/>
    <w:rsid w:val="00110AC2"/>
    <w:rsid w:val="0011237F"/>
    <w:rsid w:val="001129F7"/>
    <w:rsid w:val="0011316C"/>
    <w:rsid w:val="00113AF1"/>
    <w:rsid w:val="00113F80"/>
    <w:rsid w:val="00114654"/>
    <w:rsid w:val="00114EBB"/>
    <w:rsid w:val="001155A5"/>
    <w:rsid w:val="00115A68"/>
    <w:rsid w:val="00115EFB"/>
    <w:rsid w:val="00116236"/>
    <w:rsid w:val="0011697C"/>
    <w:rsid w:val="001176F4"/>
    <w:rsid w:val="001223F8"/>
    <w:rsid w:val="00122965"/>
    <w:rsid w:val="00123022"/>
    <w:rsid w:val="00126D31"/>
    <w:rsid w:val="0013111D"/>
    <w:rsid w:val="00133F25"/>
    <w:rsid w:val="00134086"/>
    <w:rsid w:val="00135DFC"/>
    <w:rsid w:val="001361A5"/>
    <w:rsid w:val="001367DE"/>
    <w:rsid w:val="00137BB9"/>
    <w:rsid w:val="00140B16"/>
    <w:rsid w:val="001417B1"/>
    <w:rsid w:val="00141BEB"/>
    <w:rsid w:val="00141D76"/>
    <w:rsid w:val="0014498B"/>
    <w:rsid w:val="00145169"/>
    <w:rsid w:val="00145B23"/>
    <w:rsid w:val="00145D4B"/>
    <w:rsid w:val="0014608D"/>
    <w:rsid w:val="0014791C"/>
    <w:rsid w:val="001479B9"/>
    <w:rsid w:val="00150349"/>
    <w:rsid w:val="001510BF"/>
    <w:rsid w:val="00151254"/>
    <w:rsid w:val="00151ED6"/>
    <w:rsid w:val="001524AD"/>
    <w:rsid w:val="001533CD"/>
    <w:rsid w:val="00153463"/>
    <w:rsid w:val="00153C82"/>
    <w:rsid w:val="00154C14"/>
    <w:rsid w:val="00154FB2"/>
    <w:rsid w:val="00156A5D"/>
    <w:rsid w:val="00156F9E"/>
    <w:rsid w:val="001574B2"/>
    <w:rsid w:val="00160009"/>
    <w:rsid w:val="00160AA3"/>
    <w:rsid w:val="00161716"/>
    <w:rsid w:val="00162170"/>
    <w:rsid w:val="001628E9"/>
    <w:rsid w:val="00163BD8"/>
    <w:rsid w:val="00163CBC"/>
    <w:rsid w:val="00164108"/>
    <w:rsid w:val="00164BC2"/>
    <w:rsid w:val="0016519B"/>
    <w:rsid w:val="00165F69"/>
    <w:rsid w:val="001666A6"/>
    <w:rsid w:val="00167854"/>
    <w:rsid w:val="00170E62"/>
    <w:rsid w:val="00172D87"/>
    <w:rsid w:val="0017309B"/>
    <w:rsid w:val="00174074"/>
    <w:rsid w:val="00174219"/>
    <w:rsid w:val="0017463C"/>
    <w:rsid w:val="001748A4"/>
    <w:rsid w:val="0017491B"/>
    <w:rsid w:val="0017585A"/>
    <w:rsid w:val="00176814"/>
    <w:rsid w:val="00176CBF"/>
    <w:rsid w:val="001779BD"/>
    <w:rsid w:val="00177A06"/>
    <w:rsid w:val="00180C53"/>
    <w:rsid w:val="00181778"/>
    <w:rsid w:val="001828FF"/>
    <w:rsid w:val="00185098"/>
    <w:rsid w:val="001854B2"/>
    <w:rsid w:val="00185B9B"/>
    <w:rsid w:val="00185EF0"/>
    <w:rsid w:val="0018600D"/>
    <w:rsid w:val="001861E7"/>
    <w:rsid w:val="001867F0"/>
    <w:rsid w:val="00187088"/>
    <w:rsid w:val="00187E7B"/>
    <w:rsid w:val="0019202A"/>
    <w:rsid w:val="0019257C"/>
    <w:rsid w:val="00193473"/>
    <w:rsid w:val="00193E9F"/>
    <w:rsid w:val="0019413A"/>
    <w:rsid w:val="00194507"/>
    <w:rsid w:val="0019784F"/>
    <w:rsid w:val="00197EDE"/>
    <w:rsid w:val="001A06F9"/>
    <w:rsid w:val="001A122F"/>
    <w:rsid w:val="001A2208"/>
    <w:rsid w:val="001A2CC1"/>
    <w:rsid w:val="001A36F4"/>
    <w:rsid w:val="001A36F9"/>
    <w:rsid w:val="001A5859"/>
    <w:rsid w:val="001B03C1"/>
    <w:rsid w:val="001B0B81"/>
    <w:rsid w:val="001B1E83"/>
    <w:rsid w:val="001B2245"/>
    <w:rsid w:val="001B2E91"/>
    <w:rsid w:val="001B30FC"/>
    <w:rsid w:val="001B4147"/>
    <w:rsid w:val="001B76E1"/>
    <w:rsid w:val="001B7B4F"/>
    <w:rsid w:val="001B7D4A"/>
    <w:rsid w:val="001C0207"/>
    <w:rsid w:val="001C0F4B"/>
    <w:rsid w:val="001C1820"/>
    <w:rsid w:val="001C2771"/>
    <w:rsid w:val="001C446B"/>
    <w:rsid w:val="001C48FB"/>
    <w:rsid w:val="001C5A78"/>
    <w:rsid w:val="001C5BEA"/>
    <w:rsid w:val="001C6032"/>
    <w:rsid w:val="001C62BE"/>
    <w:rsid w:val="001C7FE4"/>
    <w:rsid w:val="001D02A7"/>
    <w:rsid w:val="001D159E"/>
    <w:rsid w:val="001D2561"/>
    <w:rsid w:val="001D2F2B"/>
    <w:rsid w:val="001D35D9"/>
    <w:rsid w:val="001D4F1C"/>
    <w:rsid w:val="001D7C7C"/>
    <w:rsid w:val="001E04DC"/>
    <w:rsid w:val="001E1142"/>
    <w:rsid w:val="001E13FA"/>
    <w:rsid w:val="001E1666"/>
    <w:rsid w:val="001E1A49"/>
    <w:rsid w:val="001E21CA"/>
    <w:rsid w:val="001E2B03"/>
    <w:rsid w:val="001E318D"/>
    <w:rsid w:val="001E32EE"/>
    <w:rsid w:val="001E5252"/>
    <w:rsid w:val="001E652E"/>
    <w:rsid w:val="001E65D6"/>
    <w:rsid w:val="001F03C5"/>
    <w:rsid w:val="001F43EC"/>
    <w:rsid w:val="001F4739"/>
    <w:rsid w:val="001F5452"/>
    <w:rsid w:val="001F5C7A"/>
    <w:rsid w:val="001F6442"/>
    <w:rsid w:val="001F6831"/>
    <w:rsid w:val="001F7D50"/>
    <w:rsid w:val="001F7F02"/>
    <w:rsid w:val="00201E4A"/>
    <w:rsid w:val="002022FC"/>
    <w:rsid w:val="002027F9"/>
    <w:rsid w:val="00202F09"/>
    <w:rsid w:val="00203845"/>
    <w:rsid w:val="00204D8D"/>
    <w:rsid w:val="00206828"/>
    <w:rsid w:val="00210348"/>
    <w:rsid w:val="002104FF"/>
    <w:rsid w:val="00210500"/>
    <w:rsid w:val="00210868"/>
    <w:rsid w:val="00211FAD"/>
    <w:rsid w:val="00211FFD"/>
    <w:rsid w:val="002121BC"/>
    <w:rsid w:val="00212208"/>
    <w:rsid w:val="0021298B"/>
    <w:rsid w:val="00213E72"/>
    <w:rsid w:val="002142B8"/>
    <w:rsid w:val="002144DB"/>
    <w:rsid w:val="00214F07"/>
    <w:rsid w:val="00216DC0"/>
    <w:rsid w:val="00216E16"/>
    <w:rsid w:val="002171E9"/>
    <w:rsid w:val="0021750A"/>
    <w:rsid w:val="00217AB1"/>
    <w:rsid w:val="00221ABA"/>
    <w:rsid w:val="00222D7B"/>
    <w:rsid w:val="002233F7"/>
    <w:rsid w:val="0022549B"/>
    <w:rsid w:val="00225A4D"/>
    <w:rsid w:val="00226014"/>
    <w:rsid w:val="00226661"/>
    <w:rsid w:val="002275D0"/>
    <w:rsid w:val="00227912"/>
    <w:rsid w:val="00227BAE"/>
    <w:rsid w:val="00227F11"/>
    <w:rsid w:val="0023062A"/>
    <w:rsid w:val="002307AA"/>
    <w:rsid w:val="002326CE"/>
    <w:rsid w:val="0023359D"/>
    <w:rsid w:val="00234865"/>
    <w:rsid w:val="00234A0A"/>
    <w:rsid w:val="002350E7"/>
    <w:rsid w:val="002375DD"/>
    <w:rsid w:val="00242815"/>
    <w:rsid w:val="00243857"/>
    <w:rsid w:val="0024413A"/>
    <w:rsid w:val="002443F1"/>
    <w:rsid w:val="00244E19"/>
    <w:rsid w:val="00245906"/>
    <w:rsid w:val="00252163"/>
    <w:rsid w:val="00254201"/>
    <w:rsid w:val="0025683E"/>
    <w:rsid w:val="00257420"/>
    <w:rsid w:val="00257970"/>
    <w:rsid w:val="002579D4"/>
    <w:rsid w:val="00260398"/>
    <w:rsid w:val="002628DC"/>
    <w:rsid w:val="002630A0"/>
    <w:rsid w:val="00263CE0"/>
    <w:rsid w:val="00263D59"/>
    <w:rsid w:val="00264651"/>
    <w:rsid w:val="00264B33"/>
    <w:rsid w:val="00265367"/>
    <w:rsid w:val="00265403"/>
    <w:rsid w:val="002655CE"/>
    <w:rsid w:val="00265D52"/>
    <w:rsid w:val="00265EAB"/>
    <w:rsid w:val="00267B09"/>
    <w:rsid w:val="00270721"/>
    <w:rsid w:val="00272B0B"/>
    <w:rsid w:val="0027305B"/>
    <w:rsid w:val="002746BE"/>
    <w:rsid w:val="0027587D"/>
    <w:rsid w:val="00276033"/>
    <w:rsid w:val="002764D2"/>
    <w:rsid w:val="002776D5"/>
    <w:rsid w:val="002777A5"/>
    <w:rsid w:val="00277D71"/>
    <w:rsid w:val="0028082E"/>
    <w:rsid w:val="00281228"/>
    <w:rsid w:val="00282161"/>
    <w:rsid w:val="002822DD"/>
    <w:rsid w:val="00282470"/>
    <w:rsid w:val="0028337B"/>
    <w:rsid w:val="00283389"/>
    <w:rsid w:val="00283400"/>
    <w:rsid w:val="0028402D"/>
    <w:rsid w:val="002868DA"/>
    <w:rsid w:val="00286C84"/>
    <w:rsid w:val="00287820"/>
    <w:rsid w:val="00287A16"/>
    <w:rsid w:val="002922E9"/>
    <w:rsid w:val="00292D27"/>
    <w:rsid w:val="0029476E"/>
    <w:rsid w:val="00294959"/>
    <w:rsid w:val="00294BCB"/>
    <w:rsid w:val="00294F02"/>
    <w:rsid w:val="00295476"/>
    <w:rsid w:val="00296505"/>
    <w:rsid w:val="00296D84"/>
    <w:rsid w:val="002A06C3"/>
    <w:rsid w:val="002A0F21"/>
    <w:rsid w:val="002A1D5F"/>
    <w:rsid w:val="002A23F1"/>
    <w:rsid w:val="002A300B"/>
    <w:rsid w:val="002A5031"/>
    <w:rsid w:val="002A5968"/>
    <w:rsid w:val="002A615C"/>
    <w:rsid w:val="002A67D3"/>
    <w:rsid w:val="002A6E21"/>
    <w:rsid w:val="002A6E9F"/>
    <w:rsid w:val="002A7C02"/>
    <w:rsid w:val="002B01ED"/>
    <w:rsid w:val="002B05DC"/>
    <w:rsid w:val="002B0662"/>
    <w:rsid w:val="002B0F0C"/>
    <w:rsid w:val="002B2EB9"/>
    <w:rsid w:val="002B3B39"/>
    <w:rsid w:val="002B5203"/>
    <w:rsid w:val="002B67FB"/>
    <w:rsid w:val="002B7D6F"/>
    <w:rsid w:val="002C076D"/>
    <w:rsid w:val="002C0EE6"/>
    <w:rsid w:val="002C1909"/>
    <w:rsid w:val="002C19A1"/>
    <w:rsid w:val="002C1E63"/>
    <w:rsid w:val="002C42DD"/>
    <w:rsid w:val="002C464F"/>
    <w:rsid w:val="002C4F5D"/>
    <w:rsid w:val="002C5C14"/>
    <w:rsid w:val="002C7D54"/>
    <w:rsid w:val="002D0593"/>
    <w:rsid w:val="002D32A2"/>
    <w:rsid w:val="002D3495"/>
    <w:rsid w:val="002D42A6"/>
    <w:rsid w:val="002D50D6"/>
    <w:rsid w:val="002D580F"/>
    <w:rsid w:val="002D5D44"/>
    <w:rsid w:val="002D615F"/>
    <w:rsid w:val="002D781D"/>
    <w:rsid w:val="002D7951"/>
    <w:rsid w:val="002D7AD6"/>
    <w:rsid w:val="002D7C22"/>
    <w:rsid w:val="002E1767"/>
    <w:rsid w:val="002E3E5E"/>
    <w:rsid w:val="002E49A8"/>
    <w:rsid w:val="002E4C0D"/>
    <w:rsid w:val="002E51C0"/>
    <w:rsid w:val="002E526B"/>
    <w:rsid w:val="002E56C9"/>
    <w:rsid w:val="002E695F"/>
    <w:rsid w:val="002E6F2E"/>
    <w:rsid w:val="002E751E"/>
    <w:rsid w:val="002F04BD"/>
    <w:rsid w:val="002F08B7"/>
    <w:rsid w:val="002F0D62"/>
    <w:rsid w:val="002F14B0"/>
    <w:rsid w:val="002F2293"/>
    <w:rsid w:val="002F378D"/>
    <w:rsid w:val="002F3AC3"/>
    <w:rsid w:val="002F661F"/>
    <w:rsid w:val="002F741B"/>
    <w:rsid w:val="003009AB"/>
    <w:rsid w:val="00302AE2"/>
    <w:rsid w:val="00303636"/>
    <w:rsid w:val="00303CFC"/>
    <w:rsid w:val="00304900"/>
    <w:rsid w:val="00306232"/>
    <w:rsid w:val="00306754"/>
    <w:rsid w:val="00311554"/>
    <w:rsid w:val="00313D29"/>
    <w:rsid w:val="00314E31"/>
    <w:rsid w:val="00315B00"/>
    <w:rsid w:val="00315D14"/>
    <w:rsid w:val="00316507"/>
    <w:rsid w:val="003168B3"/>
    <w:rsid w:val="00317CAA"/>
    <w:rsid w:val="00322F35"/>
    <w:rsid w:val="00324ED2"/>
    <w:rsid w:val="00325F19"/>
    <w:rsid w:val="003260E6"/>
    <w:rsid w:val="00326509"/>
    <w:rsid w:val="00327323"/>
    <w:rsid w:val="0032735A"/>
    <w:rsid w:val="00330EFA"/>
    <w:rsid w:val="00331086"/>
    <w:rsid w:val="0033299D"/>
    <w:rsid w:val="00332BFE"/>
    <w:rsid w:val="00332F4B"/>
    <w:rsid w:val="0033321C"/>
    <w:rsid w:val="003332E3"/>
    <w:rsid w:val="00333B9C"/>
    <w:rsid w:val="00333E78"/>
    <w:rsid w:val="00334549"/>
    <w:rsid w:val="003353D0"/>
    <w:rsid w:val="00336077"/>
    <w:rsid w:val="00336971"/>
    <w:rsid w:val="00336CDC"/>
    <w:rsid w:val="00340D18"/>
    <w:rsid w:val="003410F3"/>
    <w:rsid w:val="0034209B"/>
    <w:rsid w:val="00342227"/>
    <w:rsid w:val="003426E3"/>
    <w:rsid w:val="00343898"/>
    <w:rsid w:val="00343926"/>
    <w:rsid w:val="00343F0E"/>
    <w:rsid w:val="0034569F"/>
    <w:rsid w:val="0034614B"/>
    <w:rsid w:val="003463AE"/>
    <w:rsid w:val="00346EBF"/>
    <w:rsid w:val="003515A0"/>
    <w:rsid w:val="003518F0"/>
    <w:rsid w:val="003519CA"/>
    <w:rsid w:val="00352926"/>
    <w:rsid w:val="00355BD1"/>
    <w:rsid w:val="0035650E"/>
    <w:rsid w:val="0035665D"/>
    <w:rsid w:val="00356852"/>
    <w:rsid w:val="00356C2E"/>
    <w:rsid w:val="00356DE9"/>
    <w:rsid w:val="00357AB4"/>
    <w:rsid w:val="00357EF7"/>
    <w:rsid w:val="00360096"/>
    <w:rsid w:val="0036277A"/>
    <w:rsid w:val="003631CA"/>
    <w:rsid w:val="0036330F"/>
    <w:rsid w:val="0036485D"/>
    <w:rsid w:val="00364D3C"/>
    <w:rsid w:val="003653CD"/>
    <w:rsid w:val="003673D4"/>
    <w:rsid w:val="003719AB"/>
    <w:rsid w:val="00371FF9"/>
    <w:rsid w:val="00373134"/>
    <w:rsid w:val="003735D9"/>
    <w:rsid w:val="00373BF3"/>
    <w:rsid w:val="003740C1"/>
    <w:rsid w:val="0037424B"/>
    <w:rsid w:val="0037440C"/>
    <w:rsid w:val="003748C6"/>
    <w:rsid w:val="00375259"/>
    <w:rsid w:val="003753F4"/>
    <w:rsid w:val="00376CC8"/>
    <w:rsid w:val="00377011"/>
    <w:rsid w:val="00377096"/>
    <w:rsid w:val="0038026E"/>
    <w:rsid w:val="00381444"/>
    <w:rsid w:val="003817F9"/>
    <w:rsid w:val="00381EAA"/>
    <w:rsid w:val="00382570"/>
    <w:rsid w:val="00382926"/>
    <w:rsid w:val="00382F67"/>
    <w:rsid w:val="00384A0F"/>
    <w:rsid w:val="00384D03"/>
    <w:rsid w:val="00387969"/>
    <w:rsid w:val="003904C9"/>
    <w:rsid w:val="0039073D"/>
    <w:rsid w:val="00390A89"/>
    <w:rsid w:val="0039258B"/>
    <w:rsid w:val="0039261A"/>
    <w:rsid w:val="00393F1C"/>
    <w:rsid w:val="0039409C"/>
    <w:rsid w:val="0039424B"/>
    <w:rsid w:val="00394753"/>
    <w:rsid w:val="00395006"/>
    <w:rsid w:val="00395062"/>
    <w:rsid w:val="003956FA"/>
    <w:rsid w:val="00395885"/>
    <w:rsid w:val="00396778"/>
    <w:rsid w:val="00396FB2"/>
    <w:rsid w:val="00397AA6"/>
    <w:rsid w:val="003A0279"/>
    <w:rsid w:val="003A03C6"/>
    <w:rsid w:val="003A0AE1"/>
    <w:rsid w:val="003A0BCB"/>
    <w:rsid w:val="003A0C6E"/>
    <w:rsid w:val="003A1EB2"/>
    <w:rsid w:val="003A2796"/>
    <w:rsid w:val="003A2D93"/>
    <w:rsid w:val="003A3068"/>
    <w:rsid w:val="003A35AB"/>
    <w:rsid w:val="003A36F2"/>
    <w:rsid w:val="003A53D4"/>
    <w:rsid w:val="003A6088"/>
    <w:rsid w:val="003A6151"/>
    <w:rsid w:val="003A6B4D"/>
    <w:rsid w:val="003B127F"/>
    <w:rsid w:val="003B40CE"/>
    <w:rsid w:val="003B72D9"/>
    <w:rsid w:val="003B7641"/>
    <w:rsid w:val="003B7A13"/>
    <w:rsid w:val="003C0074"/>
    <w:rsid w:val="003C2B41"/>
    <w:rsid w:val="003C3096"/>
    <w:rsid w:val="003C43F2"/>
    <w:rsid w:val="003C4B82"/>
    <w:rsid w:val="003C5BAE"/>
    <w:rsid w:val="003C63A3"/>
    <w:rsid w:val="003C6B92"/>
    <w:rsid w:val="003C7C17"/>
    <w:rsid w:val="003D001A"/>
    <w:rsid w:val="003D24A9"/>
    <w:rsid w:val="003D2D2E"/>
    <w:rsid w:val="003D4167"/>
    <w:rsid w:val="003D46D0"/>
    <w:rsid w:val="003D58D2"/>
    <w:rsid w:val="003D5D1A"/>
    <w:rsid w:val="003D6012"/>
    <w:rsid w:val="003D7ED3"/>
    <w:rsid w:val="003E0F3D"/>
    <w:rsid w:val="003E44AE"/>
    <w:rsid w:val="003E44D1"/>
    <w:rsid w:val="003E5137"/>
    <w:rsid w:val="003E5979"/>
    <w:rsid w:val="003E74AB"/>
    <w:rsid w:val="003E74D7"/>
    <w:rsid w:val="003E75CA"/>
    <w:rsid w:val="003E7DEA"/>
    <w:rsid w:val="003F02BA"/>
    <w:rsid w:val="003F0891"/>
    <w:rsid w:val="003F0D5A"/>
    <w:rsid w:val="003F101A"/>
    <w:rsid w:val="003F13BE"/>
    <w:rsid w:val="003F1971"/>
    <w:rsid w:val="003F1BE0"/>
    <w:rsid w:val="003F3DD6"/>
    <w:rsid w:val="003F5DF0"/>
    <w:rsid w:val="003F605A"/>
    <w:rsid w:val="003F7C75"/>
    <w:rsid w:val="004002BF"/>
    <w:rsid w:val="00402284"/>
    <w:rsid w:val="004024D2"/>
    <w:rsid w:val="00402F40"/>
    <w:rsid w:val="0040320C"/>
    <w:rsid w:val="00403328"/>
    <w:rsid w:val="004033FF"/>
    <w:rsid w:val="00403BDB"/>
    <w:rsid w:val="00404256"/>
    <w:rsid w:val="00404735"/>
    <w:rsid w:val="00405C19"/>
    <w:rsid w:val="00406077"/>
    <w:rsid w:val="00407D5B"/>
    <w:rsid w:val="00410496"/>
    <w:rsid w:val="004105BD"/>
    <w:rsid w:val="00410BB8"/>
    <w:rsid w:val="00411153"/>
    <w:rsid w:val="004114E2"/>
    <w:rsid w:val="0041183F"/>
    <w:rsid w:val="004122B7"/>
    <w:rsid w:val="0041353B"/>
    <w:rsid w:val="004140AC"/>
    <w:rsid w:val="004160F6"/>
    <w:rsid w:val="00416107"/>
    <w:rsid w:val="004203BE"/>
    <w:rsid w:val="00423FBD"/>
    <w:rsid w:val="00424C39"/>
    <w:rsid w:val="00425B33"/>
    <w:rsid w:val="0042681F"/>
    <w:rsid w:val="00427BDF"/>
    <w:rsid w:val="00427D00"/>
    <w:rsid w:val="00427E50"/>
    <w:rsid w:val="004302F9"/>
    <w:rsid w:val="00430FDD"/>
    <w:rsid w:val="00431172"/>
    <w:rsid w:val="004312AC"/>
    <w:rsid w:val="0043256C"/>
    <w:rsid w:val="00432ACF"/>
    <w:rsid w:val="00433811"/>
    <w:rsid w:val="00434776"/>
    <w:rsid w:val="00434A0A"/>
    <w:rsid w:val="00434AEB"/>
    <w:rsid w:val="004358E3"/>
    <w:rsid w:val="00436079"/>
    <w:rsid w:val="00436C8E"/>
    <w:rsid w:val="004377CE"/>
    <w:rsid w:val="004418D3"/>
    <w:rsid w:val="00443CBC"/>
    <w:rsid w:val="00444469"/>
    <w:rsid w:val="00444C99"/>
    <w:rsid w:val="00446195"/>
    <w:rsid w:val="0044677D"/>
    <w:rsid w:val="00446C91"/>
    <w:rsid w:val="00447619"/>
    <w:rsid w:val="0044777B"/>
    <w:rsid w:val="00450AFF"/>
    <w:rsid w:val="004515C2"/>
    <w:rsid w:val="00452C41"/>
    <w:rsid w:val="004533D6"/>
    <w:rsid w:val="004543C0"/>
    <w:rsid w:val="00455D73"/>
    <w:rsid w:val="004560A3"/>
    <w:rsid w:val="004571CE"/>
    <w:rsid w:val="0045732C"/>
    <w:rsid w:val="004574F9"/>
    <w:rsid w:val="00457A8B"/>
    <w:rsid w:val="0046083D"/>
    <w:rsid w:val="00460C91"/>
    <w:rsid w:val="0046102A"/>
    <w:rsid w:val="004623A2"/>
    <w:rsid w:val="00462CEC"/>
    <w:rsid w:val="00463434"/>
    <w:rsid w:val="004654E2"/>
    <w:rsid w:val="0046796E"/>
    <w:rsid w:val="00471C6C"/>
    <w:rsid w:val="004736CE"/>
    <w:rsid w:val="0047404E"/>
    <w:rsid w:val="0047510D"/>
    <w:rsid w:val="00475994"/>
    <w:rsid w:val="0047785E"/>
    <w:rsid w:val="004806C8"/>
    <w:rsid w:val="00480915"/>
    <w:rsid w:val="00480F2C"/>
    <w:rsid w:val="0048100E"/>
    <w:rsid w:val="004810C7"/>
    <w:rsid w:val="0048139D"/>
    <w:rsid w:val="00481873"/>
    <w:rsid w:val="00481A33"/>
    <w:rsid w:val="00484052"/>
    <w:rsid w:val="004843CA"/>
    <w:rsid w:val="00485343"/>
    <w:rsid w:val="00485931"/>
    <w:rsid w:val="0048732F"/>
    <w:rsid w:val="00490690"/>
    <w:rsid w:val="00491465"/>
    <w:rsid w:val="00491ED4"/>
    <w:rsid w:val="00492513"/>
    <w:rsid w:val="00492805"/>
    <w:rsid w:val="0049306D"/>
    <w:rsid w:val="00493671"/>
    <w:rsid w:val="00493C2D"/>
    <w:rsid w:val="00493F19"/>
    <w:rsid w:val="00494C51"/>
    <w:rsid w:val="00496193"/>
    <w:rsid w:val="004963FE"/>
    <w:rsid w:val="0049645D"/>
    <w:rsid w:val="004A08FF"/>
    <w:rsid w:val="004A14F5"/>
    <w:rsid w:val="004A2C89"/>
    <w:rsid w:val="004A3024"/>
    <w:rsid w:val="004A316F"/>
    <w:rsid w:val="004A3903"/>
    <w:rsid w:val="004A3BF2"/>
    <w:rsid w:val="004A3F69"/>
    <w:rsid w:val="004A6C63"/>
    <w:rsid w:val="004A79BA"/>
    <w:rsid w:val="004A79EB"/>
    <w:rsid w:val="004B0AAA"/>
    <w:rsid w:val="004B0C1D"/>
    <w:rsid w:val="004B1508"/>
    <w:rsid w:val="004B183E"/>
    <w:rsid w:val="004B3642"/>
    <w:rsid w:val="004B3B7D"/>
    <w:rsid w:val="004B4018"/>
    <w:rsid w:val="004B532B"/>
    <w:rsid w:val="004B68E0"/>
    <w:rsid w:val="004B68F2"/>
    <w:rsid w:val="004B6C0D"/>
    <w:rsid w:val="004C07BB"/>
    <w:rsid w:val="004C0DFD"/>
    <w:rsid w:val="004C2970"/>
    <w:rsid w:val="004C2C2D"/>
    <w:rsid w:val="004C319D"/>
    <w:rsid w:val="004C323F"/>
    <w:rsid w:val="004C3461"/>
    <w:rsid w:val="004C36E7"/>
    <w:rsid w:val="004C3ADD"/>
    <w:rsid w:val="004C3D71"/>
    <w:rsid w:val="004C3D8D"/>
    <w:rsid w:val="004C457F"/>
    <w:rsid w:val="004C475A"/>
    <w:rsid w:val="004C681D"/>
    <w:rsid w:val="004D03B4"/>
    <w:rsid w:val="004D0879"/>
    <w:rsid w:val="004D0F4C"/>
    <w:rsid w:val="004D1BF9"/>
    <w:rsid w:val="004D1FFD"/>
    <w:rsid w:val="004D2A3F"/>
    <w:rsid w:val="004D2DE8"/>
    <w:rsid w:val="004D2E71"/>
    <w:rsid w:val="004D4514"/>
    <w:rsid w:val="004D4803"/>
    <w:rsid w:val="004D4A5B"/>
    <w:rsid w:val="004D638F"/>
    <w:rsid w:val="004E0226"/>
    <w:rsid w:val="004E1715"/>
    <w:rsid w:val="004E29AE"/>
    <w:rsid w:val="004E2D85"/>
    <w:rsid w:val="004E3337"/>
    <w:rsid w:val="004E373A"/>
    <w:rsid w:val="004E456C"/>
    <w:rsid w:val="004E48C7"/>
    <w:rsid w:val="004E4ADF"/>
    <w:rsid w:val="004E5102"/>
    <w:rsid w:val="004E5110"/>
    <w:rsid w:val="004E55CC"/>
    <w:rsid w:val="004E56CE"/>
    <w:rsid w:val="004E691E"/>
    <w:rsid w:val="004E79A6"/>
    <w:rsid w:val="004E7BD8"/>
    <w:rsid w:val="004F0368"/>
    <w:rsid w:val="004F0DEE"/>
    <w:rsid w:val="004F171C"/>
    <w:rsid w:val="004F1C89"/>
    <w:rsid w:val="004F34A1"/>
    <w:rsid w:val="004F42B4"/>
    <w:rsid w:val="004F674F"/>
    <w:rsid w:val="00501CF7"/>
    <w:rsid w:val="00501DE7"/>
    <w:rsid w:val="00503616"/>
    <w:rsid w:val="0050372E"/>
    <w:rsid w:val="00504768"/>
    <w:rsid w:val="00504AFB"/>
    <w:rsid w:val="00505103"/>
    <w:rsid w:val="005058B7"/>
    <w:rsid w:val="00505F86"/>
    <w:rsid w:val="0050611D"/>
    <w:rsid w:val="00506807"/>
    <w:rsid w:val="00506ADB"/>
    <w:rsid w:val="00506E58"/>
    <w:rsid w:val="00507393"/>
    <w:rsid w:val="00507783"/>
    <w:rsid w:val="00510AC7"/>
    <w:rsid w:val="00510C61"/>
    <w:rsid w:val="005120BA"/>
    <w:rsid w:val="00512189"/>
    <w:rsid w:val="00513E52"/>
    <w:rsid w:val="00514B46"/>
    <w:rsid w:val="005166E1"/>
    <w:rsid w:val="005167FE"/>
    <w:rsid w:val="00517652"/>
    <w:rsid w:val="005200B1"/>
    <w:rsid w:val="005212CA"/>
    <w:rsid w:val="0052138E"/>
    <w:rsid w:val="005213FE"/>
    <w:rsid w:val="005233BE"/>
    <w:rsid w:val="00523AFF"/>
    <w:rsid w:val="00523FEE"/>
    <w:rsid w:val="005253AA"/>
    <w:rsid w:val="005259CB"/>
    <w:rsid w:val="005270C8"/>
    <w:rsid w:val="0052745E"/>
    <w:rsid w:val="005277B6"/>
    <w:rsid w:val="0053028D"/>
    <w:rsid w:val="0053073E"/>
    <w:rsid w:val="00531523"/>
    <w:rsid w:val="00532275"/>
    <w:rsid w:val="00532996"/>
    <w:rsid w:val="00534390"/>
    <w:rsid w:val="00534630"/>
    <w:rsid w:val="00534FBB"/>
    <w:rsid w:val="0053593E"/>
    <w:rsid w:val="00535A09"/>
    <w:rsid w:val="00535A3F"/>
    <w:rsid w:val="00535F58"/>
    <w:rsid w:val="0053670B"/>
    <w:rsid w:val="00540011"/>
    <w:rsid w:val="00540CD5"/>
    <w:rsid w:val="0054171C"/>
    <w:rsid w:val="0054257D"/>
    <w:rsid w:val="0054293E"/>
    <w:rsid w:val="00542E48"/>
    <w:rsid w:val="0054310F"/>
    <w:rsid w:val="005436D7"/>
    <w:rsid w:val="00543CAF"/>
    <w:rsid w:val="00545577"/>
    <w:rsid w:val="00545ECF"/>
    <w:rsid w:val="00550238"/>
    <w:rsid w:val="00550AA4"/>
    <w:rsid w:val="0055121B"/>
    <w:rsid w:val="00551350"/>
    <w:rsid w:val="00551F1C"/>
    <w:rsid w:val="005520BB"/>
    <w:rsid w:val="00552C34"/>
    <w:rsid w:val="00553121"/>
    <w:rsid w:val="00553D72"/>
    <w:rsid w:val="0055475A"/>
    <w:rsid w:val="00560F52"/>
    <w:rsid w:val="005622A8"/>
    <w:rsid w:val="005630F0"/>
    <w:rsid w:val="00564293"/>
    <w:rsid w:val="005645DA"/>
    <w:rsid w:val="00564736"/>
    <w:rsid w:val="005667B6"/>
    <w:rsid w:val="005679BD"/>
    <w:rsid w:val="005707C4"/>
    <w:rsid w:val="00570CE7"/>
    <w:rsid w:val="00570F7F"/>
    <w:rsid w:val="00570FCC"/>
    <w:rsid w:val="005720A4"/>
    <w:rsid w:val="00572A7E"/>
    <w:rsid w:val="00573152"/>
    <w:rsid w:val="00573B95"/>
    <w:rsid w:val="00573E4A"/>
    <w:rsid w:val="0057448A"/>
    <w:rsid w:val="00575152"/>
    <w:rsid w:val="00575D91"/>
    <w:rsid w:val="00576533"/>
    <w:rsid w:val="00577D6E"/>
    <w:rsid w:val="00577E58"/>
    <w:rsid w:val="00580343"/>
    <w:rsid w:val="005805C6"/>
    <w:rsid w:val="0058472F"/>
    <w:rsid w:val="00585229"/>
    <w:rsid w:val="005860CE"/>
    <w:rsid w:val="00587002"/>
    <w:rsid w:val="0058750F"/>
    <w:rsid w:val="0059005B"/>
    <w:rsid w:val="00590DF8"/>
    <w:rsid w:val="00590EE4"/>
    <w:rsid w:val="00591168"/>
    <w:rsid w:val="00593783"/>
    <w:rsid w:val="00594BF2"/>
    <w:rsid w:val="0059525F"/>
    <w:rsid w:val="00595F3D"/>
    <w:rsid w:val="005968A2"/>
    <w:rsid w:val="00596DEA"/>
    <w:rsid w:val="00597349"/>
    <w:rsid w:val="00597640"/>
    <w:rsid w:val="005A00AF"/>
    <w:rsid w:val="005A14EC"/>
    <w:rsid w:val="005A17ED"/>
    <w:rsid w:val="005A2347"/>
    <w:rsid w:val="005A26BA"/>
    <w:rsid w:val="005A2EF6"/>
    <w:rsid w:val="005A35DD"/>
    <w:rsid w:val="005A6167"/>
    <w:rsid w:val="005A670D"/>
    <w:rsid w:val="005A7DFE"/>
    <w:rsid w:val="005B0013"/>
    <w:rsid w:val="005B05C1"/>
    <w:rsid w:val="005B1C34"/>
    <w:rsid w:val="005B1FFD"/>
    <w:rsid w:val="005B22D5"/>
    <w:rsid w:val="005B2F08"/>
    <w:rsid w:val="005B500B"/>
    <w:rsid w:val="005B6C99"/>
    <w:rsid w:val="005C0289"/>
    <w:rsid w:val="005C1041"/>
    <w:rsid w:val="005C1E5B"/>
    <w:rsid w:val="005C23C3"/>
    <w:rsid w:val="005C3A7A"/>
    <w:rsid w:val="005C4F50"/>
    <w:rsid w:val="005C5007"/>
    <w:rsid w:val="005C6028"/>
    <w:rsid w:val="005C6F88"/>
    <w:rsid w:val="005C78A4"/>
    <w:rsid w:val="005C7FDE"/>
    <w:rsid w:val="005D009A"/>
    <w:rsid w:val="005D15CA"/>
    <w:rsid w:val="005D1E67"/>
    <w:rsid w:val="005D1F4A"/>
    <w:rsid w:val="005D2087"/>
    <w:rsid w:val="005D2823"/>
    <w:rsid w:val="005D2F33"/>
    <w:rsid w:val="005D335D"/>
    <w:rsid w:val="005D3D6D"/>
    <w:rsid w:val="005D4765"/>
    <w:rsid w:val="005D5047"/>
    <w:rsid w:val="005D58F5"/>
    <w:rsid w:val="005D5E3A"/>
    <w:rsid w:val="005D65D5"/>
    <w:rsid w:val="005D697B"/>
    <w:rsid w:val="005D70D3"/>
    <w:rsid w:val="005D70E9"/>
    <w:rsid w:val="005D7947"/>
    <w:rsid w:val="005E021F"/>
    <w:rsid w:val="005E05AF"/>
    <w:rsid w:val="005E0FC6"/>
    <w:rsid w:val="005E15BF"/>
    <w:rsid w:val="005E186D"/>
    <w:rsid w:val="005E24F9"/>
    <w:rsid w:val="005E2701"/>
    <w:rsid w:val="005E2847"/>
    <w:rsid w:val="005E2AE0"/>
    <w:rsid w:val="005E4495"/>
    <w:rsid w:val="005E461B"/>
    <w:rsid w:val="005E48B4"/>
    <w:rsid w:val="005E7808"/>
    <w:rsid w:val="005F011C"/>
    <w:rsid w:val="005F03C9"/>
    <w:rsid w:val="005F1DD4"/>
    <w:rsid w:val="005F23ED"/>
    <w:rsid w:val="005F3BCC"/>
    <w:rsid w:val="005F43D6"/>
    <w:rsid w:val="005F48F3"/>
    <w:rsid w:val="005F4C15"/>
    <w:rsid w:val="005F508E"/>
    <w:rsid w:val="005F5A83"/>
    <w:rsid w:val="005F5EAD"/>
    <w:rsid w:val="005F6331"/>
    <w:rsid w:val="005F68A6"/>
    <w:rsid w:val="005F68E2"/>
    <w:rsid w:val="005F6A48"/>
    <w:rsid w:val="005F6CB9"/>
    <w:rsid w:val="005F7F1D"/>
    <w:rsid w:val="00600A43"/>
    <w:rsid w:val="006010B9"/>
    <w:rsid w:val="00601774"/>
    <w:rsid w:val="00601802"/>
    <w:rsid w:val="00602ACA"/>
    <w:rsid w:val="006039F5"/>
    <w:rsid w:val="006042F7"/>
    <w:rsid w:val="00604B33"/>
    <w:rsid w:val="00605647"/>
    <w:rsid w:val="0060704F"/>
    <w:rsid w:val="0060739E"/>
    <w:rsid w:val="006103E3"/>
    <w:rsid w:val="006104F1"/>
    <w:rsid w:val="00610A9B"/>
    <w:rsid w:val="00611D3D"/>
    <w:rsid w:val="00612420"/>
    <w:rsid w:val="006125C0"/>
    <w:rsid w:val="00612A8F"/>
    <w:rsid w:val="006147C3"/>
    <w:rsid w:val="00614E6C"/>
    <w:rsid w:val="0061543B"/>
    <w:rsid w:val="00615898"/>
    <w:rsid w:val="006160B1"/>
    <w:rsid w:val="006174C5"/>
    <w:rsid w:val="0061779D"/>
    <w:rsid w:val="00617F0D"/>
    <w:rsid w:val="00620F19"/>
    <w:rsid w:val="00621168"/>
    <w:rsid w:val="00621D01"/>
    <w:rsid w:val="00623728"/>
    <w:rsid w:val="00624FFC"/>
    <w:rsid w:val="00625D34"/>
    <w:rsid w:val="00627416"/>
    <w:rsid w:val="0062799B"/>
    <w:rsid w:val="00627ECA"/>
    <w:rsid w:val="006302F0"/>
    <w:rsid w:val="00631567"/>
    <w:rsid w:val="00632266"/>
    <w:rsid w:val="006333F4"/>
    <w:rsid w:val="006344AD"/>
    <w:rsid w:val="006347E0"/>
    <w:rsid w:val="00634937"/>
    <w:rsid w:val="00634C14"/>
    <w:rsid w:val="0063582E"/>
    <w:rsid w:val="00637150"/>
    <w:rsid w:val="00637469"/>
    <w:rsid w:val="00641DC9"/>
    <w:rsid w:val="00642B21"/>
    <w:rsid w:val="00643A1C"/>
    <w:rsid w:val="006442A0"/>
    <w:rsid w:val="00644432"/>
    <w:rsid w:val="00644A7F"/>
    <w:rsid w:val="006464EE"/>
    <w:rsid w:val="00646F7F"/>
    <w:rsid w:val="0065006C"/>
    <w:rsid w:val="00650A10"/>
    <w:rsid w:val="00650EDB"/>
    <w:rsid w:val="006511B3"/>
    <w:rsid w:val="00651BEE"/>
    <w:rsid w:val="0065216D"/>
    <w:rsid w:val="0065291E"/>
    <w:rsid w:val="00653AAD"/>
    <w:rsid w:val="00653B96"/>
    <w:rsid w:val="006556F3"/>
    <w:rsid w:val="006567A8"/>
    <w:rsid w:val="0065715A"/>
    <w:rsid w:val="00657B0C"/>
    <w:rsid w:val="006606A8"/>
    <w:rsid w:val="006612DC"/>
    <w:rsid w:val="006615C1"/>
    <w:rsid w:val="006620DC"/>
    <w:rsid w:val="006621A7"/>
    <w:rsid w:val="00662FD2"/>
    <w:rsid w:val="0066310A"/>
    <w:rsid w:val="0066312B"/>
    <w:rsid w:val="00665477"/>
    <w:rsid w:val="00665A22"/>
    <w:rsid w:val="006679E2"/>
    <w:rsid w:val="006705C8"/>
    <w:rsid w:val="00671447"/>
    <w:rsid w:val="0067219B"/>
    <w:rsid w:val="00672234"/>
    <w:rsid w:val="006724CE"/>
    <w:rsid w:val="00674687"/>
    <w:rsid w:val="00674F4F"/>
    <w:rsid w:val="00675742"/>
    <w:rsid w:val="00675787"/>
    <w:rsid w:val="00676AAF"/>
    <w:rsid w:val="006775C0"/>
    <w:rsid w:val="0068009D"/>
    <w:rsid w:val="0068010E"/>
    <w:rsid w:val="006814BD"/>
    <w:rsid w:val="00682768"/>
    <w:rsid w:val="00682805"/>
    <w:rsid w:val="00683703"/>
    <w:rsid w:val="00683911"/>
    <w:rsid w:val="00684F82"/>
    <w:rsid w:val="00685402"/>
    <w:rsid w:val="00685660"/>
    <w:rsid w:val="006859B7"/>
    <w:rsid w:val="00687A80"/>
    <w:rsid w:val="006913EE"/>
    <w:rsid w:val="00691446"/>
    <w:rsid w:val="00691A55"/>
    <w:rsid w:val="00692599"/>
    <w:rsid w:val="006929AC"/>
    <w:rsid w:val="00692FB2"/>
    <w:rsid w:val="0069364E"/>
    <w:rsid w:val="0069367F"/>
    <w:rsid w:val="00693730"/>
    <w:rsid w:val="006938D4"/>
    <w:rsid w:val="00693A7C"/>
    <w:rsid w:val="00693AB1"/>
    <w:rsid w:val="00693E88"/>
    <w:rsid w:val="00695658"/>
    <w:rsid w:val="00696623"/>
    <w:rsid w:val="006A03FF"/>
    <w:rsid w:val="006A1BA4"/>
    <w:rsid w:val="006A2B0B"/>
    <w:rsid w:val="006A2CC4"/>
    <w:rsid w:val="006A44BC"/>
    <w:rsid w:val="006A4BFC"/>
    <w:rsid w:val="006A697E"/>
    <w:rsid w:val="006A6AFC"/>
    <w:rsid w:val="006A72A5"/>
    <w:rsid w:val="006A7632"/>
    <w:rsid w:val="006A7F22"/>
    <w:rsid w:val="006B01FD"/>
    <w:rsid w:val="006B0364"/>
    <w:rsid w:val="006B176C"/>
    <w:rsid w:val="006B183B"/>
    <w:rsid w:val="006B30EB"/>
    <w:rsid w:val="006B3671"/>
    <w:rsid w:val="006B3EE5"/>
    <w:rsid w:val="006B3FD3"/>
    <w:rsid w:val="006B5332"/>
    <w:rsid w:val="006B5A88"/>
    <w:rsid w:val="006B5FFB"/>
    <w:rsid w:val="006B68F5"/>
    <w:rsid w:val="006B6EA0"/>
    <w:rsid w:val="006C0759"/>
    <w:rsid w:val="006C1CAE"/>
    <w:rsid w:val="006C2073"/>
    <w:rsid w:val="006C2CE6"/>
    <w:rsid w:val="006C3236"/>
    <w:rsid w:val="006C439C"/>
    <w:rsid w:val="006C4454"/>
    <w:rsid w:val="006C4A21"/>
    <w:rsid w:val="006C5D1B"/>
    <w:rsid w:val="006C6198"/>
    <w:rsid w:val="006C61D4"/>
    <w:rsid w:val="006C66B4"/>
    <w:rsid w:val="006C6B3A"/>
    <w:rsid w:val="006C6C55"/>
    <w:rsid w:val="006C7A09"/>
    <w:rsid w:val="006C7CC4"/>
    <w:rsid w:val="006D0C58"/>
    <w:rsid w:val="006D20F8"/>
    <w:rsid w:val="006D2A20"/>
    <w:rsid w:val="006D3F65"/>
    <w:rsid w:val="006D426F"/>
    <w:rsid w:val="006D4673"/>
    <w:rsid w:val="006D48AA"/>
    <w:rsid w:val="006D4A6A"/>
    <w:rsid w:val="006D4F71"/>
    <w:rsid w:val="006D6EA6"/>
    <w:rsid w:val="006D735B"/>
    <w:rsid w:val="006D7EA2"/>
    <w:rsid w:val="006E0033"/>
    <w:rsid w:val="006E0E6F"/>
    <w:rsid w:val="006E1B4D"/>
    <w:rsid w:val="006E1F43"/>
    <w:rsid w:val="006E1FBB"/>
    <w:rsid w:val="006E20D0"/>
    <w:rsid w:val="006E22E4"/>
    <w:rsid w:val="006E2537"/>
    <w:rsid w:val="006E281E"/>
    <w:rsid w:val="006E50DB"/>
    <w:rsid w:val="006E6509"/>
    <w:rsid w:val="006E6578"/>
    <w:rsid w:val="006E737D"/>
    <w:rsid w:val="006E7D03"/>
    <w:rsid w:val="006E7D7E"/>
    <w:rsid w:val="006F00C0"/>
    <w:rsid w:val="006F0B0A"/>
    <w:rsid w:val="006F0BC4"/>
    <w:rsid w:val="006F0E40"/>
    <w:rsid w:val="006F0E79"/>
    <w:rsid w:val="006F2435"/>
    <w:rsid w:val="006F2510"/>
    <w:rsid w:val="006F28BE"/>
    <w:rsid w:val="006F30EB"/>
    <w:rsid w:val="006F3806"/>
    <w:rsid w:val="006F38FD"/>
    <w:rsid w:val="006F46C7"/>
    <w:rsid w:val="006F56BE"/>
    <w:rsid w:val="006F6FEF"/>
    <w:rsid w:val="006F70E2"/>
    <w:rsid w:val="006F7D19"/>
    <w:rsid w:val="00700D67"/>
    <w:rsid w:val="00701E05"/>
    <w:rsid w:val="00701ECA"/>
    <w:rsid w:val="00702B68"/>
    <w:rsid w:val="00704711"/>
    <w:rsid w:val="007053E2"/>
    <w:rsid w:val="007064EB"/>
    <w:rsid w:val="00706D13"/>
    <w:rsid w:val="00707C1E"/>
    <w:rsid w:val="00711397"/>
    <w:rsid w:val="00711A13"/>
    <w:rsid w:val="0071295E"/>
    <w:rsid w:val="00713998"/>
    <w:rsid w:val="00713ED0"/>
    <w:rsid w:val="00714B47"/>
    <w:rsid w:val="00715F25"/>
    <w:rsid w:val="007178F0"/>
    <w:rsid w:val="00717D4D"/>
    <w:rsid w:val="0072008F"/>
    <w:rsid w:val="00720288"/>
    <w:rsid w:val="00720595"/>
    <w:rsid w:val="0072150D"/>
    <w:rsid w:val="007230FB"/>
    <w:rsid w:val="007237E2"/>
    <w:rsid w:val="00723B6E"/>
    <w:rsid w:val="00724F93"/>
    <w:rsid w:val="007251AF"/>
    <w:rsid w:val="00725C57"/>
    <w:rsid w:val="007268E3"/>
    <w:rsid w:val="007270D4"/>
    <w:rsid w:val="00727A1E"/>
    <w:rsid w:val="00727F1E"/>
    <w:rsid w:val="00730BB0"/>
    <w:rsid w:val="00730F78"/>
    <w:rsid w:val="00732245"/>
    <w:rsid w:val="00732605"/>
    <w:rsid w:val="0073295B"/>
    <w:rsid w:val="00733073"/>
    <w:rsid w:val="007356F5"/>
    <w:rsid w:val="007364A1"/>
    <w:rsid w:val="00736653"/>
    <w:rsid w:val="00736F86"/>
    <w:rsid w:val="00737ABD"/>
    <w:rsid w:val="00740677"/>
    <w:rsid w:val="00740AF5"/>
    <w:rsid w:val="00740C9E"/>
    <w:rsid w:val="00741D1D"/>
    <w:rsid w:val="007425E4"/>
    <w:rsid w:val="007427C5"/>
    <w:rsid w:val="00742FF1"/>
    <w:rsid w:val="00743B0D"/>
    <w:rsid w:val="007445C5"/>
    <w:rsid w:val="00744F6F"/>
    <w:rsid w:val="007467A5"/>
    <w:rsid w:val="00746D91"/>
    <w:rsid w:val="00747BA2"/>
    <w:rsid w:val="00747BC7"/>
    <w:rsid w:val="00750122"/>
    <w:rsid w:val="0075076C"/>
    <w:rsid w:val="007514B4"/>
    <w:rsid w:val="00751786"/>
    <w:rsid w:val="007545F3"/>
    <w:rsid w:val="00754BE2"/>
    <w:rsid w:val="00755305"/>
    <w:rsid w:val="007555CC"/>
    <w:rsid w:val="007556E8"/>
    <w:rsid w:val="00755FE7"/>
    <w:rsid w:val="00756A63"/>
    <w:rsid w:val="007577A2"/>
    <w:rsid w:val="00760469"/>
    <w:rsid w:val="0076199B"/>
    <w:rsid w:val="007620C5"/>
    <w:rsid w:val="007623B8"/>
    <w:rsid w:val="007624DD"/>
    <w:rsid w:val="00762660"/>
    <w:rsid w:val="00763168"/>
    <w:rsid w:val="007632B8"/>
    <w:rsid w:val="00764EFB"/>
    <w:rsid w:val="00765DAA"/>
    <w:rsid w:val="00766E5C"/>
    <w:rsid w:val="00770201"/>
    <w:rsid w:val="0077090E"/>
    <w:rsid w:val="0077234D"/>
    <w:rsid w:val="00772BCE"/>
    <w:rsid w:val="00773705"/>
    <w:rsid w:val="00773BB7"/>
    <w:rsid w:val="0077482F"/>
    <w:rsid w:val="007748BE"/>
    <w:rsid w:val="00775824"/>
    <w:rsid w:val="00776531"/>
    <w:rsid w:val="00776694"/>
    <w:rsid w:val="0077671F"/>
    <w:rsid w:val="00776DA9"/>
    <w:rsid w:val="00777B9D"/>
    <w:rsid w:val="00780123"/>
    <w:rsid w:val="00780514"/>
    <w:rsid w:val="00780FD7"/>
    <w:rsid w:val="00781795"/>
    <w:rsid w:val="00781CB2"/>
    <w:rsid w:val="00782837"/>
    <w:rsid w:val="00784541"/>
    <w:rsid w:val="0078461A"/>
    <w:rsid w:val="007847C9"/>
    <w:rsid w:val="00784927"/>
    <w:rsid w:val="00784950"/>
    <w:rsid w:val="007866A5"/>
    <w:rsid w:val="00786A77"/>
    <w:rsid w:val="00787B50"/>
    <w:rsid w:val="00791547"/>
    <w:rsid w:val="007917D1"/>
    <w:rsid w:val="007924A5"/>
    <w:rsid w:val="00792DF9"/>
    <w:rsid w:val="007937D5"/>
    <w:rsid w:val="00793D88"/>
    <w:rsid w:val="0079408B"/>
    <w:rsid w:val="007940B2"/>
    <w:rsid w:val="007951AB"/>
    <w:rsid w:val="00795589"/>
    <w:rsid w:val="00795813"/>
    <w:rsid w:val="00797204"/>
    <w:rsid w:val="00797791"/>
    <w:rsid w:val="00797D5D"/>
    <w:rsid w:val="00797F2B"/>
    <w:rsid w:val="007A083A"/>
    <w:rsid w:val="007A11FA"/>
    <w:rsid w:val="007A36E4"/>
    <w:rsid w:val="007A44A1"/>
    <w:rsid w:val="007A62D7"/>
    <w:rsid w:val="007A685A"/>
    <w:rsid w:val="007A69C7"/>
    <w:rsid w:val="007A7CBF"/>
    <w:rsid w:val="007B1110"/>
    <w:rsid w:val="007B1632"/>
    <w:rsid w:val="007B195C"/>
    <w:rsid w:val="007B2B5A"/>
    <w:rsid w:val="007B3E79"/>
    <w:rsid w:val="007B40A1"/>
    <w:rsid w:val="007B5558"/>
    <w:rsid w:val="007B76A9"/>
    <w:rsid w:val="007B78CA"/>
    <w:rsid w:val="007B7AF0"/>
    <w:rsid w:val="007B7DAE"/>
    <w:rsid w:val="007C0411"/>
    <w:rsid w:val="007C1075"/>
    <w:rsid w:val="007C1294"/>
    <w:rsid w:val="007C1657"/>
    <w:rsid w:val="007C1914"/>
    <w:rsid w:val="007C2D83"/>
    <w:rsid w:val="007C2EB9"/>
    <w:rsid w:val="007C5609"/>
    <w:rsid w:val="007C589A"/>
    <w:rsid w:val="007C5A34"/>
    <w:rsid w:val="007C5DA1"/>
    <w:rsid w:val="007C6749"/>
    <w:rsid w:val="007C7341"/>
    <w:rsid w:val="007C79BD"/>
    <w:rsid w:val="007C7A87"/>
    <w:rsid w:val="007D04E5"/>
    <w:rsid w:val="007D16E9"/>
    <w:rsid w:val="007D17C6"/>
    <w:rsid w:val="007D1C34"/>
    <w:rsid w:val="007D3E26"/>
    <w:rsid w:val="007D4C75"/>
    <w:rsid w:val="007D532B"/>
    <w:rsid w:val="007D5483"/>
    <w:rsid w:val="007D65CB"/>
    <w:rsid w:val="007D6D25"/>
    <w:rsid w:val="007D7091"/>
    <w:rsid w:val="007D73D6"/>
    <w:rsid w:val="007D74A0"/>
    <w:rsid w:val="007D7BB7"/>
    <w:rsid w:val="007D7C6C"/>
    <w:rsid w:val="007E030E"/>
    <w:rsid w:val="007E0E85"/>
    <w:rsid w:val="007E1D8E"/>
    <w:rsid w:val="007E29B9"/>
    <w:rsid w:val="007E333D"/>
    <w:rsid w:val="007E3B79"/>
    <w:rsid w:val="007E5AF3"/>
    <w:rsid w:val="007E5B95"/>
    <w:rsid w:val="007E5D00"/>
    <w:rsid w:val="007E604D"/>
    <w:rsid w:val="007E6302"/>
    <w:rsid w:val="007E69EE"/>
    <w:rsid w:val="007E7CAC"/>
    <w:rsid w:val="007F0CDE"/>
    <w:rsid w:val="007F0FDF"/>
    <w:rsid w:val="007F2954"/>
    <w:rsid w:val="007F4DC2"/>
    <w:rsid w:val="007F50F7"/>
    <w:rsid w:val="007F6C85"/>
    <w:rsid w:val="007F7B87"/>
    <w:rsid w:val="00802801"/>
    <w:rsid w:val="0080292A"/>
    <w:rsid w:val="00802A14"/>
    <w:rsid w:val="00802A6D"/>
    <w:rsid w:val="00802AA4"/>
    <w:rsid w:val="00802ED3"/>
    <w:rsid w:val="008049B4"/>
    <w:rsid w:val="00804D97"/>
    <w:rsid w:val="00804F3A"/>
    <w:rsid w:val="00805964"/>
    <w:rsid w:val="00805EE1"/>
    <w:rsid w:val="00806107"/>
    <w:rsid w:val="00806814"/>
    <w:rsid w:val="008073C2"/>
    <w:rsid w:val="008074E5"/>
    <w:rsid w:val="00810AEA"/>
    <w:rsid w:val="00810F6B"/>
    <w:rsid w:val="0081126A"/>
    <w:rsid w:val="00811332"/>
    <w:rsid w:val="00813277"/>
    <w:rsid w:val="00813C57"/>
    <w:rsid w:val="008142BF"/>
    <w:rsid w:val="00814D6F"/>
    <w:rsid w:val="00816EA8"/>
    <w:rsid w:val="00817675"/>
    <w:rsid w:val="00817EFE"/>
    <w:rsid w:val="0082073A"/>
    <w:rsid w:val="00820F19"/>
    <w:rsid w:val="00821B52"/>
    <w:rsid w:val="0082372C"/>
    <w:rsid w:val="00823763"/>
    <w:rsid w:val="00824FBC"/>
    <w:rsid w:val="00825252"/>
    <w:rsid w:val="008265F8"/>
    <w:rsid w:val="00826ED9"/>
    <w:rsid w:val="00827AA7"/>
    <w:rsid w:val="008303B3"/>
    <w:rsid w:val="00830A99"/>
    <w:rsid w:val="0083126A"/>
    <w:rsid w:val="0083190F"/>
    <w:rsid w:val="00831CE3"/>
    <w:rsid w:val="0083375F"/>
    <w:rsid w:val="00833E0B"/>
    <w:rsid w:val="008356C7"/>
    <w:rsid w:val="00837281"/>
    <w:rsid w:val="00837CE5"/>
    <w:rsid w:val="00837FE3"/>
    <w:rsid w:val="008404F8"/>
    <w:rsid w:val="0084141B"/>
    <w:rsid w:val="0084144B"/>
    <w:rsid w:val="00841484"/>
    <w:rsid w:val="00841CA4"/>
    <w:rsid w:val="00842B4C"/>
    <w:rsid w:val="00843514"/>
    <w:rsid w:val="008442A2"/>
    <w:rsid w:val="0084586B"/>
    <w:rsid w:val="00846362"/>
    <w:rsid w:val="008463A9"/>
    <w:rsid w:val="0084659A"/>
    <w:rsid w:val="00846F18"/>
    <w:rsid w:val="008473F4"/>
    <w:rsid w:val="00847867"/>
    <w:rsid w:val="008502F6"/>
    <w:rsid w:val="0085045E"/>
    <w:rsid w:val="008516F0"/>
    <w:rsid w:val="0085192D"/>
    <w:rsid w:val="008520BC"/>
    <w:rsid w:val="00852531"/>
    <w:rsid w:val="008536A4"/>
    <w:rsid w:val="008538C1"/>
    <w:rsid w:val="00854AAE"/>
    <w:rsid w:val="008554D9"/>
    <w:rsid w:val="00855D0C"/>
    <w:rsid w:val="00856CDD"/>
    <w:rsid w:val="00857895"/>
    <w:rsid w:val="008579D7"/>
    <w:rsid w:val="00861A04"/>
    <w:rsid w:val="00861B0D"/>
    <w:rsid w:val="00862127"/>
    <w:rsid w:val="00863225"/>
    <w:rsid w:val="0086452C"/>
    <w:rsid w:val="008647E9"/>
    <w:rsid w:val="00871E7A"/>
    <w:rsid w:val="008725F1"/>
    <w:rsid w:val="0087290C"/>
    <w:rsid w:val="00873E76"/>
    <w:rsid w:val="008744BC"/>
    <w:rsid w:val="00874569"/>
    <w:rsid w:val="00874831"/>
    <w:rsid w:val="00876534"/>
    <w:rsid w:val="008774ED"/>
    <w:rsid w:val="008779DA"/>
    <w:rsid w:val="00880360"/>
    <w:rsid w:val="00880E52"/>
    <w:rsid w:val="00881159"/>
    <w:rsid w:val="00881547"/>
    <w:rsid w:val="00881F7F"/>
    <w:rsid w:val="00882129"/>
    <w:rsid w:val="00884EAB"/>
    <w:rsid w:val="008850F0"/>
    <w:rsid w:val="00885B7A"/>
    <w:rsid w:val="00886826"/>
    <w:rsid w:val="00890D89"/>
    <w:rsid w:val="00890E12"/>
    <w:rsid w:val="0089129E"/>
    <w:rsid w:val="0089130A"/>
    <w:rsid w:val="008924C3"/>
    <w:rsid w:val="0089305F"/>
    <w:rsid w:val="00893201"/>
    <w:rsid w:val="00893C88"/>
    <w:rsid w:val="00894B38"/>
    <w:rsid w:val="00895117"/>
    <w:rsid w:val="00896F39"/>
    <w:rsid w:val="00897083"/>
    <w:rsid w:val="008973E0"/>
    <w:rsid w:val="008A0F47"/>
    <w:rsid w:val="008A263E"/>
    <w:rsid w:val="008A269D"/>
    <w:rsid w:val="008A3423"/>
    <w:rsid w:val="008A3562"/>
    <w:rsid w:val="008A3F91"/>
    <w:rsid w:val="008A4EE9"/>
    <w:rsid w:val="008A6513"/>
    <w:rsid w:val="008A747C"/>
    <w:rsid w:val="008B20AE"/>
    <w:rsid w:val="008B2304"/>
    <w:rsid w:val="008B2A44"/>
    <w:rsid w:val="008B3ED4"/>
    <w:rsid w:val="008B3F52"/>
    <w:rsid w:val="008B511B"/>
    <w:rsid w:val="008B659E"/>
    <w:rsid w:val="008B67A6"/>
    <w:rsid w:val="008B697B"/>
    <w:rsid w:val="008B7D83"/>
    <w:rsid w:val="008B7DCB"/>
    <w:rsid w:val="008C0AC1"/>
    <w:rsid w:val="008C15F7"/>
    <w:rsid w:val="008C1C72"/>
    <w:rsid w:val="008C1EA3"/>
    <w:rsid w:val="008C2744"/>
    <w:rsid w:val="008C4145"/>
    <w:rsid w:val="008D0576"/>
    <w:rsid w:val="008D13A5"/>
    <w:rsid w:val="008D184F"/>
    <w:rsid w:val="008D1AF2"/>
    <w:rsid w:val="008D1C93"/>
    <w:rsid w:val="008D259A"/>
    <w:rsid w:val="008D29CF"/>
    <w:rsid w:val="008D43BF"/>
    <w:rsid w:val="008D4BA1"/>
    <w:rsid w:val="008D544B"/>
    <w:rsid w:val="008D66BE"/>
    <w:rsid w:val="008D78D0"/>
    <w:rsid w:val="008D7BDF"/>
    <w:rsid w:val="008D7DBD"/>
    <w:rsid w:val="008E068A"/>
    <w:rsid w:val="008E1216"/>
    <w:rsid w:val="008E1226"/>
    <w:rsid w:val="008E126C"/>
    <w:rsid w:val="008E156C"/>
    <w:rsid w:val="008E1933"/>
    <w:rsid w:val="008E31EB"/>
    <w:rsid w:val="008E38DF"/>
    <w:rsid w:val="008E3D0C"/>
    <w:rsid w:val="008E4562"/>
    <w:rsid w:val="008E4577"/>
    <w:rsid w:val="008E4596"/>
    <w:rsid w:val="008E48C1"/>
    <w:rsid w:val="008E4C14"/>
    <w:rsid w:val="008E5260"/>
    <w:rsid w:val="008E590F"/>
    <w:rsid w:val="008E72D8"/>
    <w:rsid w:val="008F1645"/>
    <w:rsid w:val="008F2A29"/>
    <w:rsid w:val="008F3AB1"/>
    <w:rsid w:val="008F698C"/>
    <w:rsid w:val="008F713D"/>
    <w:rsid w:val="008F72FE"/>
    <w:rsid w:val="008F7660"/>
    <w:rsid w:val="008F78FF"/>
    <w:rsid w:val="008F7CD5"/>
    <w:rsid w:val="009000F9"/>
    <w:rsid w:val="009002E3"/>
    <w:rsid w:val="00900CA2"/>
    <w:rsid w:val="00901A67"/>
    <w:rsid w:val="00901A80"/>
    <w:rsid w:val="00901FE9"/>
    <w:rsid w:val="00902DC9"/>
    <w:rsid w:val="009038C0"/>
    <w:rsid w:val="009042D3"/>
    <w:rsid w:val="00904506"/>
    <w:rsid w:val="0090468E"/>
    <w:rsid w:val="00904B2C"/>
    <w:rsid w:val="0090591F"/>
    <w:rsid w:val="00905C53"/>
    <w:rsid w:val="009061E3"/>
    <w:rsid w:val="009064A9"/>
    <w:rsid w:val="009067FA"/>
    <w:rsid w:val="00912AC3"/>
    <w:rsid w:val="00912DB1"/>
    <w:rsid w:val="0091314E"/>
    <w:rsid w:val="009133EE"/>
    <w:rsid w:val="00913ABC"/>
    <w:rsid w:val="00914FED"/>
    <w:rsid w:val="00915679"/>
    <w:rsid w:val="00915F19"/>
    <w:rsid w:val="00917034"/>
    <w:rsid w:val="0091759E"/>
    <w:rsid w:val="00920254"/>
    <w:rsid w:val="00920291"/>
    <w:rsid w:val="00920553"/>
    <w:rsid w:val="00920A6E"/>
    <w:rsid w:val="00923559"/>
    <w:rsid w:val="00923906"/>
    <w:rsid w:val="009242BD"/>
    <w:rsid w:val="00924A44"/>
    <w:rsid w:val="00925641"/>
    <w:rsid w:val="00925E7D"/>
    <w:rsid w:val="00932248"/>
    <w:rsid w:val="0093256D"/>
    <w:rsid w:val="009330AF"/>
    <w:rsid w:val="009336F7"/>
    <w:rsid w:val="00933FC9"/>
    <w:rsid w:val="00936416"/>
    <w:rsid w:val="0093648B"/>
    <w:rsid w:val="009368A3"/>
    <w:rsid w:val="00937AC6"/>
    <w:rsid w:val="00942464"/>
    <w:rsid w:val="00942CEB"/>
    <w:rsid w:val="009436F3"/>
    <w:rsid w:val="00944AF6"/>
    <w:rsid w:val="00944E52"/>
    <w:rsid w:val="00944FD4"/>
    <w:rsid w:val="0094652D"/>
    <w:rsid w:val="00946789"/>
    <w:rsid w:val="00950658"/>
    <w:rsid w:val="00950D78"/>
    <w:rsid w:val="00951270"/>
    <w:rsid w:val="009522F7"/>
    <w:rsid w:val="00952B5A"/>
    <w:rsid w:val="00952D67"/>
    <w:rsid w:val="0095501D"/>
    <w:rsid w:val="00955D25"/>
    <w:rsid w:val="00957C93"/>
    <w:rsid w:val="00960C6D"/>
    <w:rsid w:val="0096146E"/>
    <w:rsid w:val="0096186F"/>
    <w:rsid w:val="00961911"/>
    <w:rsid w:val="0096214A"/>
    <w:rsid w:val="009652DE"/>
    <w:rsid w:val="009661AF"/>
    <w:rsid w:val="00966438"/>
    <w:rsid w:val="0096697A"/>
    <w:rsid w:val="009674F3"/>
    <w:rsid w:val="009701D3"/>
    <w:rsid w:val="00971CB2"/>
    <w:rsid w:val="0097210A"/>
    <w:rsid w:val="009730C4"/>
    <w:rsid w:val="009734CC"/>
    <w:rsid w:val="00973AB1"/>
    <w:rsid w:val="00973AFA"/>
    <w:rsid w:val="009743E9"/>
    <w:rsid w:val="00974A7C"/>
    <w:rsid w:val="00975FFA"/>
    <w:rsid w:val="00976E06"/>
    <w:rsid w:val="009770C7"/>
    <w:rsid w:val="009804CE"/>
    <w:rsid w:val="00980F0F"/>
    <w:rsid w:val="00982FA9"/>
    <w:rsid w:val="009832D4"/>
    <w:rsid w:val="00983AC8"/>
    <w:rsid w:val="0098463B"/>
    <w:rsid w:val="00984747"/>
    <w:rsid w:val="00985787"/>
    <w:rsid w:val="009868FA"/>
    <w:rsid w:val="00987493"/>
    <w:rsid w:val="009901F7"/>
    <w:rsid w:val="0099048E"/>
    <w:rsid w:val="00991858"/>
    <w:rsid w:val="00992CCF"/>
    <w:rsid w:val="00992D94"/>
    <w:rsid w:val="009937DF"/>
    <w:rsid w:val="00993AF6"/>
    <w:rsid w:val="009945A6"/>
    <w:rsid w:val="00995A22"/>
    <w:rsid w:val="0099751F"/>
    <w:rsid w:val="00997666"/>
    <w:rsid w:val="0099794C"/>
    <w:rsid w:val="009A0538"/>
    <w:rsid w:val="009A15E4"/>
    <w:rsid w:val="009A207B"/>
    <w:rsid w:val="009A2BF2"/>
    <w:rsid w:val="009A2F7B"/>
    <w:rsid w:val="009A3C13"/>
    <w:rsid w:val="009A3EC9"/>
    <w:rsid w:val="009A4430"/>
    <w:rsid w:val="009A5667"/>
    <w:rsid w:val="009A575A"/>
    <w:rsid w:val="009A601E"/>
    <w:rsid w:val="009A6CB4"/>
    <w:rsid w:val="009A7B61"/>
    <w:rsid w:val="009B06B4"/>
    <w:rsid w:val="009B1781"/>
    <w:rsid w:val="009B19EE"/>
    <w:rsid w:val="009B1F6B"/>
    <w:rsid w:val="009B2739"/>
    <w:rsid w:val="009B3A26"/>
    <w:rsid w:val="009B4356"/>
    <w:rsid w:val="009B4744"/>
    <w:rsid w:val="009B4930"/>
    <w:rsid w:val="009B5311"/>
    <w:rsid w:val="009B5D2E"/>
    <w:rsid w:val="009B7294"/>
    <w:rsid w:val="009B72A2"/>
    <w:rsid w:val="009B76B2"/>
    <w:rsid w:val="009C092C"/>
    <w:rsid w:val="009C0F44"/>
    <w:rsid w:val="009C2166"/>
    <w:rsid w:val="009C27A3"/>
    <w:rsid w:val="009C47DA"/>
    <w:rsid w:val="009C5417"/>
    <w:rsid w:val="009C7A11"/>
    <w:rsid w:val="009D07A3"/>
    <w:rsid w:val="009D116B"/>
    <w:rsid w:val="009D1216"/>
    <w:rsid w:val="009D12AF"/>
    <w:rsid w:val="009D176E"/>
    <w:rsid w:val="009D21DE"/>
    <w:rsid w:val="009D2411"/>
    <w:rsid w:val="009D2A3F"/>
    <w:rsid w:val="009D344F"/>
    <w:rsid w:val="009D362B"/>
    <w:rsid w:val="009D61B8"/>
    <w:rsid w:val="009D6333"/>
    <w:rsid w:val="009E0431"/>
    <w:rsid w:val="009E0745"/>
    <w:rsid w:val="009E1C01"/>
    <w:rsid w:val="009E1D12"/>
    <w:rsid w:val="009E2AAF"/>
    <w:rsid w:val="009E33A4"/>
    <w:rsid w:val="009E3C37"/>
    <w:rsid w:val="009E4541"/>
    <w:rsid w:val="009E4B6C"/>
    <w:rsid w:val="009E51A6"/>
    <w:rsid w:val="009E537F"/>
    <w:rsid w:val="009E5523"/>
    <w:rsid w:val="009E5644"/>
    <w:rsid w:val="009E6686"/>
    <w:rsid w:val="009E6E99"/>
    <w:rsid w:val="009E7189"/>
    <w:rsid w:val="009F0CE0"/>
    <w:rsid w:val="009F1618"/>
    <w:rsid w:val="009F2432"/>
    <w:rsid w:val="009F24DA"/>
    <w:rsid w:val="009F3DB4"/>
    <w:rsid w:val="009F4494"/>
    <w:rsid w:val="009F587B"/>
    <w:rsid w:val="009F5DDF"/>
    <w:rsid w:val="009F64F0"/>
    <w:rsid w:val="009F6CD3"/>
    <w:rsid w:val="009F7413"/>
    <w:rsid w:val="009F7AD9"/>
    <w:rsid w:val="009F7D4C"/>
    <w:rsid w:val="00A00766"/>
    <w:rsid w:val="00A00D27"/>
    <w:rsid w:val="00A01A0A"/>
    <w:rsid w:val="00A01F8E"/>
    <w:rsid w:val="00A02B81"/>
    <w:rsid w:val="00A035B0"/>
    <w:rsid w:val="00A036E6"/>
    <w:rsid w:val="00A040D1"/>
    <w:rsid w:val="00A0439F"/>
    <w:rsid w:val="00A050BF"/>
    <w:rsid w:val="00A07250"/>
    <w:rsid w:val="00A07829"/>
    <w:rsid w:val="00A07EC2"/>
    <w:rsid w:val="00A10644"/>
    <w:rsid w:val="00A10A8E"/>
    <w:rsid w:val="00A1326B"/>
    <w:rsid w:val="00A13515"/>
    <w:rsid w:val="00A13AEE"/>
    <w:rsid w:val="00A1402F"/>
    <w:rsid w:val="00A149DE"/>
    <w:rsid w:val="00A158D6"/>
    <w:rsid w:val="00A16563"/>
    <w:rsid w:val="00A16A1D"/>
    <w:rsid w:val="00A20659"/>
    <w:rsid w:val="00A2157A"/>
    <w:rsid w:val="00A21765"/>
    <w:rsid w:val="00A21EA6"/>
    <w:rsid w:val="00A23273"/>
    <w:rsid w:val="00A23363"/>
    <w:rsid w:val="00A24C08"/>
    <w:rsid w:val="00A26736"/>
    <w:rsid w:val="00A26C72"/>
    <w:rsid w:val="00A26E3A"/>
    <w:rsid w:val="00A278AC"/>
    <w:rsid w:val="00A27F23"/>
    <w:rsid w:val="00A27F8A"/>
    <w:rsid w:val="00A306F5"/>
    <w:rsid w:val="00A30757"/>
    <w:rsid w:val="00A307E3"/>
    <w:rsid w:val="00A30FC4"/>
    <w:rsid w:val="00A31A54"/>
    <w:rsid w:val="00A32024"/>
    <w:rsid w:val="00A32625"/>
    <w:rsid w:val="00A32E12"/>
    <w:rsid w:val="00A33421"/>
    <w:rsid w:val="00A336D1"/>
    <w:rsid w:val="00A341F7"/>
    <w:rsid w:val="00A345CE"/>
    <w:rsid w:val="00A3521A"/>
    <w:rsid w:val="00A352BA"/>
    <w:rsid w:val="00A35698"/>
    <w:rsid w:val="00A3588D"/>
    <w:rsid w:val="00A35BF9"/>
    <w:rsid w:val="00A374E6"/>
    <w:rsid w:val="00A37E9F"/>
    <w:rsid w:val="00A41983"/>
    <w:rsid w:val="00A42324"/>
    <w:rsid w:val="00A424B3"/>
    <w:rsid w:val="00A426BD"/>
    <w:rsid w:val="00A42A74"/>
    <w:rsid w:val="00A42AB4"/>
    <w:rsid w:val="00A43B22"/>
    <w:rsid w:val="00A441ED"/>
    <w:rsid w:val="00A443A8"/>
    <w:rsid w:val="00A445A2"/>
    <w:rsid w:val="00A44D99"/>
    <w:rsid w:val="00A45339"/>
    <w:rsid w:val="00A4619F"/>
    <w:rsid w:val="00A47713"/>
    <w:rsid w:val="00A50AAB"/>
    <w:rsid w:val="00A528E0"/>
    <w:rsid w:val="00A5382E"/>
    <w:rsid w:val="00A54213"/>
    <w:rsid w:val="00A55C4F"/>
    <w:rsid w:val="00A5646A"/>
    <w:rsid w:val="00A565CE"/>
    <w:rsid w:val="00A56708"/>
    <w:rsid w:val="00A569C6"/>
    <w:rsid w:val="00A5702D"/>
    <w:rsid w:val="00A5729A"/>
    <w:rsid w:val="00A57623"/>
    <w:rsid w:val="00A57FE0"/>
    <w:rsid w:val="00A613A2"/>
    <w:rsid w:val="00A616DC"/>
    <w:rsid w:val="00A618B6"/>
    <w:rsid w:val="00A62429"/>
    <w:rsid w:val="00A624CF"/>
    <w:rsid w:val="00A6333B"/>
    <w:rsid w:val="00A633AF"/>
    <w:rsid w:val="00A6356C"/>
    <w:rsid w:val="00A65C84"/>
    <w:rsid w:val="00A65EE3"/>
    <w:rsid w:val="00A667D1"/>
    <w:rsid w:val="00A671A7"/>
    <w:rsid w:val="00A67306"/>
    <w:rsid w:val="00A700DA"/>
    <w:rsid w:val="00A709C3"/>
    <w:rsid w:val="00A70C3F"/>
    <w:rsid w:val="00A71691"/>
    <w:rsid w:val="00A716C4"/>
    <w:rsid w:val="00A734DA"/>
    <w:rsid w:val="00A73D6C"/>
    <w:rsid w:val="00A75E16"/>
    <w:rsid w:val="00A76A54"/>
    <w:rsid w:val="00A773AE"/>
    <w:rsid w:val="00A77BB5"/>
    <w:rsid w:val="00A804B6"/>
    <w:rsid w:val="00A81567"/>
    <w:rsid w:val="00A81A33"/>
    <w:rsid w:val="00A8221B"/>
    <w:rsid w:val="00A83B6F"/>
    <w:rsid w:val="00A84233"/>
    <w:rsid w:val="00A842A3"/>
    <w:rsid w:val="00A8547B"/>
    <w:rsid w:val="00A85692"/>
    <w:rsid w:val="00A85DEE"/>
    <w:rsid w:val="00A86F2A"/>
    <w:rsid w:val="00A86FAA"/>
    <w:rsid w:val="00A87440"/>
    <w:rsid w:val="00A901C6"/>
    <w:rsid w:val="00A901D4"/>
    <w:rsid w:val="00A90B66"/>
    <w:rsid w:val="00A91015"/>
    <w:rsid w:val="00A91642"/>
    <w:rsid w:val="00A92979"/>
    <w:rsid w:val="00A932DA"/>
    <w:rsid w:val="00A94679"/>
    <w:rsid w:val="00A946E7"/>
    <w:rsid w:val="00A94822"/>
    <w:rsid w:val="00A95371"/>
    <w:rsid w:val="00A954F6"/>
    <w:rsid w:val="00A95FDB"/>
    <w:rsid w:val="00A95FEE"/>
    <w:rsid w:val="00A96DFF"/>
    <w:rsid w:val="00A9770B"/>
    <w:rsid w:val="00AA06FC"/>
    <w:rsid w:val="00AA1CAE"/>
    <w:rsid w:val="00AA2558"/>
    <w:rsid w:val="00AA2DA3"/>
    <w:rsid w:val="00AA38CD"/>
    <w:rsid w:val="00AA3AEC"/>
    <w:rsid w:val="00AA3E79"/>
    <w:rsid w:val="00AA4054"/>
    <w:rsid w:val="00AA5181"/>
    <w:rsid w:val="00AA5E39"/>
    <w:rsid w:val="00AA5F8F"/>
    <w:rsid w:val="00AA6025"/>
    <w:rsid w:val="00AA6AF7"/>
    <w:rsid w:val="00AB0288"/>
    <w:rsid w:val="00AB0D01"/>
    <w:rsid w:val="00AB0DF9"/>
    <w:rsid w:val="00AB1060"/>
    <w:rsid w:val="00AB1D66"/>
    <w:rsid w:val="00AB2112"/>
    <w:rsid w:val="00AB2B66"/>
    <w:rsid w:val="00AB4971"/>
    <w:rsid w:val="00AB520C"/>
    <w:rsid w:val="00AB5AF7"/>
    <w:rsid w:val="00AB5D72"/>
    <w:rsid w:val="00AB5E0D"/>
    <w:rsid w:val="00AC0BC1"/>
    <w:rsid w:val="00AC1642"/>
    <w:rsid w:val="00AC1AB3"/>
    <w:rsid w:val="00AC220D"/>
    <w:rsid w:val="00AC2EAF"/>
    <w:rsid w:val="00AC3857"/>
    <w:rsid w:val="00AC4187"/>
    <w:rsid w:val="00AC554F"/>
    <w:rsid w:val="00AC5848"/>
    <w:rsid w:val="00AC6487"/>
    <w:rsid w:val="00AC66E8"/>
    <w:rsid w:val="00AC69AA"/>
    <w:rsid w:val="00AC6D50"/>
    <w:rsid w:val="00AC78AF"/>
    <w:rsid w:val="00AC7E1D"/>
    <w:rsid w:val="00AD00E7"/>
    <w:rsid w:val="00AD0CC7"/>
    <w:rsid w:val="00AD1977"/>
    <w:rsid w:val="00AD3370"/>
    <w:rsid w:val="00AD372F"/>
    <w:rsid w:val="00AD3E4A"/>
    <w:rsid w:val="00AD559F"/>
    <w:rsid w:val="00AD5DFF"/>
    <w:rsid w:val="00AD64C1"/>
    <w:rsid w:val="00AD6562"/>
    <w:rsid w:val="00AD689B"/>
    <w:rsid w:val="00AD772A"/>
    <w:rsid w:val="00AD78AF"/>
    <w:rsid w:val="00AE168C"/>
    <w:rsid w:val="00AE2248"/>
    <w:rsid w:val="00AE252C"/>
    <w:rsid w:val="00AE38E9"/>
    <w:rsid w:val="00AE3A79"/>
    <w:rsid w:val="00AE3F61"/>
    <w:rsid w:val="00AE4077"/>
    <w:rsid w:val="00AE4250"/>
    <w:rsid w:val="00AE55B6"/>
    <w:rsid w:val="00AE5834"/>
    <w:rsid w:val="00AE6590"/>
    <w:rsid w:val="00AE7540"/>
    <w:rsid w:val="00AE7658"/>
    <w:rsid w:val="00AE7AE6"/>
    <w:rsid w:val="00AF0822"/>
    <w:rsid w:val="00AF1C69"/>
    <w:rsid w:val="00AF26B9"/>
    <w:rsid w:val="00AF27EE"/>
    <w:rsid w:val="00AF2B40"/>
    <w:rsid w:val="00AF3A9E"/>
    <w:rsid w:val="00AF40B8"/>
    <w:rsid w:val="00AF4254"/>
    <w:rsid w:val="00AF4DF0"/>
    <w:rsid w:val="00AF5035"/>
    <w:rsid w:val="00AF762B"/>
    <w:rsid w:val="00B02A0E"/>
    <w:rsid w:val="00B03219"/>
    <w:rsid w:val="00B0372D"/>
    <w:rsid w:val="00B03CA3"/>
    <w:rsid w:val="00B047B7"/>
    <w:rsid w:val="00B0493C"/>
    <w:rsid w:val="00B04A6E"/>
    <w:rsid w:val="00B05664"/>
    <w:rsid w:val="00B05E3B"/>
    <w:rsid w:val="00B0640F"/>
    <w:rsid w:val="00B06891"/>
    <w:rsid w:val="00B07EB5"/>
    <w:rsid w:val="00B10451"/>
    <w:rsid w:val="00B111F8"/>
    <w:rsid w:val="00B11F36"/>
    <w:rsid w:val="00B1378C"/>
    <w:rsid w:val="00B13BF0"/>
    <w:rsid w:val="00B15F07"/>
    <w:rsid w:val="00B15F7B"/>
    <w:rsid w:val="00B17B35"/>
    <w:rsid w:val="00B22B38"/>
    <w:rsid w:val="00B23B8B"/>
    <w:rsid w:val="00B24410"/>
    <w:rsid w:val="00B262DC"/>
    <w:rsid w:val="00B26B8A"/>
    <w:rsid w:val="00B30018"/>
    <w:rsid w:val="00B30075"/>
    <w:rsid w:val="00B3077A"/>
    <w:rsid w:val="00B30A0D"/>
    <w:rsid w:val="00B30B65"/>
    <w:rsid w:val="00B32006"/>
    <w:rsid w:val="00B328D1"/>
    <w:rsid w:val="00B332E7"/>
    <w:rsid w:val="00B339E0"/>
    <w:rsid w:val="00B34B16"/>
    <w:rsid w:val="00B351F2"/>
    <w:rsid w:val="00B35350"/>
    <w:rsid w:val="00B3550D"/>
    <w:rsid w:val="00B359D2"/>
    <w:rsid w:val="00B37CEF"/>
    <w:rsid w:val="00B40009"/>
    <w:rsid w:val="00B41344"/>
    <w:rsid w:val="00B41A40"/>
    <w:rsid w:val="00B41E78"/>
    <w:rsid w:val="00B42564"/>
    <w:rsid w:val="00B436EF"/>
    <w:rsid w:val="00B44453"/>
    <w:rsid w:val="00B45566"/>
    <w:rsid w:val="00B45C82"/>
    <w:rsid w:val="00B5014D"/>
    <w:rsid w:val="00B50D1B"/>
    <w:rsid w:val="00B5279A"/>
    <w:rsid w:val="00B52F3C"/>
    <w:rsid w:val="00B5302A"/>
    <w:rsid w:val="00B53357"/>
    <w:rsid w:val="00B55B22"/>
    <w:rsid w:val="00B5608B"/>
    <w:rsid w:val="00B570BE"/>
    <w:rsid w:val="00B57E44"/>
    <w:rsid w:val="00B61BB2"/>
    <w:rsid w:val="00B62E74"/>
    <w:rsid w:val="00B62EB1"/>
    <w:rsid w:val="00B62F75"/>
    <w:rsid w:val="00B632C7"/>
    <w:rsid w:val="00B63999"/>
    <w:rsid w:val="00B64021"/>
    <w:rsid w:val="00B643A3"/>
    <w:rsid w:val="00B64D0D"/>
    <w:rsid w:val="00B65055"/>
    <w:rsid w:val="00B666B0"/>
    <w:rsid w:val="00B70947"/>
    <w:rsid w:val="00B70B28"/>
    <w:rsid w:val="00B7151B"/>
    <w:rsid w:val="00B716AC"/>
    <w:rsid w:val="00B7228A"/>
    <w:rsid w:val="00B72523"/>
    <w:rsid w:val="00B7281E"/>
    <w:rsid w:val="00B72C63"/>
    <w:rsid w:val="00B73971"/>
    <w:rsid w:val="00B73E1A"/>
    <w:rsid w:val="00B74ED4"/>
    <w:rsid w:val="00B77ADB"/>
    <w:rsid w:val="00B77F54"/>
    <w:rsid w:val="00B82438"/>
    <w:rsid w:val="00B83843"/>
    <w:rsid w:val="00B84792"/>
    <w:rsid w:val="00B85125"/>
    <w:rsid w:val="00B853E1"/>
    <w:rsid w:val="00B8544C"/>
    <w:rsid w:val="00B85AB0"/>
    <w:rsid w:val="00B85EC0"/>
    <w:rsid w:val="00B86070"/>
    <w:rsid w:val="00B861D7"/>
    <w:rsid w:val="00B86F19"/>
    <w:rsid w:val="00B8798F"/>
    <w:rsid w:val="00B9339F"/>
    <w:rsid w:val="00B93A76"/>
    <w:rsid w:val="00B93C6D"/>
    <w:rsid w:val="00B946F6"/>
    <w:rsid w:val="00B94843"/>
    <w:rsid w:val="00B95A0B"/>
    <w:rsid w:val="00B95A1F"/>
    <w:rsid w:val="00B95F54"/>
    <w:rsid w:val="00B96AAE"/>
    <w:rsid w:val="00B96B2B"/>
    <w:rsid w:val="00B971C5"/>
    <w:rsid w:val="00B97A75"/>
    <w:rsid w:val="00B97D4C"/>
    <w:rsid w:val="00BA0420"/>
    <w:rsid w:val="00BA0C12"/>
    <w:rsid w:val="00BA1287"/>
    <w:rsid w:val="00BA14E4"/>
    <w:rsid w:val="00BA1A38"/>
    <w:rsid w:val="00BA21E9"/>
    <w:rsid w:val="00BA27A7"/>
    <w:rsid w:val="00BA291F"/>
    <w:rsid w:val="00BA336E"/>
    <w:rsid w:val="00BA451B"/>
    <w:rsid w:val="00BA51AB"/>
    <w:rsid w:val="00BA589E"/>
    <w:rsid w:val="00BA5B85"/>
    <w:rsid w:val="00BA688B"/>
    <w:rsid w:val="00BA78A8"/>
    <w:rsid w:val="00BB04C9"/>
    <w:rsid w:val="00BB1717"/>
    <w:rsid w:val="00BB248D"/>
    <w:rsid w:val="00BB3210"/>
    <w:rsid w:val="00BB350E"/>
    <w:rsid w:val="00BB367A"/>
    <w:rsid w:val="00BB462F"/>
    <w:rsid w:val="00BB4AC1"/>
    <w:rsid w:val="00BB4DD7"/>
    <w:rsid w:val="00BB65F1"/>
    <w:rsid w:val="00BB66AA"/>
    <w:rsid w:val="00BB70B9"/>
    <w:rsid w:val="00BB7740"/>
    <w:rsid w:val="00BC2B31"/>
    <w:rsid w:val="00BC3BD2"/>
    <w:rsid w:val="00BC480D"/>
    <w:rsid w:val="00BC491E"/>
    <w:rsid w:val="00BC50A6"/>
    <w:rsid w:val="00BC5590"/>
    <w:rsid w:val="00BC6712"/>
    <w:rsid w:val="00BC715A"/>
    <w:rsid w:val="00BC7877"/>
    <w:rsid w:val="00BD0ED5"/>
    <w:rsid w:val="00BD1197"/>
    <w:rsid w:val="00BD16F5"/>
    <w:rsid w:val="00BD1C70"/>
    <w:rsid w:val="00BD26CC"/>
    <w:rsid w:val="00BD2D12"/>
    <w:rsid w:val="00BD3A5F"/>
    <w:rsid w:val="00BD474A"/>
    <w:rsid w:val="00BD4CA0"/>
    <w:rsid w:val="00BD57AF"/>
    <w:rsid w:val="00BD58D5"/>
    <w:rsid w:val="00BD5EDF"/>
    <w:rsid w:val="00BD5FC2"/>
    <w:rsid w:val="00BD651A"/>
    <w:rsid w:val="00BD6991"/>
    <w:rsid w:val="00BD6A08"/>
    <w:rsid w:val="00BD73F0"/>
    <w:rsid w:val="00BD7442"/>
    <w:rsid w:val="00BD7C3B"/>
    <w:rsid w:val="00BE1ADB"/>
    <w:rsid w:val="00BE1F53"/>
    <w:rsid w:val="00BE3FBF"/>
    <w:rsid w:val="00BE4B59"/>
    <w:rsid w:val="00BE6036"/>
    <w:rsid w:val="00BE6420"/>
    <w:rsid w:val="00BF0443"/>
    <w:rsid w:val="00BF0448"/>
    <w:rsid w:val="00BF294A"/>
    <w:rsid w:val="00BF2B1E"/>
    <w:rsid w:val="00BF44A1"/>
    <w:rsid w:val="00BF4775"/>
    <w:rsid w:val="00BF5C6E"/>
    <w:rsid w:val="00BF5F5D"/>
    <w:rsid w:val="00BF767E"/>
    <w:rsid w:val="00C005D1"/>
    <w:rsid w:val="00C00666"/>
    <w:rsid w:val="00C00B09"/>
    <w:rsid w:val="00C00C3C"/>
    <w:rsid w:val="00C00EA2"/>
    <w:rsid w:val="00C0129F"/>
    <w:rsid w:val="00C01830"/>
    <w:rsid w:val="00C0249B"/>
    <w:rsid w:val="00C02C6B"/>
    <w:rsid w:val="00C02CC6"/>
    <w:rsid w:val="00C0319F"/>
    <w:rsid w:val="00C0410A"/>
    <w:rsid w:val="00C0492D"/>
    <w:rsid w:val="00C05025"/>
    <w:rsid w:val="00C056C4"/>
    <w:rsid w:val="00C06198"/>
    <w:rsid w:val="00C102C8"/>
    <w:rsid w:val="00C10341"/>
    <w:rsid w:val="00C10A16"/>
    <w:rsid w:val="00C10F72"/>
    <w:rsid w:val="00C11F42"/>
    <w:rsid w:val="00C12B2A"/>
    <w:rsid w:val="00C13061"/>
    <w:rsid w:val="00C13A55"/>
    <w:rsid w:val="00C13A7A"/>
    <w:rsid w:val="00C13D96"/>
    <w:rsid w:val="00C14160"/>
    <w:rsid w:val="00C14680"/>
    <w:rsid w:val="00C146E4"/>
    <w:rsid w:val="00C16505"/>
    <w:rsid w:val="00C17E96"/>
    <w:rsid w:val="00C200AB"/>
    <w:rsid w:val="00C2074D"/>
    <w:rsid w:val="00C20CDA"/>
    <w:rsid w:val="00C21899"/>
    <w:rsid w:val="00C220D0"/>
    <w:rsid w:val="00C22F30"/>
    <w:rsid w:val="00C230A1"/>
    <w:rsid w:val="00C23188"/>
    <w:rsid w:val="00C24F37"/>
    <w:rsid w:val="00C2507E"/>
    <w:rsid w:val="00C30E8D"/>
    <w:rsid w:val="00C310DE"/>
    <w:rsid w:val="00C31E1C"/>
    <w:rsid w:val="00C3294D"/>
    <w:rsid w:val="00C362D7"/>
    <w:rsid w:val="00C36A1B"/>
    <w:rsid w:val="00C40B55"/>
    <w:rsid w:val="00C414B7"/>
    <w:rsid w:val="00C42280"/>
    <w:rsid w:val="00C42E55"/>
    <w:rsid w:val="00C4329F"/>
    <w:rsid w:val="00C43484"/>
    <w:rsid w:val="00C43CB0"/>
    <w:rsid w:val="00C43E3A"/>
    <w:rsid w:val="00C43EC9"/>
    <w:rsid w:val="00C4414C"/>
    <w:rsid w:val="00C46220"/>
    <w:rsid w:val="00C500B5"/>
    <w:rsid w:val="00C5062B"/>
    <w:rsid w:val="00C52B86"/>
    <w:rsid w:val="00C537E4"/>
    <w:rsid w:val="00C53BDF"/>
    <w:rsid w:val="00C542E3"/>
    <w:rsid w:val="00C552C8"/>
    <w:rsid w:val="00C55944"/>
    <w:rsid w:val="00C55FAD"/>
    <w:rsid w:val="00C56656"/>
    <w:rsid w:val="00C56911"/>
    <w:rsid w:val="00C602F2"/>
    <w:rsid w:val="00C60C3E"/>
    <w:rsid w:val="00C60C90"/>
    <w:rsid w:val="00C62CF5"/>
    <w:rsid w:val="00C633CE"/>
    <w:rsid w:val="00C64A64"/>
    <w:rsid w:val="00C65816"/>
    <w:rsid w:val="00C65C4E"/>
    <w:rsid w:val="00C65D0C"/>
    <w:rsid w:val="00C66790"/>
    <w:rsid w:val="00C71060"/>
    <w:rsid w:val="00C711B6"/>
    <w:rsid w:val="00C730AD"/>
    <w:rsid w:val="00C74338"/>
    <w:rsid w:val="00C74479"/>
    <w:rsid w:val="00C74CF8"/>
    <w:rsid w:val="00C7516D"/>
    <w:rsid w:val="00C75A24"/>
    <w:rsid w:val="00C76618"/>
    <w:rsid w:val="00C76AD8"/>
    <w:rsid w:val="00C76D0B"/>
    <w:rsid w:val="00C76D15"/>
    <w:rsid w:val="00C770B1"/>
    <w:rsid w:val="00C7760F"/>
    <w:rsid w:val="00C77C6E"/>
    <w:rsid w:val="00C80948"/>
    <w:rsid w:val="00C80D4E"/>
    <w:rsid w:val="00C82935"/>
    <w:rsid w:val="00C8302E"/>
    <w:rsid w:val="00C83F2E"/>
    <w:rsid w:val="00C86043"/>
    <w:rsid w:val="00C86A81"/>
    <w:rsid w:val="00C86CDC"/>
    <w:rsid w:val="00C87301"/>
    <w:rsid w:val="00C912A9"/>
    <w:rsid w:val="00C92B23"/>
    <w:rsid w:val="00C92FB9"/>
    <w:rsid w:val="00C93E32"/>
    <w:rsid w:val="00C93F42"/>
    <w:rsid w:val="00C95785"/>
    <w:rsid w:val="00C96513"/>
    <w:rsid w:val="00C96BF6"/>
    <w:rsid w:val="00CA054E"/>
    <w:rsid w:val="00CA24F6"/>
    <w:rsid w:val="00CA2CB3"/>
    <w:rsid w:val="00CA2FED"/>
    <w:rsid w:val="00CA3837"/>
    <w:rsid w:val="00CA39E4"/>
    <w:rsid w:val="00CA41F7"/>
    <w:rsid w:val="00CB00F7"/>
    <w:rsid w:val="00CB07B0"/>
    <w:rsid w:val="00CB16B0"/>
    <w:rsid w:val="00CB2136"/>
    <w:rsid w:val="00CB2173"/>
    <w:rsid w:val="00CB26DC"/>
    <w:rsid w:val="00CB29B5"/>
    <w:rsid w:val="00CB3C44"/>
    <w:rsid w:val="00CB3E01"/>
    <w:rsid w:val="00CB4602"/>
    <w:rsid w:val="00CB520E"/>
    <w:rsid w:val="00CB59D2"/>
    <w:rsid w:val="00CB5E9E"/>
    <w:rsid w:val="00CB64FC"/>
    <w:rsid w:val="00CB6B95"/>
    <w:rsid w:val="00CC0A5B"/>
    <w:rsid w:val="00CC0AE8"/>
    <w:rsid w:val="00CC2CC9"/>
    <w:rsid w:val="00CC2F72"/>
    <w:rsid w:val="00CC3038"/>
    <w:rsid w:val="00CC4060"/>
    <w:rsid w:val="00CC4756"/>
    <w:rsid w:val="00CC4E4A"/>
    <w:rsid w:val="00CC5092"/>
    <w:rsid w:val="00CC6017"/>
    <w:rsid w:val="00CC60A2"/>
    <w:rsid w:val="00CC6EBB"/>
    <w:rsid w:val="00CD09AF"/>
    <w:rsid w:val="00CD0F75"/>
    <w:rsid w:val="00CD11AB"/>
    <w:rsid w:val="00CD1B6D"/>
    <w:rsid w:val="00CD1E8A"/>
    <w:rsid w:val="00CD1ECC"/>
    <w:rsid w:val="00CD5147"/>
    <w:rsid w:val="00CD5291"/>
    <w:rsid w:val="00CD5C39"/>
    <w:rsid w:val="00CD680D"/>
    <w:rsid w:val="00CE03BA"/>
    <w:rsid w:val="00CE077E"/>
    <w:rsid w:val="00CE081C"/>
    <w:rsid w:val="00CE23B2"/>
    <w:rsid w:val="00CE32AC"/>
    <w:rsid w:val="00CE3467"/>
    <w:rsid w:val="00CE473A"/>
    <w:rsid w:val="00CE48EC"/>
    <w:rsid w:val="00CE4E32"/>
    <w:rsid w:val="00CE4FAF"/>
    <w:rsid w:val="00CE6B4B"/>
    <w:rsid w:val="00CE7C4F"/>
    <w:rsid w:val="00CE7C58"/>
    <w:rsid w:val="00CF1E44"/>
    <w:rsid w:val="00CF28F7"/>
    <w:rsid w:val="00CF3854"/>
    <w:rsid w:val="00CF53A1"/>
    <w:rsid w:val="00CF5425"/>
    <w:rsid w:val="00CF5B75"/>
    <w:rsid w:val="00CF5E43"/>
    <w:rsid w:val="00CF5EF3"/>
    <w:rsid w:val="00D01851"/>
    <w:rsid w:val="00D01AAA"/>
    <w:rsid w:val="00D01EB4"/>
    <w:rsid w:val="00D02AD7"/>
    <w:rsid w:val="00D03044"/>
    <w:rsid w:val="00D039B1"/>
    <w:rsid w:val="00D0467A"/>
    <w:rsid w:val="00D04E62"/>
    <w:rsid w:val="00D05C14"/>
    <w:rsid w:val="00D100D8"/>
    <w:rsid w:val="00D104B5"/>
    <w:rsid w:val="00D1055C"/>
    <w:rsid w:val="00D109A0"/>
    <w:rsid w:val="00D121F8"/>
    <w:rsid w:val="00D12A6C"/>
    <w:rsid w:val="00D12CBE"/>
    <w:rsid w:val="00D13CEB"/>
    <w:rsid w:val="00D13EF7"/>
    <w:rsid w:val="00D150C0"/>
    <w:rsid w:val="00D1517F"/>
    <w:rsid w:val="00D15AD1"/>
    <w:rsid w:val="00D166BA"/>
    <w:rsid w:val="00D1694C"/>
    <w:rsid w:val="00D16D74"/>
    <w:rsid w:val="00D179E7"/>
    <w:rsid w:val="00D201E0"/>
    <w:rsid w:val="00D21795"/>
    <w:rsid w:val="00D22130"/>
    <w:rsid w:val="00D224E6"/>
    <w:rsid w:val="00D22F62"/>
    <w:rsid w:val="00D23A7D"/>
    <w:rsid w:val="00D24286"/>
    <w:rsid w:val="00D2498A"/>
    <w:rsid w:val="00D24B52"/>
    <w:rsid w:val="00D24CA2"/>
    <w:rsid w:val="00D24E1B"/>
    <w:rsid w:val="00D253B7"/>
    <w:rsid w:val="00D26D8E"/>
    <w:rsid w:val="00D26E62"/>
    <w:rsid w:val="00D308A6"/>
    <w:rsid w:val="00D31554"/>
    <w:rsid w:val="00D315BD"/>
    <w:rsid w:val="00D32597"/>
    <w:rsid w:val="00D33375"/>
    <w:rsid w:val="00D3364A"/>
    <w:rsid w:val="00D3382C"/>
    <w:rsid w:val="00D33A92"/>
    <w:rsid w:val="00D340E2"/>
    <w:rsid w:val="00D3461C"/>
    <w:rsid w:val="00D35964"/>
    <w:rsid w:val="00D36BF3"/>
    <w:rsid w:val="00D371E9"/>
    <w:rsid w:val="00D376C6"/>
    <w:rsid w:val="00D37DE2"/>
    <w:rsid w:val="00D409F3"/>
    <w:rsid w:val="00D412FB"/>
    <w:rsid w:val="00D41745"/>
    <w:rsid w:val="00D41869"/>
    <w:rsid w:val="00D41F94"/>
    <w:rsid w:val="00D431F4"/>
    <w:rsid w:val="00D43823"/>
    <w:rsid w:val="00D43E00"/>
    <w:rsid w:val="00D441AC"/>
    <w:rsid w:val="00D44771"/>
    <w:rsid w:val="00D44D4D"/>
    <w:rsid w:val="00D44EED"/>
    <w:rsid w:val="00D4545E"/>
    <w:rsid w:val="00D45B02"/>
    <w:rsid w:val="00D46136"/>
    <w:rsid w:val="00D474B0"/>
    <w:rsid w:val="00D47DA2"/>
    <w:rsid w:val="00D5116B"/>
    <w:rsid w:val="00D51516"/>
    <w:rsid w:val="00D5214F"/>
    <w:rsid w:val="00D53477"/>
    <w:rsid w:val="00D53DF2"/>
    <w:rsid w:val="00D54423"/>
    <w:rsid w:val="00D54D27"/>
    <w:rsid w:val="00D54DD0"/>
    <w:rsid w:val="00D5597C"/>
    <w:rsid w:val="00D55FEE"/>
    <w:rsid w:val="00D568B7"/>
    <w:rsid w:val="00D5755C"/>
    <w:rsid w:val="00D60925"/>
    <w:rsid w:val="00D61B07"/>
    <w:rsid w:val="00D62125"/>
    <w:rsid w:val="00D62254"/>
    <w:rsid w:val="00D62464"/>
    <w:rsid w:val="00D6451F"/>
    <w:rsid w:val="00D65FF6"/>
    <w:rsid w:val="00D6609F"/>
    <w:rsid w:val="00D727E6"/>
    <w:rsid w:val="00D73677"/>
    <w:rsid w:val="00D74064"/>
    <w:rsid w:val="00D7598A"/>
    <w:rsid w:val="00D75CF4"/>
    <w:rsid w:val="00D77D58"/>
    <w:rsid w:val="00D8031A"/>
    <w:rsid w:val="00D811F7"/>
    <w:rsid w:val="00D8177A"/>
    <w:rsid w:val="00D82CDC"/>
    <w:rsid w:val="00D84E9D"/>
    <w:rsid w:val="00D8526B"/>
    <w:rsid w:val="00D856E7"/>
    <w:rsid w:val="00D861D0"/>
    <w:rsid w:val="00D869B6"/>
    <w:rsid w:val="00D8748E"/>
    <w:rsid w:val="00D91A15"/>
    <w:rsid w:val="00D91B8D"/>
    <w:rsid w:val="00D91F52"/>
    <w:rsid w:val="00D9252E"/>
    <w:rsid w:val="00D94A30"/>
    <w:rsid w:val="00D95A52"/>
    <w:rsid w:val="00D95DDA"/>
    <w:rsid w:val="00DA0193"/>
    <w:rsid w:val="00DA038B"/>
    <w:rsid w:val="00DA04D2"/>
    <w:rsid w:val="00DA053B"/>
    <w:rsid w:val="00DA1F08"/>
    <w:rsid w:val="00DA2355"/>
    <w:rsid w:val="00DA26B9"/>
    <w:rsid w:val="00DA2B38"/>
    <w:rsid w:val="00DA2BC6"/>
    <w:rsid w:val="00DA2F47"/>
    <w:rsid w:val="00DA4305"/>
    <w:rsid w:val="00DA72C1"/>
    <w:rsid w:val="00DA7602"/>
    <w:rsid w:val="00DB07B7"/>
    <w:rsid w:val="00DB0C2E"/>
    <w:rsid w:val="00DB12CC"/>
    <w:rsid w:val="00DB1CE2"/>
    <w:rsid w:val="00DB373B"/>
    <w:rsid w:val="00DB3E28"/>
    <w:rsid w:val="00DB4AB9"/>
    <w:rsid w:val="00DB5300"/>
    <w:rsid w:val="00DB575D"/>
    <w:rsid w:val="00DB5F3B"/>
    <w:rsid w:val="00DB65ED"/>
    <w:rsid w:val="00DB6A9E"/>
    <w:rsid w:val="00DB6BC1"/>
    <w:rsid w:val="00DB74E8"/>
    <w:rsid w:val="00DB79D9"/>
    <w:rsid w:val="00DC031C"/>
    <w:rsid w:val="00DC2F79"/>
    <w:rsid w:val="00DC3104"/>
    <w:rsid w:val="00DC3AD7"/>
    <w:rsid w:val="00DC3CDA"/>
    <w:rsid w:val="00DC3D1D"/>
    <w:rsid w:val="00DC5669"/>
    <w:rsid w:val="00DC61DE"/>
    <w:rsid w:val="00DC6D14"/>
    <w:rsid w:val="00DC7BAC"/>
    <w:rsid w:val="00DD13D4"/>
    <w:rsid w:val="00DD1466"/>
    <w:rsid w:val="00DD1EDD"/>
    <w:rsid w:val="00DD2415"/>
    <w:rsid w:val="00DD2C7B"/>
    <w:rsid w:val="00DD3262"/>
    <w:rsid w:val="00DD36C4"/>
    <w:rsid w:val="00DD425A"/>
    <w:rsid w:val="00DD440D"/>
    <w:rsid w:val="00DD51FB"/>
    <w:rsid w:val="00DD67A7"/>
    <w:rsid w:val="00DD6A09"/>
    <w:rsid w:val="00DD6E61"/>
    <w:rsid w:val="00DD7122"/>
    <w:rsid w:val="00DD75DC"/>
    <w:rsid w:val="00DD7FE2"/>
    <w:rsid w:val="00DE0AEE"/>
    <w:rsid w:val="00DE2164"/>
    <w:rsid w:val="00DE2D5B"/>
    <w:rsid w:val="00DE3657"/>
    <w:rsid w:val="00DE39AC"/>
    <w:rsid w:val="00DE3FBE"/>
    <w:rsid w:val="00DE5A20"/>
    <w:rsid w:val="00DE5A8E"/>
    <w:rsid w:val="00DE5C9B"/>
    <w:rsid w:val="00DE6082"/>
    <w:rsid w:val="00DE6EE3"/>
    <w:rsid w:val="00DE6EFD"/>
    <w:rsid w:val="00DE7933"/>
    <w:rsid w:val="00DE7B87"/>
    <w:rsid w:val="00DF21BF"/>
    <w:rsid w:val="00DF2B0B"/>
    <w:rsid w:val="00DF3953"/>
    <w:rsid w:val="00DF6F16"/>
    <w:rsid w:val="00DF7327"/>
    <w:rsid w:val="00DF755E"/>
    <w:rsid w:val="00E01670"/>
    <w:rsid w:val="00E026C4"/>
    <w:rsid w:val="00E02E9C"/>
    <w:rsid w:val="00E04AAB"/>
    <w:rsid w:val="00E04AFD"/>
    <w:rsid w:val="00E0557E"/>
    <w:rsid w:val="00E05AE1"/>
    <w:rsid w:val="00E06529"/>
    <w:rsid w:val="00E0768B"/>
    <w:rsid w:val="00E07944"/>
    <w:rsid w:val="00E07A10"/>
    <w:rsid w:val="00E07AC9"/>
    <w:rsid w:val="00E10EC1"/>
    <w:rsid w:val="00E11045"/>
    <w:rsid w:val="00E12622"/>
    <w:rsid w:val="00E12F52"/>
    <w:rsid w:val="00E13569"/>
    <w:rsid w:val="00E1356D"/>
    <w:rsid w:val="00E13845"/>
    <w:rsid w:val="00E13C5D"/>
    <w:rsid w:val="00E13F2B"/>
    <w:rsid w:val="00E14DA7"/>
    <w:rsid w:val="00E16D9F"/>
    <w:rsid w:val="00E173C4"/>
    <w:rsid w:val="00E1747B"/>
    <w:rsid w:val="00E20FED"/>
    <w:rsid w:val="00E218CF"/>
    <w:rsid w:val="00E21CC7"/>
    <w:rsid w:val="00E24D06"/>
    <w:rsid w:val="00E24F35"/>
    <w:rsid w:val="00E24F37"/>
    <w:rsid w:val="00E26750"/>
    <w:rsid w:val="00E26F34"/>
    <w:rsid w:val="00E27B97"/>
    <w:rsid w:val="00E306F7"/>
    <w:rsid w:val="00E30C03"/>
    <w:rsid w:val="00E322C6"/>
    <w:rsid w:val="00E329B8"/>
    <w:rsid w:val="00E32A02"/>
    <w:rsid w:val="00E341C6"/>
    <w:rsid w:val="00E346E9"/>
    <w:rsid w:val="00E34FA2"/>
    <w:rsid w:val="00E350EE"/>
    <w:rsid w:val="00E36052"/>
    <w:rsid w:val="00E363B1"/>
    <w:rsid w:val="00E36929"/>
    <w:rsid w:val="00E37EDF"/>
    <w:rsid w:val="00E4272C"/>
    <w:rsid w:val="00E42C2F"/>
    <w:rsid w:val="00E47FE4"/>
    <w:rsid w:val="00E505C8"/>
    <w:rsid w:val="00E51D6F"/>
    <w:rsid w:val="00E52401"/>
    <w:rsid w:val="00E5296D"/>
    <w:rsid w:val="00E52B89"/>
    <w:rsid w:val="00E538C3"/>
    <w:rsid w:val="00E53BF4"/>
    <w:rsid w:val="00E5416E"/>
    <w:rsid w:val="00E55AAB"/>
    <w:rsid w:val="00E564AC"/>
    <w:rsid w:val="00E57549"/>
    <w:rsid w:val="00E577C6"/>
    <w:rsid w:val="00E608AD"/>
    <w:rsid w:val="00E60E83"/>
    <w:rsid w:val="00E61852"/>
    <w:rsid w:val="00E61B78"/>
    <w:rsid w:val="00E6208D"/>
    <w:rsid w:val="00E620BB"/>
    <w:rsid w:val="00E647F5"/>
    <w:rsid w:val="00E650A0"/>
    <w:rsid w:val="00E65A9A"/>
    <w:rsid w:val="00E66621"/>
    <w:rsid w:val="00E66840"/>
    <w:rsid w:val="00E6686D"/>
    <w:rsid w:val="00E66CC4"/>
    <w:rsid w:val="00E67CF7"/>
    <w:rsid w:val="00E70257"/>
    <w:rsid w:val="00E71304"/>
    <w:rsid w:val="00E7223A"/>
    <w:rsid w:val="00E74201"/>
    <w:rsid w:val="00E74B03"/>
    <w:rsid w:val="00E760C9"/>
    <w:rsid w:val="00E76711"/>
    <w:rsid w:val="00E77CDA"/>
    <w:rsid w:val="00E8064F"/>
    <w:rsid w:val="00E807BB"/>
    <w:rsid w:val="00E80BA7"/>
    <w:rsid w:val="00E81838"/>
    <w:rsid w:val="00E81ABE"/>
    <w:rsid w:val="00E820E0"/>
    <w:rsid w:val="00E82165"/>
    <w:rsid w:val="00E824DA"/>
    <w:rsid w:val="00E83367"/>
    <w:rsid w:val="00E8402B"/>
    <w:rsid w:val="00E84A41"/>
    <w:rsid w:val="00E85EF1"/>
    <w:rsid w:val="00E873A2"/>
    <w:rsid w:val="00E875C1"/>
    <w:rsid w:val="00E90EE4"/>
    <w:rsid w:val="00E91399"/>
    <w:rsid w:val="00E92E29"/>
    <w:rsid w:val="00E946D8"/>
    <w:rsid w:val="00E9509C"/>
    <w:rsid w:val="00E95EDD"/>
    <w:rsid w:val="00E9682B"/>
    <w:rsid w:val="00E97BCB"/>
    <w:rsid w:val="00EA0246"/>
    <w:rsid w:val="00EA06D7"/>
    <w:rsid w:val="00EA0A7E"/>
    <w:rsid w:val="00EA1C77"/>
    <w:rsid w:val="00EA28F2"/>
    <w:rsid w:val="00EA3EDB"/>
    <w:rsid w:val="00EA3F83"/>
    <w:rsid w:val="00EA405F"/>
    <w:rsid w:val="00EA54D0"/>
    <w:rsid w:val="00EA554F"/>
    <w:rsid w:val="00EA7C0D"/>
    <w:rsid w:val="00EB0863"/>
    <w:rsid w:val="00EB0F2E"/>
    <w:rsid w:val="00EB1174"/>
    <w:rsid w:val="00EB1FBC"/>
    <w:rsid w:val="00EB21DE"/>
    <w:rsid w:val="00EB3622"/>
    <w:rsid w:val="00EB3D03"/>
    <w:rsid w:val="00EB6584"/>
    <w:rsid w:val="00EB7226"/>
    <w:rsid w:val="00EB7386"/>
    <w:rsid w:val="00EC098B"/>
    <w:rsid w:val="00EC0D8B"/>
    <w:rsid w:val="00EC0F74"/>
    <w:rsid w:val="00EC2135"/>
    <w:rsid w:val="00EC320B"/>
    <w:rsid w:val="00EC3465"/>
    <w:rsid w:val="00EC41AF"/>
    <w:rsid w:val="00EC44B2"/>
    <w:rsid w:val="00EC5F79"/>
    <w:rsid w:val="00ED06FF"/>
    <w:rsid w:val="00ED21AB"/>
    <w:rsid w:val="00ED336A"/>
    <w:rsid w:val="00ED3576"/>
    <w:rsid w:val="00ED366A"/>
    <w:rsid w:val="00ED4806"/>
    <w:rsid w:val="00ED6010"/>
    <w:rsid w:val="00ED661F"/>
    <w:rsid w:val="00ED7071"/>
    <w:rsid w:val="00ED74A0"/>
    <w:rsid w:val="00EE0C4C"/>
    <w:rsid w:val="00EE1465"/>
    <w:rsid w:val="00EE162D"/>
    <w:rsid w:val="00EE1E56"/>
    <w:rsid w:val="00EE352B"/>
    <w:rsid w:val="00EE3A67"/>
    <w:rsid w:val="00EE3CFB"/>
    <w:rsid w:val="00EE4145"/>
    <w:rsid w:val="00EE4254"/>
    <w:rsid w:val="00EE51D4"/>
    <w:rsid w:val="00EE67A2"/>
    <w:rsid w:val="00EE7073"/>
    <w:rsid w:val="00EE771B"/>
    <w:rsid w:val="00EE79E9"/>
    <w:rsid w:val="00EF081C"/>
    <w:rsid w:val="00EF0C48"/>
    <w:rsid w:val="00EF152B"/>
    <w:rsid w:val="00EF1B48"/>
    <w:rsid w:val="00EF1F55"/>
    <w:rsid w:val="00EF2B8D"/>
    <w:rsid w:val="00EF2BCD"/>
    <w:rsid w:val="00EF39A4"/>
    <w:rsid w:val="00EF4153"/>
    <w:rsid w:val="00EF42B7"/>
    <w:rsid w:val="00EF5799"/>
    <w:rsid w:val="00EF7DFF"/>
    <w:rsid w:val="00F004DA"/>
    <w:rsid w:val="00F01185"/>
    <w:rsid w:val="00F014AC"/>
    <w:rsid w:val="00F019CD"/>
    <w:rsid w:val="00F0219D"/>
    <w:rsid w:val="00F04330"/>
    <w:rsid w:val="00F04481"/>
    <w:rsid w:val="00F04D29"/>
    <w:rsid w:val="00F05799"/>
    <w:rsid w:val="00F06141"/>
    <w:rsid w:val="00F06E6E"/>
    <w:rsid w:val="00F07686"/>
    <w:rsid w:val="00F07780"/>
    <w:rsid w:val="00F07BD7"/>
    <w:rsid w:val="00F107A7"/>
    <w:rsid w:val="00F10A7B"/>
    <w:rsid w:val="00F1124C"/>
    <w:rsid w:val="00F13B69"/>
    <w:rsid w:val="00F13C64"/>
    <w:rsid w:val="00F1526A"/>
    <w:rsid w:val="00F157F8"/>
    <w:rsid w:val="00F169A5"/>
    <w:rsid w:val="00F16A25"/>
    <w:rsid w:val="00F17994"/>
    <w:rsid w:val="00F2110C"/>
    <w:rsid w:val="00F21164"/>
    <w:rsid w:val="00F211EB"/>
    <w:rsid w:val="00F21E6E"/>
    <w:rsid w:val="00F23289"/>
    <w:rsid w:val="00F235C7"/>
    <w:rsid w:val="00F238C5"/>
    <w:rsid w:val="00F256B4"/>
    <w:rsid w:val="00F25AE8"/>
    <w:rsid w:val="00F27792"/>
    <w:rsid w:val="00F27D21"/>
    <w:rsid w:val="00F3003E"/>
    <w:rsid w:val="00F33CB2"/>
    <w:rsid w:val="00F34442"/>
    <w:rsid w:val="00F345C5"/>
    <w:rsid w:val="00F3524F"/>
    <w:rsid w:val="00F36511"/>
    <w:rsid w:val="00F37136"/>
    <w:rsid w:val="00F4031C"/>
    <w:rsid w:val="00F4110B"/>
    <w:rsid w:val="00F45FFE"/>
    <w:rsid w:val="00F50985"/>
    <w:rsid w:val="00F50A2C"/>
    <w:rsid w:val="00F510EE"/>
    <w:rsid w:val="00F51F19"/>
    <w:rsid w:val="00F533E2"/>
    <w:rsid w:val="00F55B59"/>
    <w:rsid w:val="00F56253"/>
    <w:rsid w:val="00F56E1C"/>
    <w:rsid w:val="00F57B93"/>
    <w:rsid w:val="00F613A8"/>
    <w:rsid w:val="00F627A7"/>
    <w:rsid w:val="00F632D2"/>
    <w:rsid w:val="00F63D4D"/>
    <w:rsid w:val="00F63FB7"/>
    <w:rsid w:val="00F64625"/>
    <w:rsid w:val="00F65AD1"/>
    <w:rsid w:val="00F65D57"/>
    <w:rsid w:val="00F65EBF"/>
    <w:rsid w:val="00F66009"/>
    <w:rsid w:val="00F661E2"/>
    <w:rsid w:val="00F663A9"/>
    <w:rsid w:val="00F6794F"/>
    <w:rsid w:val="00F67C2A"/>
    <w:rsid w:val="00F67E81"/>
    <w:rsid w:val="00F70108"/>
    <w:rsid w:val="00F70A66"/>
    <w:rsid w:val="00F70C50"/>
    <w:rsid w:val="00F71638"/>
    <w:rsid w:val="00F71761"/>
    <w:rsid w:val="00F72FA7"/>
    <w:rsid w:val="00F7300E"/>
    <w:rsid w:val="00F74A09"/>
    <w:rsid w:val="00F77224"/>
    <w:rsid w:val="00F80845"/>
    <w:rsid w:val="00F82C81"/>
    <w:rsid w:val="00F83062"/>
    <w:rsid w:val="00F83351"/>
    <w:rsid w:val="00F83515"/>
    <w:rsid w:val="00F8355B"/>
    <w:rsid w:val="00F8395E"/>
    <w:rsid w:val="00F83C96"/>
    <w:rsid w:val="00F849A5"/>
    <w:rsid w:val="00F84A58"/>
    <w:rsid w:val="00F85C14"/>
    <w:rsid w:val="00F86C91"/>
    <w:rsid w:val="00F87170"/>
    <w:rsid w:val="00F87914"/>
    <w:rsid w:val="00F90002"/>
    <w:rsid w:val="00F940F9"/>
    <w:rsid w:val="00F969C2"/>
    <w:rsid w:val="00FA0834"/>
    <w:rsid w:val="00FA1060"/>
    <w:rsid w:val="00FA114C"/>
    <w:rsid w:val="00FA17E6"/>
    <w:rsid w:val="00FA1A61"/>
    <w:rsid w:val="00FA1D1E"/>
    <w:rsid w:val="00FA22B9"/>
    <w:rsid w:val="00FA298E"/>
    <w:rsid w:val="00FA2A67"/>
    <w:rsid w:val="00FA350F"/>
    <w:rsid w:val="00FA374F"/>
    <w:rsid w:val="00FA3C62"/>
    <w:rsid w:val="00FA4784"/>
    <w:rsid w:val="00FA7A88"/>
    <w:rsid w:val="00FB06AB"/>
    <w:rsid w:val="00FB1575"/>
    <w:rsid w:val="00FB1AA0"/>
    <w:rsid w:val="00FB2A8E"/>
    <w:rsid w:val="00FB3A11"/>
    <w:rsid w:val="00FB3F22"/>
    <w:rsid w:val="00FB5931"/>
    <w:rsid w:val="00FB6390"/>
    <w:rsid w:val="00FB63FC"/>
    <w:rsid w:val="00FB697F"/>
    <w:rsid w:val="00FB6D54"/>
    <w:rsid w:val="00FC0F1E"/>
    <w:rsid w:val="00FC1069"/>
    <w:rsid w:val="00FC1B65"/>
    <w:rsid w:val="00FC3175"/>
    <w:rsid w:val="00FC4A1E"/>
    <w:rsid w:val="00FC4A3D"/>
    <w:rsid w:val="00FC4E0E"/>
    <w:rsid w:val="00FC7BC0"/>
    <w:rsid w:val="00FC7CBE"/>
    <w:rsid w:val="00FD0E9D"/>
    <w:rsid w:val="00FD13E3"/>
    <w:rsid w:val="00FD20EE"/>
    <w:rsid w:val="00FD2CD2"/>
    <w:rsid w:val="00FD3C4F"/>
    <w:rsid w:val="00FD465B"/>
    <w:rsid w:val="00FD467B"/>
    <w:rsid w:val="00FD4E06"/>
    <w:rsid w:val="00FD527B"/>
    <w:rsid w:val="00FE0E7A"/>
    <w:rsid w:val="00FE11B2"/>
    <w:rsid w:val="00FE3175"/>
    <w:rsid w:val="00FE32DC"/>
    <w:rsid w:val="00FE4722"/>
    <w:rsid w:val="00FE4BDA"/>
    <w:rsid w:val="00FE4C2B"/>
    <w:rsid w:val="00FE5295"/>
    <w:rsid w:val="00FE5D10"/>
    <w:rsid w:val="00FE5FE6"/>
    <w:rsid w:val="00FE60AB"/>
    <w:rsid w:val="00FE6290"/>
    <w:rsid w:val="00FE6335"/>
    <w:rsid w:val="00FE644B"/>
    <w:rsid w:val="00FE69B1"/>
    <w:rsid w:val="00FE775E"/>
    <w:rsid w:val="00FF08E8"/>
    <w:rsid w:val="00FF2488"/>
    <w:rsid w:val="00FF3344"/>
    <w:rsid w:val="00FF3634"/>
    <w:rsid w:val="00FF47E1"/>
    <w:rsid w:val="00FF48C6"/>
    <w:rsid w:val="00FF641F"/>
    <w:rsid w:val="00FF65FA"/>
    <w:rsid w:val="00FF6F18"/>
    <w:rsid w:val="00FF720E"/>
    <w:rsid w:val="18F89FB4"/>
    <w:rsid w:val="214F6B3F"/>
    <w:rsid w:val="2429C66F"/>
    <w:rsid w:val="3178B69F"/>
    <w:rsid w:val="39679526"/>
    <w:rsid w:val="3A8261D8"/>
    <w:rsid w:val="43786AF3"/>
    <w:rsid w:val="5037AA21"/>
    <w:rsid w:val="5091C2B8"/>
    <w:rsid w:val="514A92AB"/>
    <w:rsid w:val="5F83E5BD"/>
    <w:rsid w:val="6303D9FD"/>
    <w:rsid w:val="6DC81071"/>
    <w:rsid w:val="7B1E6D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C2E79"/>
  <w15:chartTrackingRefBased/>
  <w15:docId w15:val="{86A5EE83-964F-4074-8BA4-52589B35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CBF"/>
    <w:rPr>
      <w:rFonts w:ascii="Times New Roman" w:hAnsi="Times New Roman"/>
    </w:rPr>
  </w:style>
  <w:style w:type="paragraph" w:styleId="Heading1">
    <w:name w:val="heading 1"/>
    <w:basedOn w:val="Normal"/>
    <w:next w:val="Normal"/>
    <w:link w:val="Heading1Char"/>
    <w:uiPriority w:val="9"/>
    <w:qFormat/>
    <w:rsid w:val="00ED33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33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D33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3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3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3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3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3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3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3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D33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D33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3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3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3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3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3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36A"/>
    <w:rPr>
      <w:rFonts w:eastAsiaTheme="majorEastAsia" w:cstheme="majorBidi"/>
      <w:color w:val="272727" w:themeColor="text1" w:themeTint="D8"/>
    </w:rPr>
  </w:style>
  <w:style w:type="paragraph" w:styleId="Title">
    <w:name w:val="Title"/>
    <w:basedOn w:val="Normal"/>
    <w:next w:val="Normal"/>
    <w:link w:val="TitleChar"/>
    <w:uiPriority w:val="10"/>
    <w:qFormat/>
    <w:rsid w:val="00ED33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3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3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3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36A"/>
    <w:pPr>
      <w:spacing w:before="160"/>
      <w:jc w:val="center"/>
    </w:pPr>
    <w:rPr>
      <w:i/>
      <w:iCs/>
      <w:color w:val="404040" w:themeColor="text1" w:themeTint="BF"/>
    </w:rPr>
  </w:style>
  <w:style w:type="character" w:customStyle="1" w:styleId="QuoteChar">
    <w:name w:val="Quote Char"/>
    <w:basedOn w:val="DefaultParagraphFont"/>
    <w:link w:val="Quote"/>
    <w:uiPriority w:val="29"/>
    <w:rsid w:val="00ED336A"/>
    <w:rPr>
      <w:i/>
      <w:iCs/>
      <w:color w:val="404040" w:themeColor="text1" w:themeTint="BF"/>
    </w:rPr>
  </w:style>
  <w:style w:type="paragraph" w:styleId="ListParagraph">
    <w:name w:val="List Paragraph"/>
    <w:basedOn w:val="Normal"/>
    <w:uiPriority w:val="34"/>
    <w:qFormat/>
    <w:rsid w:val="00ED336A"/>
    <w:pPr>
      <w:ind w:left="720"/>
      <w:contextualSpacing/>
    </w:pPr>
  </w:style>
  <w:style w:type="character" w:styleId="IntenseEmphasis">
    <w:name w:val="Intense Emphasis"/>
    <w:basedOn w:val="DefaultParagraphFont"/>
    <w:uiPriority w:val="21"/>
    <w:qFormat/>
    <w:rsid w:val="00ED336A"/>
    <w:rPr>
      <w:i/>
      <w:iCs/>
      <w:color w:val="0F4761" w:themeColor="accent1" w:themeShade="BF"/>
    </w:rPr>
  </w:style>
  <w:style w:type="paragraph" w:styleId="IntenseQuote">
    <w:name w:val="Intense Quote"/>
    <w:basedOn w:val="Normal"/>
    <w:next w:val="Normal"/>
    <w:link w:val="IntenseQuoteChar"/>
    <w:uiPriority w:val="30"/>
    <w:qFormat/>
    <w:rsid w:val="00ED33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36A"/>
    <w:rPr>
      <w:i/>
      <w:iCs/>
      <w:color w:val="0F4761" w:themeColor="accent1" w:themeShade="BF"/>
    </w:rPr>
  </w:style>
  <w:style w:type="character" w:styleId="IntenseReference">
    <w:name w:val="Intense Reference"/>
    <w:basedOn w:val="DefaultParagraphFont"/>
    <w:uiPriority w:val="32"/>
    <w:qFormat/>
    <w:rsid w:val="00ED336A"/>
    <w:rPr>
      <w:b/>
      <w:bCs/>
      <w:smallCaps/>
      <w:color w:val="0F4761" w:themeColor="accent1" w:themeShade="BF"/>
      <w:spacing w:val="5"/>
    </w:rPr>
  </w:style>
  <w:style w:type="paragraph" w:styleId="Revision">
    <w:name w:val="Revision"/>
    <w:hidden/>
    <w:uiPriority w:val="99"/>
    <w:semiHidden/>
    <w:rsid w:val="00692FB2"/>
    <w:pPr>
      <w:spacing w:after="0" w:line="240" w:lineRule="auto"/>
    </w:pPr>
  </w:style>
  <w:style w:type="table" w:styleId="TableGrid">
    <w:name w:val="Table Grid"/>
    <w:basedOn w:val="TableNormal"/>
    <w:uiPriority w:val="39"/>
    <w:rsid w:val="00187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2605"/>
    <w:rPr>
      <w:rFonts w:cs="Times New Roman"/>
    </w:rPr>
  </w:style>
  <w:style w:type="character" w:styleId="CommentReference">
    <w:name w:val="annotation reference"/>
    <w:basedOn w:val="DefaultParagraphFont"/>
    <w:uiPriority w:val="99"/>
    <w:semiHidden/>
    <w:unhideWhenUsed/>
    <w:rsid w:val="00342227"/>
    <w:rPr>
      <w:sz w:val="16"/>
      <w:szCs w:val="16"/>
    </w:rPr>
  </w:style>
  <w:style w:type="paragraph" w:styleId="CommentText">
    <w:name w:val="annotation text"/>
    <w:basedOn w:val="Normal"/>
    <w:link w:val="CommentTextChar"/>
    <w:uiPriority w:val="99"/>
    <w:unhideWhenUsed/>
    <w:rsid w:val="00342227"/>
    <w:pPr>
      <w:spacing w:line="240" w:lineRule="auto"/>
    </w:pPr>
    <w:rPr>
      <w:sz w:val="20"/>
      <w:szCs w:val="20"/>
    </w:rPr>
  </w:style>
  <w:style w:type="character" w:customStyle="1" w:styleId="CommentTextChar">
    <w:name w:val="Comment Text Char"/>
    <w:basedOn w:val="DefaultParagraphFont"/>
    <w:link w:val="CommentText"/>
    <w:uiPriority w:val="99"/>
    <w:rsid w:val="00342227"/>
    <w:rPr>
      <w:sz w:val="20"/>
      <w:szCs w:val="20"/>
    </w:rPr>
  </w:style>
  <w:style w:type="paragraph" w:styleId="CommentSubject">
    <w:name w:val="annotation subject"/>
    <w:basedOn w:val="CommentText"/>
    <w:next w:val="CommentText"/>
    <w:link w:val="CommentSubjectChar"/>
    <w:uiPriority w:val="99"/>
    <w:semiHidden/>
    <w:unhideWhenUsed/>
    <w:rsid w:val="00342227"/>
    <w:rPr>
      <w:b/>
      <w:bCs/>
    </w:rPr>
  </w:style>
  <w:style w:type="character" w:customStyle="1" w:styleId="CommentSubjectChar">
    <w:name w:val="Comment Subject Char"/>
    <w:basedOn w:val="CommentTextChar"/>
    <w:link w:val="CommentSubject"/>
    <w:uiPriority w:val="99"/>
    <w:semiHidden/>
    <w:rsid w:val="00342227"/>
    <w:rPr>
      <w:b/>
      <w:bCs/>
      <w:sz w:val="20"/>
      <w:szCs w:val="20"/>
    </w:rPr>
  </w:style>
  <w:style w:type="paragraph" w:customStyle="1" w:styleId="Style1">
    <w:name w:val="Style1"/>
    <w:basedOn w:val="Normal"/>
    <w:link w:val="Style1Char"/>
    <w:qFormat/>
    <w:rsid w:val="004D1BF9"/>
    <w:pPr>
      <w:spacing w:line="240" w:lineRule="auto"/>
      <w:ind w:firstLine="720"/>
      <w:contextualSpacing/>
      <w:jc w:val="both"/>
    </w:pPr>
    <w:rPr>
      <w:rFonts w:cs="Times New Roman"/>
    </w:rPr>
  </w:style>
  <w:style w:type="character" w:customStyle="1" w:styleId="Style1Char">
    <w:name w:val="Style1 Char"/>
    <w:basedOn w:val="DefaultParagraphFont"/>
    <w:link w:val="Style1"/>
    <w:rsid w:val="004D1BF9"/>
    <w:rPr>
      <w:rFonts w:ascii="Times New Roman" w:hAnsi="Times New Roman" w:cs="Times New Roman"/>
    </w:rPr>
  </w:style>
  <w:style w:type="paragraph" w:customStyle="1" w:styleId="font-claude-response-body">
    <w:name w:val="font-claude-response-body"/>
    <w:basedOn w:val="Normal"/>
    <w:rsid w:val="00BF294A"/>
    <w:pPr>
      <w:spacing w:before="100" w:beforeAutospacing="1" w:after="100" w:afterAutospacing="1" w:line="240" w:lineRule="auto"/>
    </w:pPr>
    <w:rPr>
      <w:rFonts w:eastAsia="Times New Roman" w:cs="Times New Roman"/>
      <w:kern w:val="0"/>
      <w:lang w:eastAsia="en-AU"/>
      <w14:ligatures w14:val="none"/>
    </w:rPr>
  </w:style>
  <w:style w:type="character" w:styleId="PlaceholderText">
    <w:name w:val="Placeholder Text"/>
    <w:basedOn w:val="DefaultParagraphFont"/>
    <w:uiPriority w:val="99"/>
    <w:semiHidden/>
    <w:rsid w:val="00227F11"/>
    <w:rPr>
      <w:color w:val="666666"/>
    </w:rPr>
  </w:style>
  <w:style w:type="character" w:styleId="Hyperlink">
    <w:name w:val="Hyperlink"/>
    <w:basedOn w:val="DefaultParagraphFont"/>
    <w:uiPriority w:val="99"/>
    <w:unhideWhenUsed/>
    <w:rsid w:val="000A115D"/>
    <w:rPr>
      <w:color w:val="467886" w:themeColor="hyperlink"/>
      <w:u w:val="single"/>
    </w:rPr>
  </w:style>
  <w:style w:type="character" w:styleId="UnresolvedMention">
    <w:name w:val="Unresolved Mention"/>
    <w:basedOn w:val="DefaultParagraphFont"/>
    <w:uiPriority w:val="99"/>
    <w:semiHidden/>
    <w:unhideWhenUsed/>
    <w:rsid w:val="000A115D"/>
    <w:rPr>
      <w:color w:val="605E5C"/>
      <w:shd w:val="clear" w:color="auto" w:fill="E1DFDD"/>
    </w:rPr>
  </w:style>
  <w:style w:type="paragraph" w:styleId="Header">
    <w:name w:val="header"/>
    <w:basedOn w:val="Normal"/>
    <w:link w:val="HeaderChar"/>
    <w:uiPriority w:val="99"/>
    <w:unhideWhenUsed/>
    <w:rsid w:val="00BD1C70"/>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BD1C70"/>
  </w:style>
  <w:style w:type="paragraph" w:styleId="Footer">
    <w:name w:val="footer"/>
    <w:basedOn w:val="Normal"/>
    <w:link w:val="FooterChar"/>
    <w:uiPriority w:val="99"/>
    <w:unhideWhenUsed/>
    <w:rsid w:val="00BD1C70"/>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BD1C70"/>
  </w:style>
  <w:style w:type="paragraph" w:styleId="FootnoteText">
    <w:name w:val="footnote text"/>
    <w:basedOn w:val="Normal"/>
    <w:link w:val="FootnoteTextChar"/>
    <w:uiPriority w:val="99"/>
    <w:unhideWhenUsed/>
    <w:rsid w:val="00662FD2"/>
    <w:pPr>
      <w:spacing w:after="0" w:line="240" w:lineRule="auto"/>
    </w:pPr>
    <w:rPr>
      <w:sz w:val="20"/>
      <w:szCs w:val="20"/>
    </w:rPr>
  </w:style>
  <w:style w:type="character" w:customStyle="1" w:styleId="FootnoteTextChar">
    <w:name w:val="Footnote Text Char"/>
    <w:basedOn w:val="DefaultParagraphFont"/>
    <w:link w:val="FootnoteText"/>
    <w:uiPriority w:val="99"/>
    <w:rsid w:val="00662FD2"/>
    <w:rPr>
      <w:sz w:val="20"/>
      <w:szCs w:val="20"/>
    </w:rPr>
  </w:style>
  <w:style w:type="character" w:styleId="FootnoteReference">
    <w:name w:val="footnote reference"/>
    <w:basedOn w:val="DefaultParagraphFont"/>
    <w:uiPriority w:val="99"/>
    <w:unhideWhenUsed/>
    <w:rsid w:val="00662FD2"/>
    <w:rPr>
      <w:vertAlign w:val="superscript"/>
    </w:rPr>
  </w:style>
  <w:style w:type="paragraph" w:styleId="Caption">
    <w:name w:val="caption"/>
    <w:basedOn w:val="Normal"/>
    <w:next w:val="Normal"/>
    <w:uiPriority w:val="35"/>
    <w:unhideWhenUsed/>
    <w:qFormat/>
    <w:rsid w:val="00AC0BC1"/>
    <w:pPr>
      <w:spacing w:after="200" w:line="240" w:lineRule="auto"/>
    </w:pPr>
    <w:rPr>
      <w:i/>
      <w:iCs/>
      <w:color w:val="0E2841" w:themeColor="text2"/>
      <w:sz w:val="18"/>
      <w:szCs w:val="18"/>
    </w:rPr>
  </w:style>
  <w:style w:type="paragraph" w:styleId="HTMLPreformatted">
    <w:name w:val="HTML Preformatted"/>
    <w:basedOn w:val="Normal"/>
    <w:link w:val="HTMLPreformattedChar"/>
    <w:uiPriority w:val="99"/>
    <w:semiHidden/>
    <w:unhideWhenUsed/>
    <w:rsid w:val="00A9467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94679"/>
    <w:rPr>
      <w:rFonts w:ascii="Consolas" w:hAnsi="Consolas"/>
      <w:sz w:val="20"/>
      <w:szCs w:val="20"/>
    </w:rPr>
  </w:style>
  <w:style w:type="paragraph" w:styleId="EndnoteText">
    <w:name w:val="endnote text"/>
    <w:basedOn w:val="Normal"/>
    <w:link w:val="EndnoteTextChar"/>
    <w:uiPriority w:val="99"/>
    <w:semiHidden/>
    <w:unhideWhenUsed/>
    <w:rsid w:val="007364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364A1"/>
    <w:rPr>
      <w:rFonts w:ascii="Times New Roman" w:hAnsi="Times New Roman"/>
      <w:sz w:val="20"/>
      <w:szCs w:val="20"/>
    </w:rPr>
  </w:style>
  <w:style w:type="character" w:styleId="EndnoteReference">
    <w:name w:val="endnote reference"/>
    <w:basedOn w:val="DefaultParagraphFont"/>
    <w:uiPriority w:val="99"/>
    <w:semiHidden/>
    <w:unhideWhenUsed/>
    <w:rsid w:val="007364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dedatamonitor.com/"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doi.org/10.1787/601276cd-en" TargetMode="Externa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fred.stlouisfed.org/series/CPIAUCS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6ff47e-67f4-4c5a-b108-0f8c53c97faf">
      <Terms xmlns="http://schemas.microsoft.com/office/infopath/2007/PartnerControls"/>
    </lcf76f155ced4ddcb4097134ff3c332f>
    <TaxCatchAll xmlns="e1201411-f6a2-4658-9412-38cdd4449df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5B5809C2FED7544B5C96A12EF3AE1E1" ma:contentTypeVersion="11" ma:contentTypeDescription="Create a new document." ma:contentTypeScope="" ma:versionID="a41378052cffd70ec54d84305a92a215">
  <xsd:schema xmlns:xsd="http://www.w3.org/2001/XMLSchema" xmlns:xs="http://www.w3.org/2001/XMLSchema" xmlns:p="http://schemas.microsoft.com/office/2006/metadata/properties" xmlns:ns2="b36ff47e-67f4-4c5a-b108-0f8c53c97faf" xmlns:ns3="e1201411-f6a2-4658-9412-38cdd4449df5" targetNamespace="http://schemas.microsoft.com/office/2006/metadata/properties" ma:root="true" ma:fieldsID="61e700b6bc1d35618ff72c92282871d4" ns2:_="" ns3:_="">
    <xsd:import namespace="b36ff47e-67f4-4c5a-b108-0f8c53c97faf"/>
    <xsd:import namespace="e1201411-f6a2-4658-9412-38cdd4449d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6ff47e-67f4-4c5a-b108-0f8c53c97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06d50bd-5830-4c8e-8053-e6a7571767b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201411-f6a2-4658-9412-38cdd4449d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75f22c-9210-4ac3-84ad-da2874986c19}" ma:internalName="TaxCatchAll" ma:showField="CatchAllData" ma:web="e1201411-f6a2-4658-9412-38cdd4449d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ECB29F-4C4B-47EF-99CB-0D8A8931C4F2}">
  <ds:schemaRefs>
    <ds:schemaRef ds:uri="http://schemas.microsoft.com/office/2006/metadata/properties"/>
    <ds:schemaRef ds:uri="http://schemas.microsoft.com/office/infopath/2007/PartnerControls"/>
    <ds:schemaRef ds:uri="b36ff47e-67f4-4c5a-b108-0f8c53c97faf"/>
    <ds:schemaRef ds:uri="e1201411-f6a2-4658-9412-38cdd4449df5"/>
  </ds:schemaRefs>
</ds:datastoreItem>
</file>

<file path=customXml/itemProps2.xml><?xml version="1.0" encoding="utf-8"?>
<ds:datastoreItem xmlns:ds="http://schemas.openxmlformats.org/officeDocument/2006/customXml" ds:itemID="{313ECF9E-2D25-462E-82C5-F9F4028E6A75}">
  <ds:schemaRefs>
    <ds:schemaRef ds:uri="http://schemas.openxmlformats.org/officeDocument/2006/bibliography"/>
  </ds:schemaRefs>
</ds:datastoreItem>
</file>

<file path=customXml/itemProps3.xml><?xml version="1.0" encoding="utf-8"?>
<ds:datastoreItem xmlns:ds="http://schemas.openxmlformats.org/officeDocument/2006/customXml" ds:itemID="{20568B0F-88FB-44F1-8E48-E5D53DC49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6ff47e-67f4-4c5a-b108-0f8c53c97faf"/>
    <ds:schemaRef ds:uri="e1201411-f6a2-4658-9412-38cdd4449d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178B49-6518-4733-8D3A-092DF04CF0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5724</TotalTime>
  <Pages>19</Pages>
  <Words>5316</Words>
  <Characters>30304</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35549</CharactersWithSpaces>
  <SharedDoc>false</SharedDoc>
  <HLinks>
    <vt:vector size="6" baseType="variant">
      <vt:variant>
        <vt:i4>2752611</vt:i4>
      </vt:variant>
      <vt:variant>
        <vt:i4>0</vt:i4>
      </vt:variant>
      <vt:variant>
        <vt:i4>0</vt:i4>
      </vt:variant>
      <vt:variant>
        <vt:i4>5</vt:i4>
      </vt:variant>
      <vt:variant>
        <vt:lpwstr>https://doi.org/10.1093/0198774508.003.0001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Selvan</dc:creator>
  <cp:keywords/>
  <dc:description/>
  <cp:lastModifiedBy>Garry Griffith</cp:lastModifiedBy>
  <cp:revision>82</cp:revision>
  <dcterms:created xsi:type="dcterms:W3CDTF">2026-09-24T01:48:00Z</dcterms:created>
  <dcterms:modified xsi:type="dcterms:W3CDTF">2026-10-05T03:28:00Z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0x01010005B5809C2FED7544B5C96A12EF3AE1E1</vt:lpwstr>
  </property>
  <property fmtid="{D5CDD505-2E9C-101B-9397-08002B2CF9AE}" pid="3" name="MediaServiceImageTags">
    <vt:lpwstr/>
  </property>
  <property fmtid="{D5CDD505-2E9C-101B-9397-08002B2CF9AE}" pid="4" name="docLang">
    <vt:lpwstr>en</vt:lpwstr>
  </property>
</Properties>
</file>